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7" w:lineRule="exact"/>
        <w:rPr>
          <w:sz w:val="24"/>
          <w:szCs w:val="24"/>
          <w:color w:val="auto"/>
        </w:rPr>
      </w:pPr>
    </w:p>
    <w:p>
      <w:pPr>
        <w:jc w:val="center"/>
        <w:ind w:right="-109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ind w:left="477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jc w:val="center"/>
        <w:ind w:right="-1090"/>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09" w:lineRule="exact"/>
        <w:rPr>
          <w:sz w:val="24"/>
          <w:szCs w:val="24"/>
          <w:color w:val="auto"/>
        </w:rPr>
      </w:pPr>
    </w:p>
    <w:p>
      <w:pPr>
        <w:jc w:val="center"/>
        <w:ind w:right="-109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34" w:lineRule="exact"/>
        <w:rPr>
          <w:sz w:val="24"/>
          <w:szCs w:val="24"/>
          <w:color w:val="auto"/>
        </w:rPr>
      </w:pPr>
    </w:p>
    <w:p>
      <w:pPr>
        <w:jc w:val="center"/>
        <w:ind w:right="-1090"/>
        <w:spacing w:after="0"/>
        <w:tabs>
          <w:tab w:leader="none" w:pos="200" w:val="left"/>
        </w:tabs>
        <w:rPr>
          <w:sz w:val="20"/>
          <w:szCs w:val="20"/>
          <w:color w:val="auto"/>
        </w:rPr>
      </w:pPr>
      <w:r>
        <w:rPr>
          <w:rFonts w:ascii="Times New Roman" w:cs="Times New Roman" w:eastAsia="Times New Roman" w:hAnsi="Times New Roman"/>
          <w:sz w:val="16"/>
          <w:szCs w:val="16"/>
          <w:b w:val="1"/>
          <w:bCs w:val="1"/>
          <w:color w:val="auto"/>
        </w:rPr>
        <w:t>the Securities Exchange Act of 1934 (Amendment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157"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210"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5" w:lineRule="exact"/>
        <w:rPr>
          <w:sz w:val="24"/>
          <w:szCs w:val="24"/>
          <w:color w:val="auto"/>
        </w:rPr>
      </w:pPr>
    </w:p>
    <w:p>
      <w:pPr>
        <w:ind w:left="450" w:hanging="450"/>
        <w:spacing w:after="0"/>
        <w:tabs>
          <w:tab w:leader="none" w:pos="45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 w:lineRule="exact"/>
        <w:rPr>
          <w:sz w:val="24"/>
          <w:szCs w:val="24"/>
          <w:color w:val="auto"/>
        </w:rPr>
      </w:pPr>
    </w:p>
    <w:p>
      <w:pPr>
        <w:ind w:left="450" w:hanging="450"/>
        <w:spacing w:after="0"/>
        <w:tabs>
          <w:tab w:leader="none" w:pos="4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9" w:lineRule="exact"/>
        <w:rPr>
          <w:rFonts w:ascii="MS PGothic" w:cs="MS PGothic" w:eastAsia="MS PGothic" w:hAnsi="MS PGothic"/>
          <w:sz w:val="16"/>
          <w:szCs w:val="16"/>
          <w:color w:val="auto"/>
        </w:rPr>
      </w:pPr>
    </w:p>
    <w:p>
      <w:pPr>
        <w:ind w:left="450" w:hanging="450"/>
        <w:spacing w:after="0"/>
        <w:tabs>
          <w:tab w:leader="none" w:pos="4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3" w:lineRule="exact"/>
        <w:rPr>
          <w:rFonts w:ascii="MS PGothic" w:cs="MS PGothic" w:eastAsia="MS PGothic" w:hAnsi="MS PGothic"/>
          <w:sz w:val="16"/>
          <w:szCs w:val="16"/>
          <w:color w:val="auto"/>
        </w:rPr>
      </w:pPr>
    </w:p>
    <w:p>
      <w:pPr>
        <w:ind w:left="450" w:hanging="450"/>
        <w:spacing w:after="0"/>
        <w:tabs>
          <w:tab w:leader="none" w:pos="4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3" w:lineRule="exact"/>
        <w:rPr>
          <w:rFonts w:ascii="MS PGothic" w:cs="MS PGothic" w:eastAsia="MS PGothic" w:hAnsi="MS PGothic"/>
          <w:sz w:val="16"/>
          <w:szCs w:val="16"/>
          <w:color w:val="auto"/>
        </w:rPr>
      </w:pPr>
    </w:p>
    <w:p>
      <w:pPr>
        <w:ind w:left="450" w:hanging="450"/>
        <w:spacing w:after="0"/>
        <w:tabs>
          <w:tab w:leader="none" w:pos="4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83" w:lineRule="exact"/>
        <w:rPr>
          <w:sz w:val="24"/>
          <w:szCs w:val="24"/>
          <w:color w:val="auto"/>
        </w:rPr>
      </w:pPr>
    </w:p>
    <w:p>
      <w:pPr>
        <w:ind w:left="4050"/>
        <w:spacing w:after="0"/>
        <w:rPr>
          <w:sz w:val="20"/>
          <w:szCs w:val="20"/>
          <w:color w:val="auto"/>
        </w:rPr>
      </w:pPr>
      <w:r>
        <w:rPr>
          <w:rFonts w:ascii="Times New Roman" w:cs="Times New Roman" w:eastAsia="Times New Roman" w:hAnsi="Times New Roman"/>
          <w:sz w:val="23"/>
          <w:szCs w:val="23"/>
          <w:b w:val="1"/>
          <w:bCs w:val="1"/>
          <w:color w:val="auto"/>
        </w:rPr>
        <w:t>Fidelity National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 w:lineRule="exact"/>
        <w:rPr>
          <w:sz w:val="24"/>
          <w:szCs w:val="24"/>
          <w:color w:val="auto"/>
        </w:rPr>
      </w:pPr>
    </w:p>
    <w:p>
      <w:pPr>
        <w:ind w:left="403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0" w:lineRule="exact"/>
        <w:rPr>
          <w:sz w:val="24"/>
          <w:szCs w:val="24"/>
          <w:color w:val="auto"/>
        </w:rPr>
      </w:pPr>
    </w:p>
    <w:p>
      <w:pPr>
        <w:spacing w:after="0" w:line="207" w:lineRule="exact"/>
        <w:rPr>
          <w:sz w:val="24"/>
          <w:szCs w:val="24"/>
          <w:color w:val="auto"/>
        </w:rPr>
      </w:pPr>
    </w:p>
    <w:p>
      <w:pPr>
        <w:ind w:left="323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-113665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9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5" w:lineRule="exact"/>
        <w:rPr>
          <w:sz w:val="24"/>
          <w:szCs w:val="24"/>
          <w:color w:val="auto"/>
        </w:rPr>
      </w:pPr>
    </w:p>
    <w:p>
      <w:pPr>
        <w:ind w:left="450" w:hanging="450"/>
        <w:spacing w:after="0"/>
        <w:tabs>
          <w:tab w:leader="none" w:pos="45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3" w:lineRule="exact"/>
        <w:rPr>
          <w:sz w:val="24"/>
          <w:szCs w:val="24"/>
          <w:color w:val="auto"/>
        </w:rPr>
      </w:pPr>
    </w:p>
    <w:p>
      <w:pPr>
        <w:ind w:left="450" w:hanging="450"/>
        <w:spacing w:after="0"/>
        <w:tabs>
          <w:tab w:leader="none" w:pos="45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 w:lineRule="exact"/>
        <w:rPr>
          <w:rFonts w:ascii="MS PGothic" w:cs="MS PGothic" w:eastAsia="MS PGothic" w:hAnsi="MS PGothic"/>
          <w:sz w:val="16"/>
          <w:szCs w:val="16"/>
          <w:color w:val="auto"/>
        </w:rPr>
      </w:pPr>
    </w:p>
    <w:p>
      <w:pPr>
        <w:ind w:left="450" w:hanging="450"/>
        <w:spacing w:after="0"/>
        <w:tabs>
          <w:tab w:leader="none" w:pos="45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257810</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29"/>
          </w:cols>
          <w:pgMar w:left="330" w:top="41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527050</wp:posOffset>
            </wp:positionV>
            <wp:extent cx="899795" cy="757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99795" cy="7574915"/>
                    </a:xfrm>
                    <a:prstGeom prst="rect">
                      <a:avLst/>
                    </a:prstGeom>
                    <a:noFill/>
                  </pic:spPr>
                </pic:pic>
              </a:graphicData>
            </a:graphic>
          </wp:anchor>
        </w:drawing>
        <w:drawing>
          <wp:anchor simplePos="0" relativeHeight="251657728" behindDoc="1" locked="0" layoutInCell="0" allowOverlap="1">
            <wp:simplePos x="0" y="0"/>
            <wp:positionH relativeFrom="page">
              <wp:posOffset>3136900</wp:posOffset>
            </wp:positionH>
            <wp:positionV relativeFrom="page">
              <wp:posOffset>777240</wp:posOffset>
            </wp:positionV>
            <wp:extent cx="2112645" cy="75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1264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99"/>
        <w:spacing w:after="0"/>
        <w:rPr>
          <w:sz w:val="20"/>
          <w:szCs w:val="20"/>
          <w:color w:val="auto"/>
        </w:rPr>
      </w:pPr>
      <w:r>
        <w:rPr>
          <w:rFonts w:ascii="Arial" w:cs="Arial" w:eastAsia="Arial" w:hAnsi="Arial"/>
          <w:sz w:val="23"/>
          <w:szCs w:val="23"/>
          <w:b w:val="1"/>
          <w:bCs w:val="1"/>
          <w:color w:val="58595B"/>
        </w:rPr>
        <w:t>FIDELITY NATIONAL FINANCIAL, INC.</w:t>
      </w:r>
    </w:p>
    <w:p>
      <w:pPr>
        <w:spacing w:after="0" w:line="23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58595B"/>
        </w:rPr>
        <w:t>601 RIVERSIDE AVENUE</w:t>
      </w:r>
    </w:p>
    <w:p>
      <w:pPr>
        <w:spacing w:after="0" w:line="4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58595B"/>
        </w:rPr>
        <w:t>JACKSONVILLE, FLORIDA 32204</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58595B"/>
        </w:rPr>
        <w:t>APRIL 29, 2026</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58595B"/>
        </w:rPr>
        <w:t>Dear Shareholder:</w:t>
      </w:r>
    </w:p>
    <w:p>
      <w:pPr>
        <w:spacing w:after="0" w:line="175" w:lineRule="exact"/>
        <w:rPr>
          <w:sz w:val="20"/>
          <w:szCs w:val="20"/>
          <w:color w:val="auto"/>
        </w:rPr>
      </w:pPr>
    </w:p>
    <w:p>
      <w:pPr>
        <w:ind w:left="1040"/>
        <w:spacing w:after="0" w:line="238" w:lineRule="auto"/>
        <w:rPr>
          <w:sz w:val="20"/>
          <w:szCs w:val="20"/>
          <w:color w:val="auto"/>
        </w:rPr>
      </w:pPr>
      <w:r>
        <w:rPr>
          <w:rFonts w:ascii="Arial" w:cs="Arial" w:eastAsia="Arial" w:hAnsi="Arial"/>
          <w:sz w:val="18"/>
          <w:szCs w:val="18"/>
          <w:color w:val="58595B"/>
        </w:rPr>
        <w:t>On behalf of the board of directors, I cordially invite you to attend the annual meeting of the shareholders of Fidelity National Financial, Inc. The meeting will be held virtually on June 10, 2026 at 10:00 a.m., Eastern Time. Instructions for accessing the virtual meeting platform online are included in the Proxy Statement for this meeting. The formal Notice of Annual Meeting and Proxy Statement for this meeting are attached to this letter.</w:t>
      </w:r>
    </w:p>
    <w:p>
      <w:pPr>
        <w:spacing w:after="0" w:line="144" w:lineRule="exact"/>
        <w:rPr>
          <w:sz w:val="20"/>
          <w:szCs w:val="20"/>
          <w:color w:val="auto"/>
        </w:rPr>
      </w:pPr>
    </w:p>
    <w:p>
      <w:pPr>
        <w:ind w:left="1040" w:right="420"/>
        <w:spacing w:after="0" w:line="238" w:lineRule="auto"/>
        <w:rPr>
          <w:sz w:val="20"/>
          <w:szCs w:val="20"/>
          <w:color w:val="auto"/>
        </w:rPr>
      </w:pPr>
      <w:r>
        <w:rPr>
          <w:rFonts w:ascii="Arial" w:cs="Arial" w:eastAsia="Arial" w:hAnsi="Arial"/>
          <w:sz w:val="18"/>
          <w:szCs w:val="18"/>
          <w:color w:val="58595B"/>
        </w:rPr>
        <w:t>The Notice of Annual Meeting and Proxy Statement contain more information about the annual meeting, including who can vote and the different methods you can use to vote, including the telephone, Internet and traditional paper proxy card. Whether or not you plan to attend the virtual annual meeting, please vote by one of the outlined methods to ensure that your shares are represented and voted in accordance with your wishes.</w:t>
      </w:r>
    </w:p>
    <w:p>
      <w:pPr>
        <w:spacing w:after="0" w:line="144" w:lineRule="exact"/>
        <w:rPr>
          <w:sz w:val="20"/>
          <w:szCs w:val="20"/>
          <w:color w:val="auto"/>
        </w:rPr>
      </w:pPr>
    </w:p>
    <w:p>
      <w:pPr>
        <w:ind w:left="1040"/>
        <w:spacing w:after="0"/>
        <w:rPr>
          <w:sz w:val="20"/>
          <w:szCs w:val="20"/>
          <w:color w:val="auto"/>
        </w:rPr>
      </w:pPr>
      <w:r>
        <w:rPr>
          <w:rFonts w:ascii="Arial" w:cs="Arial" w:eastAsia="Arial" w:hAnsi="Arial"/>
          <w:sz w:val="18"/>
          <w:szCs w:val="18"/>
          <w:color w:val="58595B"/>
        </w:rPr>
        <w:t>On behalf of the board of directors, I thank you for your support.</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color w:val="58595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124460</wp:posOffset>
            </wp:positionV>
            <wp:extent cx="1158240" cy="618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8240" cy="61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58595B"/>
        </w:rPr>
        <w:t>Michael J. Nolan</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58595B"/>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2734945</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180"/>
          </w:cols>
          <w:pgMar w:left="1440" w:top="1440" w:right="1279" w:bottom="1440" w:gutter="0" w:footer="0" w:header="0"/>
        </w:sectPr>
      </w:pPr>
    </w:p>
    <w:bookmarkStart w:id="2" w:name="page3"/>
    <w:bookmarkEnd w:id="2"/>
    <w:p>
      <w:pPr>
        <w:ind w:left="60"/>
        <w:spacing w:after="0"/>
        <w:rPr>
          <w:sz w:val="20"/>
          <w:szCs w:val="20"/>
          <w:color w:val="auto"/>
        </w:rPr>
      </w:pPr>
      <w:r>
        <w:rPr>
          <w:rFonts w:ascii="Arial" w:cs="Arial" w:eastAsia="Arial" w:hAnsi="Arial"/>
          <w:sz w:val="33"/>
          <w:szCs w:val="33"/>
          <w:b w:val="1"/>
          <w:bCs w:val="1"/>
          <w:color w:val="274F78"/>
        </w:rPr>
        <w:t>NOTICE OF ANNUAL</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33"/>
          <w:szCs w:val="33"/>
          <w:color w:val="274F78"/>
        </w:rPr>
        <w:t>MEETING OF SHAREHOLDERS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58595B"/>
        </w:rPr>
        <w:t>To the Shareholders of Fidelity National Financial, Inc.:</w:t>
      </w:r>
    </w:p>
    <w:p>
      <w:pPr>
        <w:spacing w:after="0" w:line="175" w:lineRule="exact"/>
        <w:rPr>
          <w:sz w:val="20"/>
          <w:szCs w:val="20"/>
          <w:color w:val="auto"/>
        </w:rPr>
      </w:pPr>
    </w:p>
    <w:p>
      <w:pPr>
        <w:ind w:left="60" w:right="20"/>
        <w:spacing w:after="0" w:line="234" w:lineRule="auto"/>
        <w:rPr>
          <w:sz w:val="20"/>
          <w:szCs w:val="20"/>
          <w:color w:val="auto"/>
        </w:rPr>
      </w:pPr>
      <w:r>
        <w:rPr>
          <w:rFonts w:ascii="Arial" w:cs="Arial" w:eastAsia="Arial" w:hAnsi="Arial"/>
          <w:sz w:val="18"/>
          <w:szCs w:val="18"/>
          <w:color w:val="333333"/>
        </w:rPr>
        <w:t xml:space="preserve">Notice is hereby given that the 2026 Annual Meeting of Shareholders of Fidelity National Financial, Inc. will be held via live webcast on June 10, 2026, at 10:00 a.m., Eastern Time. The meeting can be accessed by visiting </w:t>
      </w:r>
      <w:r>
        <w:rPr>
          <w:rFonts w:ascii="Arial" w:cs="Arial" w:eastAsia="Arial" w:hAnsi="Arial"/>
          <w:sz w:val="18"/>
          <w:szCs w:val="18"/>
          <w:b w:val="1"/>
          <w:bCs w:val="1"/>
          <w:color w:val="1E5E9E"/>
        </w:rPr>
        <w:t xml:space="preserve">www.virtualshareholdermeeting.com/FNF2026 </w:t>
      </w:r>
      <w:r>
        <w:rPr>
          <w:rFonts w:ascii="Arial" w:cs="Arial" w:eastAsia="Arial" w:hAnsi="Arial"/>
          <w:sz w:val="18"/>
          <w:szCs w:val="18"/>
          <w:color w:val="58595B"/>
        </w:rPr>
        <w:t>and using your 16-digit control number, where you will be able to listen to</w:t>
      </w:r>
      <w:r>
        <w:rPr>
          <w:rFonts w:ascii="Arial" w:cs="Arial" w:eastAsia="Arial" w:hAnsi="Arial"/>
          <w:sz w:val="18"/>
          <w:szCs w:val="18"/>
          <w:b w:val="1"/>
          <w:bCs w:val="1"/>
          <w:color w:val="1E5E9E"/>
        </w:rPr>
        <w:t xml:space="preserve"> </w:t>
      </w:r>
      <w:r>
        <w:rPr>
          <w:rFonts w:ascii="Arial" w:cs="Arial" w:eastAsia="Arial" w:hAnsi="Arial"/>
          <w:sz w:val="18"/>
          <w:szCs w:val="18"/>
          <w:color w:val="58595B"/>
        </w:rPr>
        <w:t>the meeting live and vote online. We encourage you to allow ample time for online check-in, which will open at 9:45 a.m. Eastern Time. Please note that there will not be a physical location for the 2026 Annual Meeting and that you will only be able to attend the meeting by means of remote communication. We designed the format of our virtual annual meeting to ensure that our shareholders who attend the virtual annual meeting will have the same rights and opportunities to participate as they would at an in-person meeting, including the ability to submit questions.</w:t>
      </w:r>
    </w:p>
    <w:p>
      <w:pPr>
        <w:sectPr>
          <w:pgSz w:w="11900" w:h="16838" w:orient="portrait"/>
          <w:cols w:equalWidth="0" w:num="1">
            <w:col w:w="10080"/>
          </w:cols>
          <w:pgMar w:left="1440" w:top="782" w:right="379" w:bottom="1440" w:gutter="0" w:footer="0" w:header="0"/>
        </w:sectPr>
      </w:pP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58595B"/>
        </w:rPr>
        <w:t>The meeting is being held in order to:</w:t>
      </w:r>
    </w:p>
    <w:p>
      <w:pPr>
        <w:spacing w:after="0" w:line="175" w:lineRule="exact"/>
        <w:rPr>
          <w:sz w:val="20"/>
          <w:szCs w:val="20"/>
          <w:color w:val="auto"/>
        </w:rPr>
      </w:pPr>
    </w:p>
    <w:p>
      <w:pPr>
        <w:ind w:left="520" w:hanging="286"/>
        <w:spacing w:after="0" w:line="241" w:lineRule="auto"/>
        <w:tabs>
          <w:tab w:leader="none" w:pos="520" w:val="left"/>
        </w:tabs>
        <w:numPr>
          <w:ilvl w:val="0"/>
          <w:numId w:val="5"/>
        </w:numPr>
        <w:rPr>
          <w:rFonts w:ascii="Arial" w:cs="Arial" w:eastAsia="Arial" w:hAnsi="Arial"/>
          <w:sz w:val="18"/>
          <w:szCs w:val="18"/>
          <w:color w:val="274F78"/>
        </w:rPr>
      </w:pPr>
      <w:r>
        <w:rPr>
          <w:rFonts w:ascii="Arial" w:cs="Arial" w:eastAsia="Arial" w:hAnsi="Arial"/>
          <w:sz w:val="18"/>
          <w:szCs w:val="18"/>
          <w:color w:val="58595B"/>
        </w:rPr>
        <w:t>Elect four Class III directors to serve until the 2029 Annual Meeting of Shareholders or until their successors are duly elected and qualified or their earlier death, resignation or removal;</w:t>
      </w:r>
    </w:p>
    <w:p>
      <w:pPr>
        <w:spacing w:after="0" w:line="142" w:lineRule="exact"/>
        <w:rPr>
          <w:rFonts w:ascii="Arial" w:cs="Arial" w:eastAsia="Arial" w:hAnsi="Arial"/>
          <w:sz w:val="18"/>
          <w:szCs w:val="18"/>
          <w:color w:val="274F78"/>
        </w:rPr>
      </w:pPr>
    </w:p>
    <w:p>
      <w:pPr>
        <w:ind w:left="520" w:right="20" w:hanging="286"/>
        <w:spacing w:after="0" w:line="247" w:lineRule="auto"/>
        <w:tabs>
          <w:tab w:leader="none" w:pos="520" w:val="left"/>
        </w:tabs>
        <w:numPr>
          <w:ilvl w:val="0"/>
          <w:numId w:val="5"/>
        </w:numPr>
        <w:rPr>
          <w:rFonts w:ascii="Arial" w:cs="Arial" w:eastAsia="Arial" w:hAnsi="Arial"/>
          <w:sz w:val="18"/>
          <w:szCs w:val="18"/>
          <w:color w:val="264F78"/>
        </w:rPr>
      </w:pPr>
      <w:r>
        <w:rPr>
          <w:rFonts w:ascii="Arial" w:cs="Arial" w:eastAsia="Arial" w:hAnsi="Arial"/>
          <w:sz w:val="18"/>
          <w:szCs w:val="18"/>
          <w:color w:val="58595B"/>
        </w:rPr>
        <w:t>Approve the Amended and Restated Articles of Incorporation to implement annual elections of directors;</w:t>
      </w:r>
    </w:p>
    <w:p>
      <w:pPr>
        <w:spacing w:after="0" w:line="137" w:lineRule="exact"/>
        <w:rPr>
          <w:rFonts w:ascii="Arial" w:cs="Arial" w:eastAsia="Arial" w:hAnsi="Arial"/>
          <w:sz w:val="18"/>
          <w:szCs w:val="18"/>
          <w:color w:val="264F78"/>
        </w:rPr>
      </w:pPr>
    </w:p>
    <w:p>
      <w:pPr>
        <w:ind w:left="520" w:right="340" w:hanging="286"/>
        <w:spacing w:after="0" w:line="241" w:lineRule="auto"/>
        <w:tabs>
          <w:tab w:leader="none" w:pos="520" w:val="left"/>
        </w:tabs>
        <w:numPr>
          <w:ilvl w:val="0"/>
          <w:numId w:val="5"/>
        </w:numPr>
        <w:rPr>
          <w:rFonts w:ascii="Arial" w:cs="Arial" w:eastAsia="Arial" w:hAnsi="Arial"/>
          <w:sz w:val="18"/>
          <w:szCs w:val="18"/>
          <w:color w:val="264F78"/>
        </w:rPr>
      </w:pPr>
      <w:r>
        <w:rPr>
          <w:rFonts w:ascii="Arial" w:cs="Arial" w:eastAsia="Arial" w:hAnsi="Arial"/>
          <w:sz w:val="18"/>
          <w:szCs w:val="18"/>
          <w:color w:val="58595B"/>
        </w:rPr>
        <w:t xml:space="preserve">Approve a non-binding advisory resolution on the compensation paid to our named executive officers (the </w:t>
      </w:r>
      <w:r>
        <w:rPr>
          <w:rFonts w:ascii="Arial" w:cs="Arial" w:eastAsia="Arial" w:hAnsi="Arial"/>
          <w:sz w:val="18"/>
          <w:szCs w:val="18"/>
          <w:i w:val="1"/>
          <w:iCs w:val="1"/>
          <w:color w:val="58595B"/>
        </w:rPr>
        <w:t>Say-on-Pay</w:t>
      </w:r>
      <w:r>
        <w:rPr>
          <w:rFonts w:ascii="Arial" w:cs="Arial" w:eastAsia="Arial" w:hAnsi="Arial"/>
          <w:sz w:val="18"/>
          <w:szCs w:val="18"/>
          <w:color w:val="58595B"/>
        </w:rPr>
        <w:t xml:space="preserve"> </w:t>
      </w:r>
      <w:r>
        <w:rPr>
          <w:rFonts w:ascii="Arial" w:cs="Arial" w:eastAsia="Arial" w:hAnsi="Arial"/>
          <w:sz w:val="18"/>
          <w:szCs w:val="18"/>
          <w:i w:val="1"/>
          <w:iCs w:val="1"/>
          <w:color w:val="58595B"/>
        </w:rPr>
        <w:t>Proposal</w:t>
      </w:r>
      <w:r>
        <w:rPr>
          <w:rFonts w:ascii="Arial" w:cs="Arial" w:eastAsia="Arial" w:hAnsi="Arial"/>
          <w:sz w:val="18"/>
          <w:szCs w:val="18"/>
          <w:color w:val="58595B"/>
        </w:rPr>
        <w:t>); and</w:t>
      </w:r>
    </w:p>
    <w:p>
      <w:pPr>
        <w:spacing w:after="0" w:line="151" w:lineRule="exact"/>
        <w:rPr>
          <w:rFonts w:ascii="Arial" w:cs="Arial" w:eastAsia="Arial" w:hAnsi="Arial"/>
          <w:sz w:val="18"/>
          <w:szCs w:val="18"/>
          <w:color w:val="264F78"/>
        </w:rPr>
      </w:pPr>
    </w:p>
    <w:p>
      <w:pPr>
        <w:ind w:left="520" w:right="300" w:hanging="286"/>
        <w:spacing w:after="0" w:line="253" w:lineRule="auto"/>
        <w:tabs>
          <w:tab w:leader="none" w:pos="520" w:val="left"/>
        </w:tabs>
        <w:numPr>
          <w:ilvl w:val="0"/>
          <w:numId w:val="5"/>
        </w:numPr>
        <w:rPr>
          <w:rFonts w:ascii="Arial" w:cs="Arial" w:eastAsia="Arial" w:hAnsi="Arial"/>
          <w:sz w:val="18"/>
          <w:szCs w:val="18"/>
          <w:color w:val="264F78"/>
        </w:rPr>
      </w:pPr>
      <w:r>
        <w:rPr>
          <w:rFonts w:ascii="Arial" w:cs="Arial" w:eastAsia="Arial" w:hAnsi="Arial"/>
          <w:sz w:val="17"/>
          <w:szCs w:val="17"/>
          <w:color w:val="58595B"/>
        </w:rPr>
        <w:t>Ratify the appointment of Ernst &amp; Young LLP as our independent registered public accounting firm for the 2026 fiscal year.</w:t>
      </w:r>
    </w:p>
    <w:p>
      <w:pPr>
        <w:spacing w:after="0" w:line="146" w:lineRule="exact"/>
        <w:rPr>
          <w:sz w:val="20"/>
          <w:szCs w:val="20"/>
          <w:color w:val="auto"/>
        </w:rPr>
      </w:pPr>
    </w:p>
    <w:p>
      <w:pPr>
        <w:ind w:left="60" w:right="60"/>
        <w:spacing w:after="0" w:line="260" w:lineRule="auto"/>
        <w:rPr>
          <w:sz w:val="20"/>
          <w:szCs w:val="20"/>
          <w:color w:val="auto"/>
        </w:rPr>
      </w:pPr>
      <w:r>
        <w:rPr>
          <w:rFonts w:ascii="Arial" w:cs="Arial" w:eastAsia="Arial" w:hAnsi="Arial"/>
          <w:sz w:val="17"/>
          <w:szCs w:val="17"/>
          <w:color w:val="58595B"/>
        </w:rPr>
        <w:t>At the meeting, we will also transact such other business as may properly come before the meeting or any postponement or adjournment thereof.</w:t>
      </w:r>
    </w:p>
    <w:p>
      <w:pPr>
        <w:spacing w:after="0" w:line="141" w:lineRule="exact"/>
        <w:rPr>
          <w:sz w:val="20"/>
          <w:szCs w:val="20"/>
          <w:color w:val="auto"/>
        </w:rPr>
      </w:pPr>
    </w:p>
    <w:p>
      <w:pPr>
        <w:ind w:left="60" w:right="180"/>
        <w:spacing w:after="0" w:line="254" w:lineRule="auto"/>
        <w:rPr>
          <w:sz w:val="20"/>
          <w:szCs w:val="20"/>
          <w:color w:val="auto"/>
        </w:rPr>
      </w:pPr>
      <w:r>
        <w:rPr>
          <w:rFonts w:ascii="Arial" w:cs="Arial" w:eastAsia="Arial" w:hAnsi="Arial"/>
          <w:sz w:val="17"/>
          <w:szCs w:val="17"/>
          <w:color w:val="58595B"/>
        </w:rPr>
        <w:t>The board of directors set April 13, 2026 as the record date for the meeting. This means that owners of FNF’s common stock at the close of business on that date are entitled to:</w:t>
      </w:r>
    </w:p>
    <w:p>
      <w:pPr>
        <w:spacing w:after="0" w:line="137" w:lineRule="exact"/>
        <w:rPr>
          <w:sz w:val="20"/>
          <w:szCs w:val="20"/>
          <w:color w:val="auto"/>
        </w:rPr>
      </w:pPr>
    </w:p>
    <w:p>
      <w:pPr>
        <w:ind w:left="520" w:hanging="286"/>
        <w:spacing w:after="0"/>
        <w:tabs>
          <w:tab w:leader="none" w:pos="520" w:val="left"/>
        </w:tabs>
        <w:numPr>
          <w:ilvl w:val="0"/>
          <w:numId w:val="6"/>
        </w:numPr>
        <w:rPr>
          <w:rFonts w:ascii="Arial" w:cs="Arial" w:eastAsia="Arial" w:hAnsi="Arial"/>
          <w:sz w:val="18"/>
          <w:szCs w:val="18"/>
          <w:color w:val="58595B"/>
        </w:rPr>
      </w:pPr>
      <w:r>
        <w:rPr>
          <w:rFonts w:ascii="Arial" w:cs="Arial" w:eastAsia="Arial" w:hAnsi="Arial"/>
          <w:sz w:val="18"/>
          <w:szCs w:val="18"/>
          <w:color w:val="58595B"/>
        </w:rPr>
        <w:t>Receive notice of the meeting;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480" w:hanging="298"/>
        <w:spacing w:after="0" w:line="266" w:lineRule="auto"/>
        <w:tabs>
          <w:tab w:leader="none" w:pos="480" w:val="left"/>
        </w:tabs>
        <w:numPr>
          <w:ilvl w:val="0"/>
          <w:numId w:val="7"/>
        </w:numPr>
        <w:rPr>
          <w:rFonts w:ascii="Arial" w:cs="Arial" w:eastAsia="Arial" w:hAnsi="Arial"/>
          <w:sz w:val="16"/>
          <w:szCs w:val="16"/>
          <w:color w:val="58595B"/>
        </w:rPr>
      </w:pPr>
      <w:r>
        <w:rPr>
          <w:rFonts w:ascii="Arial" w:cs="Arial" w:eastAsia="Arial" w:hAnsi="Arial"/>
          <w:sz w:val="18"/>
          <w:szCs w:val="18"/>
          <w:color w:val="58595B"/>
        </w:rPr>
        <w:t>Vote at the meeting and any adjournments or postponements of the meeting.</w:t>
      </w:r>
    </w:p>
    <w:p>
      <w:pPr>
        <w:spacing w:after="0" w:line="13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58595B"/>
        </w:rPr>
        <w:t>All shareholders are cordially invited to attend the virtual annual meeting. Please read these proxy materials and cast your vote on the matters that will be presented at the annual meeting.</w:t>
      </w:r>
    </w:p>
    <w:p>
      <w:pPr>
        <w:spacing w:after="0" w:line="141"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58595B"/>
        </w:rPr>
        <w:t>You may vote your shares through the Internet, by telephone, or by mailing your proxy card. Instructions for our registered shareholders are described under the question "How do I vote?" on page 3 of the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58595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wp:posOffset>
            </wp:positionV>
            <wp:extent cx="46926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92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58595B"/>
        </w:rPr>
        <w:t>Michael L. Gravelle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58595B"/>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58595B"/>
        </w:rPr>
        <w:t>Jacksonville, Florida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58595B"/>
        </w:rPr>
        <w:t>April 29, 2026</w:t>
      </w:r>
    </w:p>
    <w:p>
      <w:pPr>
        <w:spacing w:after="0" w:line="169"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b w:val="1"/>
          <w:bCs w:val="1"/>
          <w:color w:val="58595B"/>
        </w:rPr>
        <w:t>PLEASE COMPLETE, DATE AND SIGN YOUR PROXY AND MAIL IT PROMPTLY IN AN ENVELOPE (OR VOTE VIA TELEPHONE OR INTERNET) TO ASSURE REPRESENTATION OF YOUR SHARES.</w:t>
      </w:r>
    </w:p>
    <w:p>
      <w:pPr>
        <w:spacing w:after="0" w:line="348" w:lineRule="exact"/>
        <w:rPr>
          <w:sz w:val="20"/>
          <w:szCs w:val="20"/>
          <w:color w:val="auto"/>
        </w:rPr>
      </w:pPr>
    </w:p>
    <w:p>
      <w:pPr>
        <w:sectPr>
          <w:pgSz w:w="11900" w:h="16838" w:orient="portrait"/>
          <w:cols w:equalWidth="0" w:num="2">
            <w:col w:w="4240" w:space="480"/>
            <w:col w:w="5360"/>
          </w:cols>
          <w:pgMar w:left="1440" w:top="782" w:right="379" w:bottom="1440" w:gutter="0" w:footer="0" w:header="0"/>
          <w:type w:val="continuous"/>
        </w:sectPr>
      </w:pPr>
    </w:p>
    <w:p>
      <w:pPr>
        <w:spacing w:after="0" w:line="167" w:lineRule="exact"/>
        <w:rPr>
          <w:sz w:val="20"/>
          <w:szCs w:val="20"/>
          <w:color w:val="auto"/>
        </w:rPr>
      </w:pPr>
    </w:p>
    <w:p>
      <w:pPr>
        <w:ind w:left="60" w:right="480"/>
        <w:spacing w:after="0" w:line="259" w:lineRule="auto"/>
        <w:rPr>
          <w:sz w:val="20"/>
          <w:szCs w:val="20"/>
          <w:color w:val="auto"/>
        </w:rPr>
      </w:pPr>
      <w:r>
        <w:rPr>
          <w:rFonts w:ascii="Arial" w:cs="Arial" w:eastAsia="Arial" w:hAnsi="Arial"/>
          <w:sz w:val="17"/>
          <w:szCs w:val="17"/>
          <w:b w:val="1"/>
          <w:bCs w:val="1"/>
          <w:color w:val="58595B"/>
        </w:rPr>
        <w:t xml:space="preserve">IMPORTANT NOTICE REGARDING THE AVAILABILITY OF PROXY MATERIALS FOR THE 2026 ANNUAL MEETING OF SHAREHOLDERS TO BE HELD ON JUNE 10, 2026: The Company’s Proxy Statement for the 2026 Annual Meeting of Shareholders and the Annual Report on Form 10-K for the fiscal year ended December 31, 2025 are available </w:t>
      </w:r>
      <w:r>
        <w:rPr>
          <w:rFonts w:ascii="Arial" w:cs="Arial" w:eastAsia="Arial" w:hAnsi="Arial"/>
          <w:sz w:val="17"/>
          <w:szCs w:val="17"/>
          <w:b w:val="1"/>
          <w:bCs w:val="1"/>
          <w:color w:val="1E5E9E"/>
        </w:rPr>
        <w:t>www.proxyvote.com</w:t>
      </w:r>
      <w:r>
        <w:rPr>
          <w:rFonts w:ascii="Arial" w:cs="Arial" w:eastAsia="Arial" w:hAnsi="Arial"/>
          <w:sz w:val="17"/>
          <w:szCs w:val="17"/>
          <w:b w:val="1"/>
          <w:bCs w:val="1"/>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349250</wp:posOffset>
            </wp:positionV>
            <wp:extent cx="714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080"/>
          </w:cols>
          <w:pgMar w:left="1440" w:top="782" w:right="379"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33"/>
          <w:szCs w:val="33"/>
          <w:b w:val="1"/>
          <w:bCs w:val="1"/>
          <w:color w:val="274F78"/>
        </w:rPr>
        <w:t>TABLE OF CONTENTS</w:t>
      </w:r>
    </w:p>
    <w:p>
      <w:pPr>
        <w:spacing w:after="0" w:line="202" w:lineRule="exact"/>
        <w:rPr>
          <w:sz w:val="20"/>
          <w:szCs w:val="20"/>
          <w:color w:val="auto"/>
        </w:rPr>
      </w:pPr>
    </w:p>
    <w:p>
      <w:pPr>
        <w:ind w:left="660" w:hanging="598"/>
        <w:spacing w:after="0"/>
        <w:tabs>
          <w:tab w:leader="none" w:pos="660" w:val="left"/>
        </w:tabs>
        <w:numPr>
          <w:ilvl w:val="0"/>
          <w:numId w:val="8"/>
        </w:numPr>
        <w:rPr>
          <w:rFonts w:ascii="Arial" w:cs="Arial" w:eastAsia="Arial" w:hAnsi="Arial"/>
          <w:sz w:val="18"/>
          <w:szCs w:val="18"/>
          <w:b w:val="1"/>
          <w:bCs w:val="1"/>
          <w:color w:val="274F78"/>
        </w:rPr>
      </w:pPr>
      <w:r>
        <w:rPr>
          <w:rFonts w:ascii="Arial" w:cs="Arial" w:eastAsia="Arial" w:hAnsi="Arial"/>
          <w:sz w:val="18"/>
          <w:szCs w:val="18"/>
          <w:color w:val="58595B"/>
        </w:rPr>
        <w:t>General Information About the Company</w:t>
      </w:r>
    </w:p>
    <w:p>
      <w:pPr>
        <w:spacing w:after="0" w:line="175" w:lineRule="exact"/>
        <w:rPr>
          <w:sz w:val="20"/>
          <w:szCs w:val="20"/>
          <w:color w:val="auto"/>
        </w:rPr>
      </w:pPr>
    </w:p>
    <w:p>
      <w:pPr>
        <w:ind w:left="660" w:hanging="598"/>
        <w:spacing w:after="0"/>
        <w:tabs>
          <w:tab w:leader="none" w:pos="660" w:val="left"/>
        </w:tabs>
        <w:numPr>
          <w:ilvl w:val="0"/>
          <w:numId w:val="9"/>
        </w:numPr>
        <w:rPr>
          <w:rFonts w:ascii="Arial" w:cs="Arial" w:eastAsia="Arial" w:hAnsi="Arial"/>
          <w:sz w:val="18"/>
          <w:szCs w:val="18"/>
          <w:b w:val="1"/>
          <w:bCs w:val="1"/>
          <w:color w:val="274F78"/>
        </w:rPr>
      </w:pPr>
      <w:r>
        <w:rPr>
          <w:rFonts w:ascii="Arial" w:cs="Arial" w:eastAsia="Arial" w:hAnsi="Arial"/>
          <w:sz w:val="18"/>
          <w:szCs w:val="18"/>
          <w:color w:val="58595B"/>
        </w:rPr>
        <w:t>General Information About the Virtual Annual Meeting</w:t>
      </w:r>
    </w:p>
    <w:p>
      <w:pPr>
        <w:spacing w:after="0" w:line="175" w:lineRule="exact"/>
        <w:rPr>
          <w:sz w:val="20"/>
          <w:szCs w:val="20"/>
          <w:color w:val="auto"/>
        </w:rPr>
      </w:pPr>
    </w:p>
    <w:p>
      <w:pPr>
        <w:ind w:left="660" w:hanging="598"/>
        <w:spacing w:after="0"/>
        <w:tabs>
          <w:tab w:leader="none" w:pos="660" w:val="left"/>
        </w:tabs>
        <w:numPr>
          <w:ilvl w:val="0"/>
          <w:numId w:val="10"/>
        </w:numPr>
        <w:rPr>
          <w:rFonts w:ascii="Arial" w:cs="Arial" w:eastAsia="Arial" w:hAnsi="Arial"/>
          <w:sz w:val="18"/>
          <w:szCs w:val="18"/>
          <w:b w:val="1"/>
          <w:bCs w:val="1"/>
          <w:color w:val="274F78"/>
        </w:rPr>
      </w:pPr>
      <w:r>
        <w:rPr>
          <w:rFonts w:ascii="Arial" w:cs="Arial" w:eastAsia="Arial" w:hAnsi="Arial"/>
          <w:sz w:val="18"/>
          <w:szCs w:val="18"/>
          <w:color w:val="58595B"/>
        </w:rPr>
        <w:t>Corporate Governance Highlights</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0"/>
        </w:numPr>
        <w:rPr>
          <w:rFonts w:ascii="Arial" w:cs="Arial" w:eastAsia="Arial" w:hAnsi="Arial"/>
          <w:sz w:val="18"/>
          <w:szCs w:val="18"/>
          <w:b w:val="1"/>
          <w:bCs w:val="1"/>
          <w:color w:val="274F78"/>
        </w:rPr>
      </w:pPr>
      <w:r>
        <w:rPr>
          <w:rFonts w:ascii="Arial" w:cs="Arial" w:eastAsia="Arial" w:hAnsi="Arial"/>
          <w:sz w:val="18"/>
          <w:szCs w:val="18"/>
          <w:color w:val="58595B"/>
        </w:rPr>
        <w:t>Corporate Governance and Related Matters</w:t>
      </w:r>
    </w:p>
    <w:p>
      <w:pPr>
        <w:spacing w:after="0" w:line="175" w:lineRule="exact"/>
        <w:rPr>
          <w:sz w:val="20"/>
          <w:szCs w:val="20"/>
          <w:color w:val="auto"/>
        </w:rPr>
      </w:pPr>
    </w:p>
    <w:p>
      <w:pPr>
        <w:ind w:left="660" w:hanging="598"/>
        <w:spacing w:after="0"/>
        <w:tabs>
          <w:tab w:leader="none" w:pos="660" w:val="left"/>
        </w:tabs>
        <w:numPr>
          <w:ilvl w:val="0"/>
          <w:numId w:val="11"/>
        </w:numPr>
        <w:rPr>
          <w:rFonts w:ascii="Arial" w:cs="Arial" w:eastAsia="Arial" w:hAnsi="Arial"/>
          <w:sz w:val="18"/>
          <w:szCs w:val="18"/>
          <w:b w:val="1"/>
          <w:bCs w:val="1"/>
          <w:color w:val="274F78"/>
        </w:rPr>
      </w:pPr>
      <w:r>
        <w:rPr>
          <w:rFonts w:ascii="Arial" w:cs="Arial" w:eastAsia="Arial" w:hAnsi="Arial"/>
          <w:sz w:val="18"/>
          <w:szCs w:val="18"/>
          <w:color w:val="58595B"/>
        </w:rPr>
        <w:t>Certain Information About Our Directors</w:t>
      </w:r>
    </w:p>
    <w:p>
      <w:pPr>
        <w:spacing w:after="0" w:line="175" w:lineRule="exact"/>
        <w:rPr>
          <w:sz w:val="20"/>
          <w:szCs w:val="20"/>
          <w:color w:val="auto"/>
        </w:rPr>
      </w:pPr>
    </w:p>
    <w:p>
      <w:pPr>
        <w:ind w:left="660" w:hanging="598"/>
        <w:spacing w:after="0"/>
        <w:tabs>
          <w:tab w:leader="none" w:pos="660" w:val="left"/>
        </w:tabs>
        <w:numPr>
          <w:ilvl w:val="0"/>
          <w:numId w:val="12"/>
        </w:numPr>
        <w:rPr>
          <w:rFonts w:ascii="Arial" w:cs="Arial" w:eastAsia="Arial" w:hAnsi="Arial"/>
          <w:sz w:val="18"/>
          <w:szCs w:val="18"/>
          <w:b w:val="1"/>
          <w:bCs w:val="1"/>
          <w:color w:val="274F78"/>
        </w:rPr>
      </w:pPr>
      <w:r>
        <w:rPr>
          <w:rFonts w:ascii="Arial" w:cs="Arial" w:eastAsia="Arial" w:hAnsi="Arial"/>
          <w:sz w:val="18"/>
          <w:szCs w:val="18"/>
          <w:b w:val="1"/>
          <w:bCs w:val="1"/>
          <w:color w:val="58595B"/>
        </w:rPr>
        <w:t>Proposal No. 1: Election of Directors</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2"/>
        </w:numPr>
        <w:rPr>
          <w:rFonts w:ascii="Arial" w:cs="Arial" w:eastAsia="Arial" w:hAnsi="Arial"/>
          <w:sz w:val="18"/>
          <w:szCs w:val="18"/>
          <w:b w:val="1"/>
          <w:bCs w:val="1"/>
          <w:color w:val="274F78"/>
        </w:rPr>
      </w:pPr>
      <w:r>
        <w:rPr>
          <w:rFonts w:ascii="Arial" w:cs="Arial" w:eastAsia="Arial" w:hAnsi="Arial"/>
          <w:sz w:val="18"/>
          <w:szCs w:val="18"/>
          <w:b w:val="1"/>
          <w:bCs w:val="1"/>
          <w:color w:val="58595B"/>
        </w:rPr>
        <w:t>Proposal No. 2: Amend Our Articles of Incorporation to Implement Annual Elections of Directors</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2"/>
        </w:numPr>
        <w:rPr>
          <w:rFonts w:ascii="Arial" w:cs="Arial" w:eastAsia="Arial" w:hAnsi="Arial"/>
          <w:sz w:val="18"/>
          <w:szCs w:val="18"/>
          <w:b w:val="1"/>
          <w:bCs w:val="1"/>
          <w:color w:val="274F78"/>
        </w:rPr>
      </w:pPr>
      <w:r>
        <w:rPr>
          <w:rFonts w:ascii="Arial" w:cs="Arial" w:eastAsia="Arial" w:hAnsi="Arial"/>
          <w:sz w:val="18"/>
          <w:szCs w:val="18"/>
          <w:color w:val="58595B"/>
        </w:rPr>
        <w:t>Certain Information About Our Executive Officers</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2"/>
        </w:numPr>
        <w:rPr>
          <w:rFonts w:ascii="Arial" w:cs="Arial" w:eastAsia="Arial" w:hAnsi="Arial"/>
          <w:sz w:val="18"/>
          <w:szCs w:val="18"/>
          <w:b w:val="1"/>
          <w:bCs w:val="1"/>
          <w:color w:val="274F78"/>
        </w:rPr>
      </w:pPr>
      <w:r>
        <w:rPr>
          <w:rFonts w:ascii="Arial" w:cs="Arial" w:eastAsia="Arial" w:hAnsi="Arial"/>
          <w:sz w:val="18"/>
          <w:szCs w:val="18"/>
          <w:color w:val="58595B"/>
        </w:rPr>
        <w:t>Compensation Discussion and Analysis</w:t>
      </w:r>
    </w:p>
    <w:p>
      <w:pPr>
        <w:spacing w:after="0" w:line="175" w:lineRule="exact"/>
        <w:rPr>
          <w:sz w:val="20"/>
          <w:szCs w:val="20"/>
          <w:color w:val="auto"/>
        </w:rPr>
      </w:pPr>
    </w:p>
    <w:p>
      <w:pPr>
        <w:ind w:left="660" w:hanging="598"/>
        <w:spacing w:after="0"/>
        <w:tabs>
          <w:tab w:leader="none" w:pos="660" w:val="left"/>
        </w:tabs>
        <w:numPr>
          <w:ilvl w:val="0"/>
          <w:numId w:val="13"/>
        </w:numPr>
        <w:rPr>
          <w:rFonts w:ascii="Arial" w:cs="Arial" w:eastAsia="Arial" w:hAnsi="Arial"/>
          <w:sz w:val="18"/>
          <w:szCs w:val="18"/>
          <w:b w:val="1"/>
          <w:bCs w:val="1"/>
          <w:color w:val="274F78"/>
        </w:rPr>
      </w:pPr>
      <w:r>
        <w:rPr>
          <w:rFonts w:ascii="Arial" w:cs="Arial" w:eastAsia="Arial" w:hAnsi="Arial"/>
          <w:sz w:val="18"/>
          <w:szCs w:val="18"/>
          <w:color w:val="58595B"/>
        </w:rPr>
        <w:t>Executive Compensation</w:t>
      </w:r>
    </w:p>
    <w:p>
      <w:pPr>
        <w:spacing w:after="0" w:line="175" w:lineRule="exact"/>
        <w:rPr>
          <w:sz w:val="20"/>
          <w:szCs w:val="20"/>
          <w:color w:val="auto"/>
        </w:rPr>
      </w:pPr>
    </w:p>
    <w:p>
      <w:pPr>
        <w:ind w:left="660" w:hanging="598"/>
        <w:spacing w:after="0"/>
        <w:tabs>
          <w:tab w:leader="none" w:pos="660" w:val="left"/>
        </w:tabs>
        <w:numPr>
          <w:ilvl w:val="0"/>
          <w:numId w:val="14"/>
        </w:numPr>
        <w:rPr>
          <w:rFonts w:ascii="Arial" w:cs="Arial" w:eastAsia="Arial" w:hAnsi="Arial"/>
          <w:sz w:val="18"/>
          <w:szCs w:val="18"/>
          <w:b w:val="1"/>
          <w:bCs w:val="1"/>
          <w:color w:val="274F78"/>
        </w:rPr>
      </w:pPr>
      <w:r>
        <w:rPr>
          <w:rFonts w:ascii="Arial" w:cs="Arial" w:eastAsia="Arial" w:hAnsi="Arial"/>
          <w:sz w:val="18"/>
          <w:szCs w:val="18"/>
          <w:b w:val="1"/>
          <w:bCs w:val="1"/>
          <w:color w:val="58595B"/>
        </w:rPr>
        <w:t>Proposal No. 3: Advisory Vote on Executive Compensation</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4"/>
        </w:numPr>
        <w:rPr>
          <w:rFonts w:ascii="Arial" w:cs="Arial" w:eastAsia="Arial" w:hAnsi="Arial"/>
          <w:sz w:val="18"/>
          <w:szCs w:val="18"/>
          <w:b w:val="1"/>
          <w:bCs w:val="1"/>
          <w:color w:val="274F78"/>
        </w:rPr>
      </w:pPr>
      <w:r>
        <w:rPr>
          <w:rFonts w:ascii="Arial" w:cs="Arial" w:eastAsia="Arial" w:hAnsi="Arial"/>
          <w:sz w:val="18"/>
          <w:szCs w:val="18"/>
          <w:b w:val="1"/>
          <w:bCs w:val="1"/>
          <w:color w:val="58595B"/>
        </w:rPr>
        <w:t>Proposal No. 4: Ratification of Independent Registered Public Accounting Firm</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4"/>
        </w:numPr>
        <w:rPr>
          <w:rFonts w:ascii="Arial" w:cs="Arial" w:eastAsia="Arial" w:hAnsi="Arial"/>
          <w:sz w:val="18"/>
          <w:szCs w:val="18"/>
          <w:b w:val="1"/>
          <w:bCs w:val="1"/>
          <w:color w:val="274F78"/>
        </w:rPr>
      </w:pPr>
      <w:r>
        <w:rPr>
          <w:rFonts w:ascii="Arial" w:cs="Arial" w:eastAsia="Arial" w:hAnsi="Arial"/>
          <w:sz w:val="18"/>
          <w:szCs w:val="18"/>
          <w:color w:val="58595B"/>
        </w:rPr>
        <w:t>Security Ownership of Certain Beneficial Owners, Directors and Executive Officers</w:t>
      </w:r>
    </w:p>
    <w:p>
      <w:pPr>
        <w:spacing w:after="0" w:line="175" w:lineRule="exact"/>
        <w:rPr>
          <w:sz w:val="20"/>
          <w:szCs w:val="20"/>
          <w:color w:val="auto"/>
        </w:rPr>
      </w:pPr>
    </w:p>
    <w:p>
      <w:pPr>
        <w:ind w:left="660" w:hanging="598"/>
        <w:spacing w:after="0"/>
        <w:tabs>
          <w:tab w:leader="none" w:pos="660" w:val="left"/>
        </w:tabs>
        <w:numPr>
          <w:ilvl w:val="0"/>
          <w:numId w:val="15"/>
        </w:numPr>
        <w:rPr>
          <w:rFonts w:ascii="Arial" w:cs="Arial" w:eastAsia="Arial" w:hAnsi="Arial"/>
          <w:sz w:val="18"/>
          <w:szCs w:val="18"/>
          <w:b w:val="1"/>
          <w:bCs w:val="1"/>
          <w:color w:val="274F78"/>
        </w:rPr>
      </w:pPr>
      <w:r>
        <w:rPr>
          <w:rFonts w:ascii="Arial" w:cs="Arial" w:eastAsia="Arial" w:hAnsi="Arial"/>
          <w:sz w:val="18"/>
          <w:szCs w:val="18"/>
          <w:color w:val="58595B"/>
        </w:rPr>
        <w:t>Certain Relationships and Related Person Transactions</w:t>
      </w:r>
    </w:p>
    <w:p>
      <w:pPr>
        <w:spacing w:after="0" w:line="175" w:lineRule="exact"/>
        <w:rPr>
          <w:sz w:val="20"/>
          <w:szCs w:val="20"/>
          <w:color w:val="auto"/>
        </w:rPr>
      </w:pPr>
    </w:p>
    <w:p>
      <w:pPr>
        <w:ind w:left="660" w:hanging="598"/>
        <w:spacing w:after="0"/>
        <w:tabs>
          <w:tab w:leader="none" w:pos="660" w:val="left"/>
        </w:tabs>
        <w:numPr>
          <w:ilvl w:val="0"/>
          <w:numId w:val="16"/>
        </w:numPr>
        <w:rPr>
          <w:rFonts w:ascii="Arial" w:cs="Arial" w:eastAsia="Arial" w:hAnsi="Arial"/>
          <w:sz w:val="18"/>
          <w:szCs w:val="18"/>
          <w:b w:val="1"/>
          <w:bCs w:val="1"/>
          <w:color w:val="274F78"/>
        </w:rPr>
      </w:pPr>
      <w:r>
        <w:rPr>
          <w:rFonts w:ascii="Arial" w:cs="Arial" w:eastAsia="Arial" w:hAnsi="Arial"/>
          <w:sz w:val="18"/>
          <w:szCs w:val="18"/>
          <w:color w:val="58595B"/>
        </w:rPr>
        <w:t>Delinquent Section 16(a) Reports</w:t>
      </w:r>
    </w:p>
    <w:p>
      <w:pPr>
        <w:spacing w:after="0" w:line="175" w:lineRule="exact"/>
        <w:rPr>
          <w:sz w:val="20"/>
          <w:szCs w:val="20"/>
          <w:color w:val="auto"/>
        </w:rPr>
      </w:pPr>
    </w:p>
    <w:p>
      <w:pPr>
        <w:ind w:left="660" w:hanging="598"/>
        <w:spacing w:after="0"/>
        <w:tabs>
          <w:tab w:leader="none" w:pos="660" w:val="left"/>
        </w:tabs>
        <w:numPr>
          <w:ilvl w:val="0"/>
          <w:numId w:val="17"/>
        </w:numPr>
        <w:rPr>
          <w:rFonts w:ascii="Arial" w:cs="Arial" w:eastAsia="Arial" w:hAnsi="Arial"/>
          <w:sz w:val="18"/>
          <w:szCs w:val="18"/>
          <w:b w:val="1"/>
          <w:bCs w:val="1"/>
          <w:color w:val="274F78"/>
        </w:rPr>
      </w:pPr>
      <w:r>
        <w:rPr>
          <w:rFonts w:ascii="Arial" w:cs="Arial" w:eastAsia="Arial" w:hAnsi="Arial"/>
          <w:sz w:val="18"/>
          <w:szCs w:val="18"/>
          <w:color w:val="58595B"/>
        </w:rPr>
        <w:t>Shareholder Proposals and Nominations</w:t>
      </w:r>
    </w:p>
    <w:p>
      <w:pPr>
        <w:spacing w:after="0" w:line="175" w:lineRule="exact"/>
        <w:rPr>
          <w:sz w:val="20"/>
          <w:szCs w:val="20"/>
          <w:color w:val="auto"/>
        </w:rPr>
      </w:pPr>
    </w:p>
    <w:p>
      <w:pPr>
        <w:ind w:left="660" w:hanging="598"/>
        <w:spacing w:after="0"/>
        <w:tabs>
          <w:tab w:leader="none" w:pos="660" w:val="left"/>
        </w:tabs>
        <w:numPr>
          <w:ilvl w:val="0"/>
          <w:numId w:val="18"/>
        </w:numPr>
        <w:rPr>
          <w:rFonts w:ascii="Arial" w:cs="Arial" w:eastAsia="Arial" w:hAnsi="Arial"/>
          <w:sz w:val="18"/>
          <w:szCs w:val="18"/>
          <w:b w:val="1"/>
          <w:bCs w:val="1"/>
          <w:color w:val="274F78"/>
        </w:rPr>
      </w:pPr>
      <w:r>
        <w:rPr>
          <w:rFonts w:ascii="Arial" w:cs="Arial" w:eastAsia="Arial" w:hAnsi="Arial"/>
          <w:sz w:val="18"/>
          <w:szCs w:val="18"/>
          <w:color w:val="58595B"/>
        </w:rPr>
        <w:t>Other Matters</w:t>
      </w:r>
    </w:p>
    <w:p>
      <w:pPr>
        <w:spacing w:after="0" w:line="175" w:lineRule="exact"/>
        <w:rPr>
          <w:rFonts w:ascii="Arial" w:cs="Arial" w:eastAsia="Arial" w:hAnsi="Arial"/>
          <w:sz w:val="18"/>
          <w:szCs w:val="18"/>
          <w:b w:val="1"/>
          <w:bCs w:val="1"/>
          <w:color w:val="274F78"/>
        </w:rPr>
      </w:pPr>
    </w:p>
    <w:p>
      <w:pPr>
        <w:ind w:left="660" w:hanging="598"/>
        <w:spacing w:after="0"/>
        <w:tabs>
          <w:tab w:leader="none" w:pos="660" w:val="left"/>
        </w:tabs>
        <w:numPr>
          <w:ilvl w:val="0"/>
          <w:numId w:val="18"/>
        </w:numPr>
        <w:rPr>
          <w:rFonts w:ascii="Arial" w:cs="Arial" w:eastAsia="Arial" w:hAnsi="Arial"/>
          <w:sz w:val="18"/>
          <w:szCs w:val="18"/>
          <w:b w:val="1"/>
          <w:bCs w:val="1"/>
          <w:color w:val="274F78"/>
        </w:rPr>
      </w:pPr>
      <w:r>
        <w:rPr>
          <w:rFonts w:ascii="Arial" w:cs="Arial" w:eastAsia="Arial" w:hAnsi="Arial"/>
          <w:sz w:val="18"/>
          <w:szCs w:val="18"/>
          <w:color w:val="58595B"/>
        </w:rPr>
        <w:t>Available Information</w:t>
      </w:r>
    </w:p>
    <w:p>
      <w:pPr>
        <w:spacing w:after="0" w:line="175" w:lineRule="exact"/>
        <w:rPr>
          <w:rFonts w:ascii="Arial" w:cs="Arial" w:eastAsia="Arial" w:hAnsi="Arial"/>
          <w:sz w:val="18"/>
          <w:szCs w:val="18"/>
          <w:b w:val="1"/>
          <w:bCs w:val="1"/>
          <w:color w:val="274F78"/>
        </w:rPr>
      </w:pPr>
    </w:p>
    <w:p>
      <w:pPr>
        <w:ind w:left="660"/>
        <w:spacing w:after="0"/>
        <w:rPr>
          <w:rFonts w:ascii="Arial" w:cs="Arial" w:eastAsia="Arial" w:hAnsi="Arial"/>
          <w:sz w:val="18"/>
          <w:szCs w:val="18"/>
          <w:b w:val="1"/>
          <w:bCs w:val="1"/>
          <w:color w:val="274F78"/>
        </w:rPr>
      </w:pPr>
      <w:r>
        <w:rPr>
          <w:rFonts w:ascii="Arial" w:cs="Arial" w:eastAsia="Arial" w:hAnsi="Arial"/>
          <w:sz w:val="18"/>
          <w:szCs w:val="18"/>
          <w:b w:val="1"/>
          <w:bCs w:val="1"/>
          <w:color w:val="274F78"/>
        </w:rPr>
        <w:t>Annex A</w:t>
      </w:r>
      <w:r>
        <w:rPr>
          <w:rFonts w:ascii="Arial" w:cs="Arial" w:eastAsia="Arial" w:hAnsi="Arial"/>
          <w:sz w:val="18"/>
          <w:szCs w:val="18"/>
          <w:color w:val="274F78"/>
        </w:rPr>
        <w:t>:</w:t>
      </w:r>
      <w:r>
        <w:rPr>
          <w:rFonts w:ascii="Arial" w:cs="Arial" w:eastAsia="Arial" w:hAnsi="Arial"/>
          <w:sz w:val="18"/>
          <w:szCs w:val="18"/>
          <w:b w:val="1"/>
          <w:bCs w:val="1"/>
          <w:color w:val="274F78"/>
        </w:rPr>
        <w:t xml:space="preserve"> </w:t>
      </w:r>
      <w:r>
        <w:rPr>
          <w:rFonts w:ascii="Arial" w:cs="Arial" w:eastAsia="Arial" w:hAnsi="Arial"/>
          <w:sz w:val="18"/>
          <w:szCs w:val="18"/>
          <w:color w:val="58595B"/>
        </w:rPr>
        <w:t>Amended and Restated Articles of Incorporation</w:t>
      </w:r>
    </w:p>
    <w:p>
      <w:pPr>
        <w:spacing w:after="0" w:line="175" w:lineRule="exact"/>
        <w:rPr>
          <w:rFonts w:ascii="Arial" w:cs="Arial" w:eastAsia="Arial" w:hAnsi="Arial"/>
          <w:sz w:val="18"/>
          <w:szCs w:val="18"/>
          <w:b w:val="1"/>
          <w:bCs w:val="1"/>
          <w:color w:val="274F78"/>
        </w:rPr>
      </w:pPr>
    </w:p>
    <w:p>
      <w:pPr>
        <w:ind w:left="660"/>
        <w:spacing w:after="0"/>
        <w:rPr>
          <w:rFonts w:ascii="Arial" w:cs="Arial" w:eastAsia="Arial" w:hAnsi="Arial"/>
          <w:sz w:val="18"/>
          <w:szCs w:val="18"/>
          <w:b w:val="1"/>
          <w:bCs w:val="1"/>
          <w:color w:val="274F78"/>
        </w:rPr>
      </w:pPr>
      <w:r>
        <w:rPr>
          <w:rFonts w:ascii="Arial" w:cs="Arial" w:eastAsia="Arial" w:hAnsi="Arial"/>
          <w:sz w:val="18"/>
          <w:szCs w:val="18"/>
          <w:b w:val="1"/>
          <w:bCs w:val="1"/>
          <w:color w:val="274F78"/>
        </w:rPr>
        <w:t>Annex B</w:t>
      </w:r>
      <w:r>
        <w:rPr>
          <w:rFonts w:ascii="Arial" w:cs="Arial" w:eastAsia="Arial" w:hAnsi="Arial"/>
          <w:sz w:val="18"/>
          <w:szCs w:val="18"/>
          <w:color w:val="274F78"/>
        </w:rPr>
        <w:t>:</w:t>
      </w:r>
      <w:r>
        <w:rPr>
          <w:rFonts w:ascii="Arial" w:cs="Arial" w:eastAsia="Arial" w:hAnsi="Arial"/>
          <w:sz w:val="18"/>
          <w:szCs w:val="18"/>
          <w:b w:val="1"/>
          <w:bCs w:val="1"/>
          <w:color w:val="274F78"/>
        </w:rPr>
        <w:t xml:space="preserve"> </w:t>
      </w:r>
      <w:r>
        <w:rPr>
          <w:rFonts w:ascii="Arial" w:cs="Arial" w:eastAsia="Arial" w:hAnsi="Arial"/>
          <w:sz w:val="18"/>
          <w:szCs w:val="18"/>
          <w:color w:val="58595B"/>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382905</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4" w:name="page5"/>
    <w:bookmarkEnd w:id="4"/>
    <w:p>
      <w:pPr>
        <w:ind w:left="720"/>
        <w:spacing w:after="0"/>
        <w:rPr>
          <w:sz w:val="20"/>
          <w:szCs w:val="20"/>
          <w:color w:val="auto"/>
        </w:rPr>
      </w:pPr>
      <w:r>
        <w:rPr>
          <w:rFonts w:ascii="Arial" w:cs="Arial" w:eastAsia="Arial" w:hAnsi="Arial"/>
          <w:sz w:val="33"/>
          <w:szCs w:val="33"/>
          <w:b w:val="1"/>
          <w:bCs w:val="1"/>
          <w:color w:val="274F78"/>
        </w:rPr>
        <w:t>PROXY STATEMENT</w:t>
      </w:r>
    </w:p>
    <w:p>
      <w:pPr>
        <w:spacing w:after="0" w:line="202" w:lineRule="exact"/>
        <w:rPr>
          <w:sz w:val="20"/>
          <w:szCs w:val="20"/>
          <w:color w:val="auto"/>
        </w:rPr>
      </w:pPr>
    </w:p>
    <w:p>
      <w:pPr>
        <w:ind w:left="720" w:right="340"/>
        <w:spacing w:after="0"/>
        <w:rPr>
          <w:sz w:val="20"/>
          <w:szCs w:val="20"/>
          <w:color w:val="auto"/>
        </w:rPr>
      </w:pPr>
      <w:r>
        <w:rPr>
          <w:rFonts w:ascii="Arial" w:cs="Arial" w:eastAsia="Arial" w:hAnsi="Arial"/>
          <w:sz w:val="18"/>
          <w:szCs w:val="18"/>
          <w:color w:val="58595B"/>
        </w:rPr>
        <w:t xml:space="preserve">The proxy is solicited by the board of directors, or the </w:t>
      </w:r>
      <w:r>
        <w:rPr>
          <w:rFonts w:ascii="Arial" w:cs="Arial" w:eastAsia="Arial" w:hAnsi="Arial"/>
          <w:sz w:val="18"/>
          <w:szCs w:val="18"/>
          <w:i w:val="1"/>
          <w:iCs w:val="1"/>
          <w:color w:val="58595B"/>
        </w:rPr>
        <w:t>board</w:t>
      </w:r>
      <w:r>
        <w:rPr>
          <w:rFonts w:ascii="Arial" w:cs="Arial" w:eastAsia="Arial" w:hAnsi="Arial"/>
          <w:sz w:val="18"/>
          <w:szCs w:val="18"/>
          <w:color w:val="58595B"/>
        </w:rPr>
        <w:t xml:space="preserve">, of Fidelity National Financial, Inc., or </w:t>
      </w:r>
      <w:r>
        <w:rPr>
          <w:rFonts w:ascii="Arial" w:cs="Arial" w:eastAsia="Arial" w:hAnsi="Arial"/>
          <w:sz w:val="18"/>
          <w:szCs w:val="18"/>
          <w:i w:val="1"/>
          <w:iCs w:val="1"/>
          <w:color w:val="58595B"/>
        </w:rPr>
        <w:t>FNF</w:t>
      </w:r>
      <w:r>
        <w:rPr>
          <w:rFonts w:ascii="Arial" w:cs="Arial" w:eastAsia="Arial" w:hAnsi="Arial"/>
          <w:sz w:val="18"/>
          <w:szCs w:val="18"/>
          <w:color w:val="58595B"/>
        </w:rPr>
        <w:t xml:space="preserve"> or the </w:t>
      </w:r>
      <w:r>
        <w:rPr>
          <w:rFonts w:ascii="Arial" w:cs="Arial" w:eastAsia="Arial" w:hAnsi="Arial"/>
          <w:sz w:val="18"/>
          <w:szCs w:val="18"/>
          <w:i w:val="1"/>
          <w:iCs w:val="1"/>
          <w:color w:val="58595B"/>
        </w:rPr>
        <w:t>Company</w:t>
      </w:r>
      <w:r>
        <w:rPr>
          <w:rFonts w:ascii="Arial" w:cs="Arial" w:eastAsia="Arial" w:hAnsi="Arial"/>
          <w:sz w:val="18"/>
          <w:szCs w:val="18"/>
          <w:color w:val="58595B"/>
        </w:rPr>
        <w:t>, for use at the Annual Meeting of Shareholders to be held on June 10, 2026 at 10:00 a.m., Eastern Time,</w:t>
      </w:r>
      <w:r>
        <w:rPr>
          <w:rFonts w:ascii="Arial" w:cs="Arial" w:eastAsia="Arial" w:hAnsi="Arial"/>
          <w:sz w:val="18"/>
          <w:szCs w:val="18"/>
          <w:i w:val="1"/>
          <w:iCs w:val="1"/>
          <w:color w:val="58595B"/>
        </w:rPr>
        <w:t xml:space="preserve"> </w:t>
      </w:r>
      <w:r>
        <w:rPr>
          <w:rFonts w:ascii="Arial" w:cs="Arial" w:eastAsia="Arial" w:hAnsi="Arial"/>
          <w:sz w:val="18"/>
          <w:szCs w:val="18"/>
          <w:color w:val="58595B"/>
        </w:rPr>
        <w:t xml:space="preserve">or at any postponement or adjournment thereof, for the purposes set forth herein and in the accompanying Notice of Annual Meeting of Shareholders. The annual meeting will be held virtually at </w:t>
      </w:r>
      <w:r>
        <w:rPr>
          <w:rFonts w:ascii="Arial" w:cs="Arial" w:eastAsia="Arial" w:hAnsi="Arial"/>
          <w:sz w:val="18"/>
          <w:szCs w:val="18"/>
          <w:b w:val="1"/>
          <w:bCs w:val="1"/>
          <w:color w:val="1E5E9E"/>
        </w:rPr>
        <w:t>www.virtualshareholdermeeting.com/FNF2026</w:t>
      </w:r>
      <w:r>
        <w:rPr>
          <w:rFonts w:ascii="Arial" w:cs="Arial" w:eastAsia="Arial" w:hAnsi="Arial"/>
          <w:sz w:val="18"/>
          <w:szCs w:val="18"/>
          <w:color w:val="333333"/>
        </w:rPr>
        <w:t>.</w:t>
      </w:r>
    </w:p>
    <w:p>
      <w:pPr>
        <w:spacing w:after="0" w:line="136" w:lineRule="exact"/>
        <w:rPr>
          <w:sz w:val="20"/>
          <w:szCs w:val="20"/>
          <w:color w:val="auto"/>
        </w:rPr>
      </w:pPr>
    </w:p>
    <w:p>
      <w:pPr>
        <w:ind w:left="720" w:right="400"/>
        <w:spacing w:after="0" w:line="266" w:lineRule="auto"/>
        <w:rPr>
          <w:sz w:val="20"/>
          <w:szCs w:val="20"/>
          <w:color w:val="auto"/>
        </w:rPr>
      </w:pPr>
      <w:r>
        <w:rPr>
          <w:rFonts w:ascii="Arial" w:cs="Arial" w:eastAsia="Arial" w:hAnsi="Arial"/>
          <w:sz w:val="18"/>
          <w:szCs w:val="18"/>
          <w:color w:val="58595B"/>
        </w:rPr>
        <w:t>It is anticipated that such proxy, together with this proxy statement, will first be mailed on or about April 29, 2026 to all shareholders entitled to vote at the meeting.</w:t>
      </w:r>
    </w:p>
    <w:p>
      <w:pPr>
        <w:spacing w:after="0" w:line="120" w:lineRule="exact"/>
        <w:rPr>
          <w:sz w:val="20"/>
          <w:szCs w:val="20"/>
          <w:color w:val="auto"/>
        </w:rPr>
      </w:pPr>
    </w:p>
    <w:p>
      <w:pPr>
        <w:ind w:left="720" w:right="520"/>
        <w:spacing w:after="0" w:line="266" w:lineRule="auto"/>
        <w:rPr>
          <w:sz w:val="20"/>
          <w:szCs w:val="20"/>
          <w:color w:val="auto"/>
        </w:rPr>
      </w:pPr>
      <w:r>
        <w:rPr>
          <w:rFonts w:ascii="Arial" w:cs="Arial" w:eastAsia="Arial" w:hAnsi="Arial"/>
          <w:sz w:val="18"/>
          <w:szCs w:val="18"/>
          <w:color w:val="58595B"/>
        </w:rPr>
        <w:t>The Company’s principal executive offices are located at 601 Riverside Avenue, Jacksonville, Florida 32204, and its telephone number at that address is (904) 854-8100.</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79B"/>
        </w:rPr>
        <w:t>FORWARD-LOOKING STATEMENTS</w:t>
      </w:r>
    </w:p>
    <w:p>
      <w:pPr>
        <w:spacing w:after="0" w:line="193" w:lineRule="exact"/>
        <w:rPr>
          <w:sz w:val="20"/>
          <w:szCs w:val="20"/>
          <w:color w:val="auto"/>
        </w:rPr>
      </w:pPr>
    </w:p>
    <w:p>
      <w:pPr>
        <w:ind w:left="720" w:right="400"/>
        <w:spacing w:after="0" w:line="233" w:lineRule="auto"/>
        <w:rPr>
          <w:sz w:val="20"/>
          <w:szCs w:val="20"/>
          <w:color w:val="auto"/>
        </w:rPr>
      </w:pPr>
      <w:r>
        <w:rPr>
          <w:rFonts w:ascii="Arial" w:cs="Arial" w:eastAsia="Arial" w:hAnsi="Arial"/>
          <w:sz w:val="18"/>
          <w:szCs w:val="18"/>
          <w:color w:val="58595B"/>
        </w:rPr>
        <w:t>This proxy statement includes forward-looking statements. These statements are not historical facts, but instead represent only our beliefs regarding future events, many of which, by their nature, are inherently uncertain and outside of our control. Forward-looking statements include statements about our business and future performance, as well as ESG targets, goals, and commitments outlined in this proxy statement or elsewhere. These statements can be identified by words such as "anticipates," "intends," "plans," "seeks," "believes," "estimates," "expects" and similar references to future periods, or by the inclusion of forecasts or projections.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 For a discussion of some of the risks and important factors that could affect our future results and financial condition, see "Risk Factors" in our Annual Report on Form 10-K for the year ended December 31, 2025.</w:t>
      </w:r>
    </w:p>
    <w:p>
      <w:pPr>
        <w:spacing w:after="0" w:line="314" w:lineRule="exact"/>
        <w:rPr>
          <w:sz w:val="20"/>
          <w:szCs w:val="20"/>
          <w:color w:val="auto"/>
        </w:rPr>
      </w:pPr>
    </w:p>
    <w:p>
      <w:pPr>
        <w:ind w:left="720"/>
        <w:spacing w:after="0"/>
        <w:rPr>
          <w:sz w:val="20"/>
          <w:szCs w:val="20"/>
          <w:color w:val="auto"/>
        </w:rPr>
      </w:pPr>
      <w:r>
        <w:rPr>
          <w:rFonts w:ascii="Arial" w:cs="Arial" w:eastAsia="Arial" w:hAnsi="Arial"/>
          <w:sz w:val="33"/>
          <w:szCs w:val="33"/>
          <w:b w:val="1"/>
          <w:bCs w:val="1"/>
          <w:color w:val="274F78"/>
        </w:rPr>
        <w:t>GENERAL INFORMATION ABOUT THE COMPANY</w:t>
      </w:r>
    </w:p>
    <w:p>
      <w:pPr>
        <w:spacing w:after="0" w:line="202" w:lineRule="exact"/>
        <w:rPr>
          <w:sz w:val="20"/>
          <w:szCs w:val="20"/>
          <w:color w:val="auto"/>
        </w:rPr>
      </w:pPr>
    </w:p>
    <w:p>
      <w:pPr>
        <w:ind w:left="720" w:right="400"/>
        <w:spacing w:after="0" w:line="233" w:lineRule="auto"/>
        <w:rPr>
          <w:sz w:val="20"/>
          <w:szCs w:val="20"/>
          <w:color w:val="auto"/>
        </w:rPr>
      </w:pPr>
      <w:r>
        <w:rPr>
          <w:rFonts w:ascii="Arial" w:cs="Arial" w:eastAsia="Arial" w:hAnsi="Arial"/>
          <w:sz w:val="18"/>
          <w:szCs w:val="18"/>
          <w:color w:val="58595B"/>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w:t>
      </w:r>
      <w:r>
        <w:rPr>
          <w:rFonts w:ascii="Arial" w:cs="Arial" w:eastAsia="Arial" w:hAnsi="Arial"/>
          <w:sz w:val="18"/>
          <w:szCs w:val="18"/>
          <w:i w:val="1"/>
          <w:iCs w:val="1"/>
          <w:color w:val="58595B"/>
        </w:rPr>
        <w:t>F&amp;G</w:t>
      </w:r>
      <w:r>
        <w:rPr>
          <w:rFonts w:ascii="Arial" w:cs="Arial" w:eastAsia="Arial" w:hAnsi="Arial"/>
          <w:sz w:val="18"/>
          <w:szCs w:val="18"/>
          <w:color w:val="58595B"/>
        </w:rPr>
        <w:t>).</w:t>
      </w:r>
    </w:p>
    <w:p>
      <w:pPr>
        <w:spacing w:after="0" w:line="147" w:lineRule="exact"/>
        <w:rPr>
          <w:sz w:val="20"/>
          <w:szCs w:val="20"/>
          <w:color w:val="auto"/>
        </w:rPr>
      </w:pPr>
    </w:p>
    <w:p>
      <w:pPr>
        <w:ind w:left="720" w:right="600"/>
        <w:spacing w:after="0" w:line="266" w:lineRule="auto"/>
        <w:rPr>
          <w:sz w:val="20"/>
          <w:szCs w:val="20"/>
          <w:color w:val="auto"/>
        </w:rPr>
      </w:pPr>
      <w:r>
        <w:rPr>
          <w:rFonts w:ascii="Arial" w:cs="Arial" w:eastAsia="Arial" w:hAnsi="Arial"/>
          <w:sz w:val="18"/>
          <w:szCs w:val="18"/>
          <w:color w:val="58595B"/>
        </w:rPr>
        <w:t xml:space="preserve">On December 1, 2022, we completed the separation and distribution to our shareholders, on a pro rata basis, of approximately 15% of the common stock of F&amp;G (the First </w:t>
      </w:r>
      <w:r>
        <w:rPr>
          <w:rFonts w:ascii="Arial" w:cs="Arial" w:eastAsia="Arial" w:hAnsi="Arial"/>
          <w:sz w:val="18"/>
          <w:szCs w:val="18"/>
          <w:i w:val="1"/>
          <w:iCs w:val="1"/>
          <w:color w:val="58595B"/>
        </w:rPr>
        <w:t>F&amp;G Distribution</w:t>
      </w:r>
      <w:r>
        <w:rPr>
          <w:rFonts w:ascii="Arial" w:cs="Arial" w:eastAsia="Arial" w:hAnsi="Arial"/>
          <w:sz w:val="18"/>
          <w:szCs w:val="18"/>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90170</wp:posOffset>
            </wp:positionV>
            <wp:extent cx="7144385" cy="297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11"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FFFFFF"/>
        </w:rPr>
        <w:t>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132715</wp:posOffset>
            </wp:positionV>
            <wp:extent cx="7144385" cy="172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672465</wp:posOffset>
            </wp:positionV>
            <wp:extent cx="71443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40"/>
          </w:cols>
          <w:pgMar w:left="780" w:top="794" w:right="879" w:bottom="1440" w:gutter="0" w:footer="0" w:header="0"/>
        </w:sectPr>
      </w:pPr>
    </w:p>
    <w:bookmarkStart w:id="5" w:name="page6"/>
    <w:bookmarkEnd w:id="5"/>
    <w:p>
      <w:pPr>
        <w:ind w:left="1180" w:right="880"/>
        <w:spacing w:after="0" w:line="235" w:lineRule="auto"/>
        <w:rPr>
          <w:sz w:val="20"/>
          <w:szCs w:val="20"/>
          <w:color w:val="auto"/>
        </w:rPr>
      </w:pPr>
      <w:r>
        <w:rPr>
          <w:rFonts w:ascii="Arial" w:cs="Arial" w:eastAsia="Arial" w:hAnsi="Arial"/>
          <w:sz w:val="18"/>
          <w:szCs w:val="18"/>
          <w:color w:val="58595B"/>
        </w:rPr>
        <w:t xml:space="preserve">The First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First F&amp;G Distribution. Subsequently, on December 31, 2025, we distributed an additional 16,280,204 shares of F&amp;G common stock, representing approximately 12% of the outstanding shares of F&amp;G, to our shareholders of record on December 17, 2025 (the </w:t>
      </w:r>
      <w:r>
        <w:rPr>
          <w:rFonts w:ascii="Arial" w:cs="Arial" w:eastAsia="Arial" w:hAnsi="Arial"/>
          <w:sz w:val="18"/>
          <w:szCs w:val="18"/>
          <w:i w:val="1"/>
          <w:iCs w:val="1"/>
          <w:color w:val="58595B"/>
        </w:rPr>
        <w:t>Second F&amp;G Distribution</w:t>
      </w:r>
      <w:r>
        <w:rPr>
          <w:rFonts w:ascii="Arial" w:cs="Arial" w:eastAsia="Arial" w:hAnsi="Arial"/>
          <w:sz w:val="18"/>
          <w:szCs w:val="18"/>
          <w:color w:val="58595B"/>
        </w:rPr>
        <w:t>). We continue to control F&amp;G through our 70% ownership interest.</w:t>
      </w:r>
    </w:p>
    <w:p>
      <w:pPr>
        <w:spacing w:after="0" w:line="146" w:lineRule="exact"/>
        <w:rPr>
          <w:sz w:val="20"/>
          <w:szCs w:val="20"/>
          <w:color w:val="auto"/>
        </w:rPr>
      </w:pPr>
    </w:p>
    <w:p>
      <w:pPr>
        <w:ind w:left="1180" w:right="900"/>
        <w:spacing w:after="0" w:line="234" w:lineRule="auto"/>
        <w:rPr>
          <w:sz w:val="20"/>
          <w:szCs w:val="20"/>
          <w:color w:val="auto"/>
        </w:rPr>
      </w:pPr>
      <w:r>
        <w:rPr>
          <w:rFonts w:ascii="Arial" w:cs="Arial" w:eastAsia="Arial" w:hAnsi="Arial"/>
          <w:sz w:val="18"/>
          <w:szCs w:val="18"/>
          <w:color w:val="58595B"/>
        </w:rPr>
        <w:t>Since the First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and Fidelity &amp; Guaranty Life Insurance Company of New York, F&amp;G intends to continue to market a broad portfolio of deferred annuities (including fixed indexed annuities and multi-year guarantee annuities or other fixed rate annuities), immediate annuities, indexed universal life insurance, funding agreements (through funding agreement-backed notes issuances and the Federal Home Loan Bank of Atlanta) and pension risk transfer solutions. All of FNF’s core title insurance, real estate, technology and mortgage related businesses, assets and liabilities that are not held by F&amp;G remain with FNF.</w:t>
      </w:r>
    </w:p>
    <w:p>
      <w:pPr>
        <w:spacing w:after="0" w:line="143" w:lineRule="exact"/>
        <w:rPr>
          <w:sz w:val="20"/>
          <w:szCs w:val="20"/>
          <w:color w:val="auto"/>
        </w:rPr>
      </w:pPr>
    </w:p>
    <w:p>
      <w:pPr>
        <w:ind w:left="1180" w:right="1000"/>
        <w:spacing w:after="0" w:line="236" w:lineRule="auto"/>
        <w:rPr>
          <w:sz w:val="20"/>
          <w:szCs w:val="20"/>
          <w:color w:val="auto"/>
        </w:rPr>
      </w:pPr>
      <w:r>
        <w:rPr>
          <w:rFonts w:ascii="Arial" w:cs="Arial" w:eastAsia="Arial" w:hAnsi="Arial"/>
          <w:sz w:val="18"/>
          <w:szCs w:val="18"/>
          <w:color w:val="58595B"/>
        </w:rPr>
        <w:t>FNF has a long history of delivering consistent, industry-leading results, driven by a steadfast focus on our customers and shareholders, a culture of employee excellence, and an ability to deliver outstanding performance even in a challenging market environment. FNF generated $14.3 billion of total revenue (excluding $160 million of noncash, valuation gains on investment securities) and $679 million of net earnings in 2025. Our strong performance despite one of the most challenging mortgage markets in more than three decades is a testament to our experienced leadership team, strong balance sheet, and diversified business model.</w:t>
      </w:r>
    </w:p>
    <w:p>
      <w:pPr>
        <w:spacing w:after="0" w:line="147" w:lineRule="exact"/>
        <w:rPr>
          <w:sz w:val="20"/>
          <w:szCs w:val="20"/>
          <w:color w:val="auto"/>
        </w:rPr>
      </w:pPr>
    </w:p>
    <w:p>
      <w:pPr>
        <w:ind w:left="1180" w:right="900"/>
        <w:spacing w:after="0" w:line="238" w:lineRule="auto"/>
        <w:rPr>
          <w:sz w:val="20"/>
          <w:szCs w:val="20"/>
          <w:color w:val="auto"/>
        </w:rPr>
      </w:pPr>
      <w:r>
        <w:rPr>
          <w:rFonts w:ascii="Arial" w:cs="Arial" w:eastAsia="Arial" w:hAnsi="Arial"/>
          <w:sz w:val="18"/>
          <w:szCs w:val="18"/>
          <w:color w:val="58595B"/>
        </w:rPr>
        <w:t>Our consistent operating results have translated to strong returns for our shareholders. We also remain focused on deploying capital to best maximize shareholder value through investments in our business and returning capital to our shareholders. During the five-year period from January 1, 2021 through December 31, 2025, we returned approximately $2.5 billion to our shareholders in the form of cash dividends and approximately $1.3 billion through share repurchases.</w:t>
      </w:r>
    </w:p>
    <w:p>
      <w:pPr>
        <w:spacing w:after="0" w:line="315" w:lineRule="exact"/>
        <w:rPr>
          <w:sz w:val="20"/>
          <w:szCs w:val="20"/>
          <w:color w:val="auto"/>
        </w:rPr>
      </w:pPr>
    </w:p>
    <w:p>
      <w:pPr>
        <w:ind w:left="1180" w:right="1060"/>
        <w:spacing w:after="0" w:line="288" w:lineRule="auto"/>
        <w:rPr>
          <w:sz w:val="20"/>
          <w:szCs w:val="20"/>
          <w:color w:val="auto"/>
        </w:rPr>
      </w:pPr>
      <w:r>
        <w:rPr>
          <w:rFonts w:ascii="Arial" w:cs="Arial" w:eastAsia="Arial" w:hAnsi="Arial"/>
          <w:sz w:val="33"/>
          <w:szCs w:val="33"/>
          <w:b w:val="1"/>
          <w:bCs w:val="1"/>
          <w:color w:val="274F78"/>
        </w:rPr>
        <w:t>GENERAL INFORMATION ABOUT THE VIRTUAL ANNUAL MEETING</w:t>
      </w:r>
    </w:p>
    <w:p>
      <w:pPr>
        <w:spacing w:after="0" w:line="52" w:lineRule="exact"/>
        <w:rPr>
          <w:sz w:val="20"/>
          <w:szCs w:val="20"/>
          <w:color w:val="auto"/>
        </w:rPr>
      </w:pPr>
    </w:p>
    <w:p>
      <w:pPr>
        <w:ind w:left="1180" w:right="1100"/>
        <w:spacing w:after="0" w:line="247" w:lineRule="auto"/>
        <w:rPr>
          <w:sz w:val="20"/>
          <w:szCs w:val="20"/>
          <w:color w:val="auto"/>
        </w:rPr>
      </w:pPr>
      <w:r>
        <w:rPr>
          <w:rFonts w:ascii="Arial" w:cs="Arial" w:eastAsia="Arial" w:hAnsi="Arial"/>
          <w:sz w:val="18"/>
          <w:szCs w:val="18"/>
          <w:color w:val="58595B"/>
        </w:rPr>
        <w:t>Your shares can be voted at the virtual annual meeting only if you vote by proxy or if you are present and vote at the meeting. Even if you expect to attend the virtual annual meeting, please vote by proxy to assure that your shares will be represented.</w:t>
      </w:r>
    </w:p>
    <w:p>
      <w:pPr>
        <w:spacing w:after="0" w:line="321"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5779A"/>
        </w:rPr>
        <w:t>WHY DID I RECEIVE THIS PROXY STATEMENT?</w:t>
      </w:r>
    </w:p>
    <w:p>
      <w:pPr>
        <w:spacing w:after="0" w:line="193" w:lineRule="exact"/>
        <w:rPr>
          <w:sz w:val="20"/>
          <w:szCs w:val="20"/>
          <w:color w:val="auto"/>
        </w:rPr>
      </w:pPr>
    </w:p>
    <w:p>
      <w:pPr>
        <w:ind w:left="1180" w:right="980"/>
        <w:spacing w:after="0" w:line="238" w:lineRule="auto"/>
        <w:rPr>
          <w:sz w:val="20"/>
          <w:szCs w:val="20"/>
          <w:color w:val="auto"/>
        </w:rPr>
      </w:pPr>
      <w:r>
        <w:rPr>
          <w:rFonts w:ascii="Arial" w:cs="Arial" w:eastAsia="Arial" w:hAnsi="Arial"/>
          <w:sz w:val="18"/>
          <w:szCs w:val="18"/>
          <w:color w:val="58595B"/>
        </w:rPr>
        <w:t xml:space="preserve">The board is soliciting your proxy to vote at the virtual annual meeting because you were a holder of our common stock at the close of business on April 13, 2026, which we refer to as the </w:t>
      </w:r>
      <w:r>
        <w:rPr>
          <w:rFonts w:ascii="Arial" w:cs="Arial" w:eastAsia="Arial" w:hAnsi="Arial"/>
          <w:sz w:val="18"/>
          <w:szCs w:val="18"/>
          <w:i w:val="1"/>
          <w:iCs w:val="1"/>
          <w:color w:val="58595B"/>
        </w:rPr>
        <w:t>record date</w:t>
      </w:r>
      <w:r>
        <w:rPr>
          <w:rFonts w:ascii="Arial" w:cs="Arial" w:eastAsia="Arial" w:hAnsi="Arial"/>
          <w:sz w:val="18"/>
          <w:szCs w:val="18"/>
          <w:color w:val="58595B"/>
        </w:rPr>
        <w:t>, and therefore you are entitled to vote at the annual meeting. This proxy statement contains contains information about the matters to be voted on at the annual meeting, and the voting process, as well as information about the Company’s directors and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350"/>
              <w:spacing w:after="0"/>
              <w:rPr>
                <w:sz w:val="20"/>
                <w:szCs w:val="20"/>
                <w:color w:val="auto"/>
              </w:rPr>
            </w:pPr>
            <w:r>
              <w:rPr>
                <w:rFonts w:ascii="Arial" w:cs="Arial" w:eastAsia="Arial" w:hAnsi="Arial"/>
                <w:sz w:val="18"/>
                <w:szCs w:val="18"/>
                <w:color w:val="FFFFFF"/>
              </w:rPr>
              <w:t>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6" w:name="page7"/>
    <w:bookmarkEnd w:id="6"/>
    <w:p>
      <w:pPr>
        <w:ind w:left="720"/>
        <w:spacing w:after="0"/>
        <w:rPr>
          <w:sz w:val="20"/>
          <w:szCs w:val="20"/>
          <w:color w:val="auto"/>
        </w:rPr>
      </w:pPr>
      <w:r>
        <w:rPr>
          <w:rFonts w:ascii="Arial" w:cs="Arial" w:eastAsia="Arial" w:hAnsi="Arial"/>
          <w:sz w:val="23"/>
          <w:szCs w:val="23"/>
          <w:b w:val="1"/>
          <w:bCs w:val="1"/>
          <w:color w:val="5E779B"/>
        </w:rPr>
        <w:t>WHO IS ENTITLED TO VOTE?</w:t>
      </w:r>
    </w:p>
    <w:p>
      <w:pPr>
        <w:spacing w:after="0" w:line="193" w:lineRule="exact"/>
        <w:rPr>
          <w:sz w:val="20"/>
          <w:szCs w:val="20"/>
          <w:color w:val="auto"/>
        </w:rPr>
      </w:pPr>
    </w:p>
    <w:p>
      <w:pPr>
        <w:jc w:val="both"/>
        <w:ind w:left="720" w:right="440"/>
        <w:spacing w:after="0" w:line="247" w:lineRule="auto"/>
        <w:rPr>
          <w:sz w:val="20"/>
          <w:szCs w:val="20"/>
          <w:color w:val="auto"/>
        </w:rPr>
      </w:pPr>
      <w:r>
        <w:rPr>
          <w:rFonts w:ascii="Arial" w:cs="Arial" w:eastAsia="Arial" w:hAnsi="Arial"/>
          <w:sz w:val="18"/>
          <w:szCs w:val="18"/>
          <w:color w:val="58595B"/>
        </w:rPr>
        <w:t>All record holders of our common stock as of the close of business on April 13, 2026 are entitled to vote. As of the close of business on that day, 269,157,540 shares of our common stock were issued and outstanding and eligible to vote. Each share is entitled to one vote on each matter presented at the virtual annual meeting.</w:t>
      </w:r>
    </w:p>
    <w:p>
      <w:pPr>
        <w:spacing w:after="0" w:line="137" w:lineRule="exact"/>
        <w:rPr>
          <w:sz w:val="20"/>
          <w:szCs w:val="20"/>
          <w:color w:val="auto"/>
        </w:rPr>
      </w:pPr>
    </w:p>
    <w:p>
      <w:pPr>
        <w:ind w:left="720" w:right="360"/>
        <w:spacing w:after="0" w:line="241" w:lineRule="auto"/>
        <w:rPr>
          <w:sz w:val="20"/>
          <w:szCs w:val="20"/>
          <w:color w:val="auto"/>
        </w:rPr>
      </w:pPr>
      <w:r>
        <w:rPr>
          <w:rFonts w:ascii="Arial" w:cs="Arial" w:eastAsia="Arial" w:hAnsi="Arial"/>
          <w:sz w:val="18"/>
          <w:szCs w:val="18"/>
          <w:color w:val="58595B"/>
        </w:rPr>
        <w:t>If you hold your shares of FNF common stock through a broker, bank or other holder of record, you are considered a "beneficial owner" of shares held in street name. As the beneficial owner, you have the right to direct your broker, bank or other holder of record on how to vote your shares by using the voting instruction form included in the mailing or by following their instructions for voting via the Internet or by telephone.</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WHAT SHARES ARE COVERED BY THE PROXY CARD?</w:t>
      </w:r>
    </w:p>
    <w:p>
      <w:pPr>
        <w:spacing w:after="0" w:line="193" w:lineRule="exact"/>
        <w:rPr>
          <w:sz w:val="20"/>
          <w:szCs w:val="20"/>
          <w:color w:val="auto"/>
        </w:rPr>
      </w:pPr>
    </w:p>
    <w:p>
      <w:pPr>
        <w:ind w:left="720" w:right="360"/>
        <w:spacing w:after="0" w:line="266" w:lineRule="auto"/>
        <w:rPr>
          <w:sz w:val="20"/>
          <w:szCs w:val="20"/>
          <w:color w:val="auto"/>
        </w:rPr>
      </w:pPr>
      <w:r>
        <w:rPr>
          <w:rFonts w:ascii="Arial" w:cs="Arial" w:eastAsia="Arial" w:hAnsi="Arial"/>
          <w:sz w:val="18"/>
          <w:szCs w:val="18"/>
          <w:color w:val="58595B"/>
        </w:rPr>
        <w:t>The proxy card covers all shares of FNF common stock held by you of record (i.e., shares registered in your name) and any shares of FNF common stock held for your benefit in our 401(k) plan.</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HOW DO I VOTE?</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color w:val="58595B"/>
        </w:rPr>
        <w:t>You may vote using any of the following methods:</w:t>
      </w:r>
    </w:p>
    <w:p>
      <w:pPr>
        <w:spacing w:after="0" w:line="175" w:lineRule="exact"/>
        <w:rPr>
          <w:sz w:val="20"/>
          <w:szCs w:val="20"/>
          <w:color w:val="auto"/>
        </w:rPr>
      </w:pPr>
    </w:p>
    <w:p>
      <w:pPr>
        <w:ind w:left="720" w:right="720"/>
        <w:spacing w:after="0" w:line="247" w:lineRule="auto"/>
        <w:rPr>
          <w:sz w:val="20"/>
          <w:szCs w:val="20"/>
          <w:color w:val="auto"/>
        </w:rPr>
      </w:pPr>
      <w:r>
        <w:rPr>
          <w:rFonts w:ascii="Arial" w:cs="Arial" w:eastAsia="Arial" w:hAnsi="Arial"/>
          <w:sz w:val="18"/>
          <w:szCs w:val="18"/>
          <w:b w:val="1"/>
          <w:bCs w:val="1"/>
          <w:color w:val="274F78"/>
        </w:rPr>
        <w:t xml:space="preserve">At the virtual annual meeting. </w:t>
      </w:r>
      <w:r>
        <w:rPr>
          <w:rFonts w:ascii="Arial" w:cs="Arial" w:eastAsia="Arial" w:hAnsi="Arial"/>
          <w:sz w:val="18"/>
          <w:szCs w:val="18"/>
          <w:color w:val="58595B"/>
        </w:rPr>
        <w:t>All shareholders may vote at the virtual annual meeting. Please see "How do I</w:t>
      </w:r>
      <w:r>
        <w:rPr>
          <w:rFonts w:ascii="Arial" w:cs="Arial" w:eastAsia="Arial" w:hAnsi="Arial"/>
          <w:sz w:val="18"/>
          <w:szCs w:val="18"/>
          <w:b w:val="1"/>
          <w:bCs w:val="1"/>
          <w:color w:val="274F78"/>
        </w:rPr>
        <w:t xml:space="preserve"> </w:t>
      </w:r>
      <w:r>
        <w:rPr>
          <w:rFonts w:ascii="Arial" w:cs="Arial" w:eastAsia="Arial" w:hAnsi="Arial"/>
          <w:sz w:val="18"/>
          <w:szCs w:val="18"/>
          <w:color w:val="58595B"/>
        </w:rPr>
        <w:t>access the virtual annual meeting? Who may attend?" for additional information on how to vote at the annual meeting.</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274F78"/>
        </w:rPr>
        <w:t xml:space="preserve">By proxy. </w:t>
      </w:r>
      <w:r>
        <w:rPr>
          <w:rFonts w:ascii="Arial" w:cs="Arial" w:eastAsia="Arial" w:hAnsi="Arial"/>
          <w:sz w:val="18"/>
          <w:szCs w:val="18"/>
          <w:color w:val="58595B"/>
        </w:rPr>
        <w:t>There are three ways to vote by proxy:</w:t>
      </w:r>
    </w:p>
    <w:p>
      <w:pPr>
        <w:spacing w:after="0" w:line="175" w:lineRule="exact"/>
        <w:rPr>
          <w:sz w:val="20"/>
          <w:szCs w:val="20"/>
          <w:color w:val="auto"/>
        </w:rPr>
      </w:pPr>
    </w:p>
    <w:p>
      <w:pPr>
        <w:ind w:left="1600" w:hanging="287"/>
        <w:spacing w:after="0"/>
        <w:tabs>
          <w:tab w:leader="none" w:pos="1600" w:val="left"/>
        </w:tabs>
        <w:numPr>
          <w:ilvl w:val="0"/>
          <w:numId w:val="19"/>
        </w:numPr>
        <w:rPr>
          <w:rFonts w:ascii="Arial" w:cs="Arial" w:eastAsia="Arial" w:hAnsi="Arial"/>
          <w:sz w:val="18"/>
          <w:szCs w:val="18"/>
          <w:color w:val="58595B"/>
        </w:rPr>
      </w:pPr>
      <w:r>
        <w:rPr>
          <w:rFonts w:ascii="Arial" w:cs="Arial" w:eastAsia="Arial" w:hAnsi="Arial"/>
          <w:sz w:val="18"/>
          <w:szCs w:val="18"/>
          <w:color w:val="58595B"/>
        </w:rPr>
        <w:t>By mail, using your proxy card and return envelope;</w:t>
      </w:r>
    </w:p>
    <w:p>
      <w:pPr>
        <w:spacing w:after="0" w:line="187" w:lineRule="exact"/>
        <w:rPr>
          <w:rFonts w:ascii="Arial" w:cs="Arial" w:eastAsia="Arial" w:hAnsi="Arial"/>
          <w:sz w:val="18"/>
          <w:szCs w:val="18"/>
          <w:color w:val="58595B"/>
        </w:rPr>
      </w:pPr>
    </w:p>
    <w:p>
      <w:pPr>
        <w:ind w:left="1600" w:right="560" w:hanging="287"/>
        <w:spacing w:after="0" w:line="266" w:lineRule="auto"/>
        <w:tabs>
          <w:tab w:leader="none" w:pos="1600" w:val="left"/>
        </w:tabs>
        <w:numPr>
          <w:ilvl w:val="0"/>
          <w:numId w:val="19"/>
        </w:numPr>
        <w:rPr>
          <w:rFonts w:ascii="Arial" w:cs="Arial" w:eastAsia="Arial" w:hAnsi="Arial"/>
          <w:sz w:val="18"/>
          <w:szCs w:val="18"/>
          <w:color w:val="58595B"/>
        </w:rPr>
      </w:pPr>
      <w:r>
        <w:rPr>
          <w:rFonts w:ascii="Arial" w:cs="Arial" w:eastAsia="Arial" w:hAnsi="Arial"/>
          <w:sz w:val="18"/>
          <w:szCs w:val="18"/>
          <w:color w:val="58595B"/>
        </w:rPr>
        <w:t>By telephone, using the telephone number printed on the proxy card and following the instructions on the proxy card; or</w:t>
      </w:r>
    </w:p>
    <w:p>
      <w:pPr>
        <w:spacing w:after="0" w:line="132" w:lineRule="exact"/>
        <w:rPr>
          <w:rFonts w:ascii="Arial" w:cs="Arial" w:eastAsia="Arial" w:hAnsi="Arial"/>
          <w:sz w:val="18"/>
          <w:szCs w:val="18"/>
          <w:color w:val="58595B"/>
        </w:rPr>
      </w:pPr>
    </w:p>
    <w:p>
      <w:pPr>
        <w:ind w:left="1600" w:right="580" w:hanging="287"/>
        <w:spacing w:after="0" w:line="266" w:lineRule="auto"/>
        <w:tabs>
          <w:tab w:leader="none" w:pos="1600" w:val="left"/>
        </w:tabs>
        <w:numPr>
          <w:ilvl w:val="0"/>
          <w:numId w:val="19"/>
        </w:numPr>
        <w:rPr>
          <w:rFonts w:ascii="Arial" w:cs="Arial" w:eastAsia="Arial" w:hAnsi="Arial"/>
          <w:sz w:val="18"/>
          <w:szCs w:val="18"/>
          <w:color w:val="58595B"/>
        </w:rPr>
      </w:pPr>
      <w:r>
        <w:rPr>
          <w:rFonts w:ascii="Arial" w:cs="Arial" w:eastAsia="Arial" w:hAnsi="Arial"/>
          <w:sz w:val="18"/>
          <w:szCs w:val="18"/>
          <w:color w:val="58595B"/>
        </w:rPr>
        <w:t>By the Internet, using a unique password printed on your proxy card and following the instructions on the proxy card.</w:t>
      </w:r>
    </w:p>
    <w:p>
      <w:pPr>
        <w:spacing w:after="0" w:line="120" w:lineRule="exact"/>
        <w:rPr>
          <w:sz w:val="20"/>
          <w:szCs w:val="20"/>
          <w:color w:val="auto"/>
        </w:rPr>
      </w:pPr>
    </w:p>
    <w:p>
      <w:pPr>
        <w:ind w:left="720" w:right="600"/>
        <w:spacing w:after="0" w:line="266" w:lineRule="auto"/>
        <w:rPr>
          <w:sz w:val="20"/>
          <w:szCs w:val="20"/>
          <w:color w:val="auto"/>
        </w:rPr>
      </w:pPr>
      <w:r>
        <w:rPr>
          <w:rFonts w:ascii="Arial" w:cs="Arial" w:eastAsia="Arial" w:hAnsi="Arial"/>
          <w:sz w:val="18"/>
          <w:szCs w:val="18"/>
          <w:color w:val="58595B"/>
        </w:rPr>
        <w:t>Even if you expect to attend the annual meeting virtually, please vote by proxy to assure that your shares will be represented.</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WHAT DOES IT MEAN TO VOTE BY PROXY?</w:t>
      </w:r>
    </w:p>
    <w:p>
      <w:pPr>
        <w:spacing w:after="0" w:line="193" w:lineRule="exact"/>
        <w:rPr>
          <w:sz w:val="20"/>
          <w:szCs w:val="20"/>
          <w:color w:val="auto"/>
        </w:rPr>
      </w:pPr>
    </w:p>
    <w:p>
      <w:pPr>
        <w:ind w:left="720" w:right="460"/>
        <w:spacing w:after="0" w:line="235" w:lineRule="auto"/>
        <w:rPr>
          <w:sz w:val="20"/>
          <w:szCs w:val="20"/>
          <w:color w:val="auto"/>
        </w:rPr>
      </w:pPr>
      <w:r>
        <w:rPr>
          <w:rFonts w:ascii="Arial" w:cs="Arial" w:eastAsia="Arial" w:hAnsi="Arial"/>
          <w:sz w:val="18"/>
          <w:szCs w:val="18"/>
          <w:color w:val="58595B"/>
        </w:rPr>
        <w:t>It means that you give someone else the right to vote your shares in accordance with your instructions. In this case, we are asking you to give your proxy to our Chief Executive Officer, Corporate Secretary and Assistant Corporate Secretary, who are sometimes referred to as the "proxy holders." By giving your proxy to the proxy holders, you assure that your vote will be counted even if you are unable to attend the annual meeting. If you give your proxy but do not include specific instructions on how to vote on a particular proposal described in this proxy statement, the proxy holders will vote your shares in accordance with the recommendation of the board for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106680</wp:posOffset>
            </wp:positionV>
            <wp:extent cx="7144385" cy="297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7"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FFFFFF"/>
        </w:rPr>
        <w:t>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132715</wp:posOffset>
            </wp:positionV>
            <wp:extent cx="7144385" cy="172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672465</wp:posOffset>
            </wp:positionV>
            <wp:extent cx="71443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40"/>
          </w:cols>
          <w:pgMar w:left="780" w:top="807" w:right="8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FFFFFF"/>
        </w:rPr>
        <w:t>3</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ON WHAT AM I VOTING?</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You will be asked to consider five proposals at the annual meeting.</w:t>
      </w:r>
    </w:p>
    <w:p>
      <w:pPr>
        <w:spacing w:after="0" w:line="175" w:lineRule="exact"/>
        <w:rPr>
          <w:sz w:val="20"/>
          <w:szCs w:val="20"/>
          <w:color w:val="auto"/>
        </w:rPr>
      </w:pPr>
    </w:p>
    <w:p>
      <w:pPr>
        <w:ind w:left="1640" w:hanging="286"/>
        <w:spacing w:after="0"/>
        <w:tabs>
          <w:tab w:leader="none" w:pos="1640" w:val="left"/>
        </w:tabs>
        <w:numPr>
          <w:ilvl w:val="0"/>
          <w:numId w:val="20"/>
        </w:numPr>
        <w:rPr>
          <w:rFonts w:ascii="Arial" w:cs="Arial" w:eastAsia="Arial" w:hAnsi="Arial"/>
          <w:sz w:val="18"/>
          <w:szCs w:val="18"/>
          <w:color w:val="264F78"/>
        </w:rPr>
      </w:pPr>
      <w:r>
        <w:rPr>
          <w:rFonts w:ascii="Arial" w:cs="Arial" w:eastAsia="Arial" w:hAnsi="Arial"/>
          <w:sz w:val="18"/>
          <w:szCs w:val="18"/>
          <w:b w:val="1"/>
          <w:bCs w:val="1"/>
          <w:color w:val="264F78"/>
        </w:rPr>
        <w:t xml:space="preserve">Proposal No. 1 </w:t>
      </w:r>
      <w:r>
        <w:rPr>
          <w:rFonts w:ascii="Arial" w:cs="Arial" w:eastAsia="Arial" w:hAnsi="Arial"/>
          <w:sz w:val="18"/>
          <w:szCs w:val="18"/>
          <w:color w:val="58595B"/>
        </w:rPr>
        <w:t>asks you to</w:t>
      </w:r>
      <w:r>
        <w:rPr>
          <w:rFonts w:ascii="Arial" w:cs="Arial" w:eastAsia="Arial" w:hAnsi="Arial"/>
          <w:sz w:val="18"/>
          <w:szCs w:val="18"/>
          <w:b w:val="1"/>
          <w:bCs w:val="1"/>
          <w:color w:val="264F78"/>
        </w:rPr>
        <w:t xml:space="preserve"> </w:t>
      </w:r>
      <w:r>
        <w:rPr>
          <w:rFonts w:ascii="Arial" w:cs="Arial" w:eastAsia="Arial" w:hAnsi="Arial"/>
          <w:sz w:val="18"/>
          <w:szCs w:val="18"/>
          <w:b w:val="1"/>
          <w:bCs w:val="1"/>
          <w:color w:val="58595B"/>
        </w:rPr>
        <w:t>elect four Class III directors to serve until the 2029 Annual Meeting of</w:t>
      </w:r>
    </w:p>
    <w:p>
      <w:pPr>
        <w:spacing w:after="0" w:line="8" w:lineRule="exact"/>
        <w:rPr>
          <w:rFonts w:ascii="Arial" w:cs="Arial" w:eastAsia="Arial" w:hAnsi="Arial"/>
          <w:sz w:val="18"/>
          <w:szCs w:val="18"/>
          <w:color w:val="264F78"/>
        </w:rPr>
      </w:pPr>
    </w:p>
    <w:p>
      <w:pPr>
        <w:ind w:left="1640"/>
        <w:spacing w:after="0"/>
        <w:rPr>
          <w:rFonts w:ascii="Arial" w:cs="Arial" w:eastAsia="Arial" w:hAnsi="Arial"/>
          <w:sz w:val="18"/>
          <w:szCs w:val="18"/>
          <w:color w:val="264F78"/>
        </w:rPr>
      </w:pPr>
      <w:r>
        <w:rPr>
          <w:rFonts w:ascii="Arial" w:cs="Arial" w:eastAsia="Arial" w:hAnsi="Arial"/>
          <w:sz w:val="18"/>
          <w:szCs w:val="18"/>
          <w:b w:val="1"/>
          <w:bCs w:val="1"/>
          <w:color w:val="58595B"/>
        </w:rPr>
        <w:t>Shareholders.</w:t>
      </w:r>
    </w:p>
    <w:p>
      <w:pPr>
        <w:spacing w:after="0" w:line="169" w:lineRule="exact"/>
        <w:rPr>
          <w:rFonts w:ascii="Arial" w:cs="Arial" w:eastAsia="Arial" w:hAnsi="Arial"/>
          <w:sz w:val="18"/>
          <w:szCs w:val="18"/>
          <w:color w:val="264F78"/>
        </w:rPr>
      </w:pPr>
    </w:p>
    <w:p>
      <w:pPr>
        <w:ind w:left="1640" w:right="900" w:hanging="286"/>
        <w:spacing w:after="0" w:line="275" w:lineRule="auto"/>
        <w:tabs>
          <w:tab w:leader="none" w:pos="1640" w:val="left"/>
        </w:tabs>
        <w:numPr>
          <w:ilvl w:val="0"/>
          <w:numId w:val="20"/>
        </w:numPr>
        <w:rPr>
          <w:rFonts w:ascii="Arial" w:cs="Arial" w:eastAsia="Arial" w:hAnsi="Arial"/>
          <w:sz w:val="18"/>
          <w:szCs w:val="18"/>
          <w:color w:val="264F78"/>
        </w:rPr>
      </w:pPr>
      <w:r>
        <w:rPr>
          <w:rFonts w:ascii="Arial" w:cs="Arial" w:eastAsia="Arial" w:hAnsi="Arial"/>
          <w:sz w:val="18"/>
          <w:szCs w:val="18"/>
          <w:b w:val="1"/>
          <w:bCs w:val="1"/>
          <w:color w:val="264F78"/>
        </w:rPr>
        <w:t xml:space="preserve">Proposal No. 2 </w:t>
      </w:r>
      <w:r>
        <w:rPr>
          <w:rFonts w:ascii="Arial" w:cs="Arial" w:eastAsia="Arial" w:hAnsi="Arial"/>
          <w:sz w:val="18"/>
          <w:szCs w:val="18"/>
          <w:color w:val="58595B"/>
        </w:rPr>
        <w:t>asks you to</w:t>
      </w:r>
      <w:r>
        <w:rPr>
          <w:rFonts w:ascii="Arial" w:cs="Arial" w:eastAsia="Arial" w:hAnsi="Arial"/>
          <w:sz w:val="18"/>
          <w:szCs w:val="18"/>
          <w:b w:val="1"/>
          <w:bCs w:val="1"/>
          <w:color w:val="264F78"/>
        </w:rPr>
        <w:t xml:space="preserve"> </w:t>
      </w:r>
      <w:r>
        <w:rPr>
          <w:rFonts w:ascii="Arial" w:cs="Arial" w:eastAsia="Arial" w:hAnsi="Arial"/>
          <w:sz w:val="18"/>
          <w:szCs w:val="18"/>
          <w:b w:val="1"/>
          <w:bCs w:val="1"/>
          <w:color w:val="58595B"/>
        </w:rPr>
        <w:t>approve the Amended and Restated Articles of Incorporation to implement</w:t>
      </w:r>
      <w:r>
        <w:rPr>
          <w:rFonts w:ascii="Arial" w:cs="Arial" w:eastAsia="Arial" w:hAnsi="Arial"/>
          <w:sz w:val="18"/>
          <w:szCs w:val="18"/>
          <w:b w:val="1"/>
          <w:bCs w:val="1"/>
          <w:color w:val="264F78"/>
        </w:rPr>
        <w:t xml:space="preserve"> </w:t>
      </w:r>
      <w:r>
        <w:rPr>
          <w:rFonts w:ascii="Arial" w:cs="Arial" w:eastAsia="Arial" w:hAnsi="Arial"/>
          <w:sz w:val="18"/>
          <w:szCs w:val="18"/>
          <w:b w:val="1"/>
          <w:bCs w:val="1"/>
          <w:color w:val="58595B"/>
        </w:rPr>
        <w:t>annual elections of directors.</w:t>
      </w:r>
    </w:p>
    <w:p>
      <w:pPr>
        <w:spacing w:after="0" w:line="124" w:lineRule="exact"/>
        <w:rPr>
          <w:rFonts w:ascii="Arial" w:cs="Arial" w:eastAsia="Arial" w:hAnsi="Arial"/>
          <w:sz w:val="18"/>
          <w:szCs w:val="18"/>
          <w:color w:val="264F78"/>
        </w:rPr>
      </w:pPr>
    </w:p>
    <w:p>
      <w:pPr>
        <w:ind w:left="1640" w:right="880" w:hanging="286"/>
        <w:spacing w:after="0" w:line="280" w:lineRule="auto"/>
        <w:tabs>
          <w:tab w:leader="none" w:pos="1640" w:val="left"/>
        </w:tabs>
        <w:numPr>
          <w:ilvl w:val="0"/>
          <w:numId w:val="20"/>
        </w:numPr>
        <w:rPr>
          <w:rFonts w:ascii="Arial" w:cs="Arial" w:eastAsia="Arial" w:hAnsi="Arial"/>
          <w:sz w:val="18"/>
          <w:szCs w:val="18"/>
          <w:color w:val="264F78"/>
        </w:rPr>
      </w:pPr>
      <w:r>
        <w:rPr>
          <w:rFonts w:ascii="Arial" w:cs="Arial" w:eastAsia="Arial" w:hAnsi="Arial"/>
          <w:sz w:val="17"/>
          <w:szCs w:val="17"/>
          <w:b w:val="1"/>
          <w:bCs w:val="1"/>
          <w:color w:val="264F78"/>
        </w:rPr>
        <w:t xml:space="preserve">Proposal No. 3 </w:t>
      </w:r>
      <w:r>
        <w:rPr>
          <w:rFonts w:ascii="Arial" w:cs="Arial" w:eastAsia="Arial" w:hAnsi="Arial"/>
          <w:sz w:val="17"/>
          <w:szCs w:val="17"/>
          <w:color w:val="58595B"/>
        </w:rPr>
        <w:t>asks you to</w:t>
      </w:r>
      <w:r>
        <w:rPr>
          <w:rFonts w:ascii="Arial" w:cs="Arial" w:eastAsia="Arial" w:hAnsi="Arial"/>
          <w:sz w:val="17"/>
          <w:szCs w:val="17"/>
          <w:b w:val="1"/>
          <w:bCs w:val="1"/>
          <w:color w:val="264F78"/>
        </w:rPr>
        <w:t xml:space="preserve"> </w:t>
      </w:r>
      <w:r>
        <w:rPr>
          <w:rFonts w:ascii="Arial" w:cs="Arial" w:eastAsia="Arial" w:hAnsi="Arial"/>
          <w:sz w:val="17"/>
          <w:szCs w:val="17"/>
          <w:b w:val="1"/>
          <w:bCs w:val="1"/>
          <w:color w:val="58595B"/>
        </w:rPr>
        <w:t>approve, on a non-binding advisory basis, the compensation paid to our named</w:t>
      </w:r>
      <w:r>
        <w:rPr>
          <w:rFonts w:ascii="Arial" w:cs="Arial" w:eastAsia="Arial" w:hAnsi="Arial"/>
          <w:sz w:val="17"/>
          <w:szCs w:val="17"/>
          <w:b w:val="1"/>
          <w:bCs w:val="1"/>
          <w:color w:val="264F78"/>
        </w:rPr>
        <w:t xml:space="preserve"> </w:t>
      </w:r>
      <w:r>
        <w:rPr>
          <w:rFonts w:ascii="Arial" w:cs="Arial" w:eastAsia="Arial" w:hAnsi="Arial"/>
          <w:sz w:val="17"/>
          <w:szCs w:val="17"/>
          <w:b w:val="1"/>
          <w:bCs w:val="1"/>
          <w:color w:val="58595B"/>
        </w:rPr>
        <w:t xml:space="preserve">executive officers in 2025 (the </w:t>
      </w:r>
      <w:r>
        <w:rPr>
          <w:rFonts w:ascii="Arial" w:cs="Arial" w:eastAsia="Arial" w:hAnsi="Arial"/>
          <w:sz w:val="17"/>
          <w:szCs w:val="17"/>
          <w:b w:val="1"/>
          <w:bCs w:val="1"/>
          <w:i w:val="1"/>
          <w:iCs w:val="1"/>
          <w:color w:val="58595B"/>
        </w:rPr>
        <w:t>Say-on-Pay Proposal</w:t>
      </w:r>
      <w:r>
        <w:rPr>
          <w:rFonts w:ascii="Arial" w:cs="Arial" w:eastAsia="Arial" w:hAnsi="Arial"/>
          <w:sz w:val="17"/>
          <w:szCs w:val="17"/>
          <w:b w:val="1"/>
          <w:bCs w:val="1"/>
          <w:color w:val="58595B"/>
        </w:rPr>
        <w:t>).</w:t>
      </w:r>
    </w:p>
    <w:p>
      <w:pPr>
        <w:spacing w:after="0" w:line="114" w:lineRule="exact"/>
        <w:rPr>
          <w:rFonts w:ascii="Arial" w:cs="Arial" w:eastAsia="Arial" w:hAnsi="Arial"/>
          <w:sz w:val="18"/>
          <w:szCs w:val="18"/>
          <w:color w:val="264F78"/>
        </w:rPr>
      </w:pPr>
    </w:p>
    <w:p>
      <w:pPr>
        <w:ind w:left="1640" w:right="1800" w:hanging="286"/>
        <w:spacing w:after="0" w:line="275" w:lineRule="auto"/>
        <w:tabs>
          <w:tab w:leader="none" w:pos="1640" w:val="left"/>
        </w:tabs>
        <w:numPr>
          <w:ilvl w:val="0"/>
          <w:numId w:val="20"/>
        </w:numPr>
        <w:rPr>
          <w:rFonts w:ascii="Arial" w:cs="Arial" w:eastAsia="Arial" w:hAnsi="Arial"/>
          <w:sz w:val="18"/>
          <w:szCs w:val="18"/>
          <w:color w:val="264F78"/>
        </w:rPr>
      </w:pPr>
      <w:r>
        <w:rPr>
          <w:rFonts w:ascii="Arial" w:cs="Arial" w:eastAsia="Arial" w:hAnsi="Arial"/>
          <w:sz w:val="18"/>
          <w:szCs w:val="18"/>
          <w:b w:val="1"/>
          <w:bCs w:val="1"/>
          <w:color w:val="58595B"/>
        </w:rPr>
        <w:t xml:space="preserve">Proposal No. 4 </w:t>
      </w:r>
      <w:r>
        <w:rPr>
          <w:rFonts w:ascii="Arial" w:cs="Arial" w:eastAsia="Arial" w:hAnsi="Arial"/>
          <w:sz w:val="18"/>
          <w:szCs w:val="18"/>
          <w:color w:val="58595B"/>
        </w:rPr>
        <w:t>asks you to</w:t>
      </w:r>
      <w:r>
        <w:rPr>
          <w:rFonts w:ascii="Arial" w:cs="Arial" w:eastAsia="Arial" w:hAnsi="Arial"/>
          <w:sz w:val="18"/>
          <w:szCs w:val="18"/>
          <w:b w:val="1"/>
          <w:bCs w:val="1"/>
          <w:color w:val="58595B"/>
        </w:rPr>
        <w:t xml:space="preserve"> ratify the appointment of Ernst &amp; Young LLP as our independent registered public accounting firm for the 2026 fiscal year.</w:t>
      </w:r>
    </w:p>
    <w:p>
      <w:pPr>
        <w:spacing w:after="0" w:line="288"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HOW DOES THE BOARD RECOMMEND THAT I VOTE ON THESE PROPOSALS?</w:t>
      </w:r>
    </w:p>
    <w:p>
      <w:pPr>
        <w:spacing w:after="0" w:line="193" w:lineRule="exact"/>
        <w:rPr>
          <w:sz w:val="20"/>
          <w:szCs w:val="20"/>
          <w:color w:val="auto"/>
        </w:rPr>
      </w:pPr>
    </w:p>
    <w:p>
      <w:pPr>
        <w:ind w:left="1180" w:right="1020"/>
        <w:spacing w:after="0" w:line="266" w:lineRule="auto"/>
        <w:rPr>
          <w:sz w:val="20"/>
          <w:szCs w:val="20"/>
          <w:color w:val="auto"/>
        </w:rPr>
      </w:pPr>
      <w:r>
        <w:rPr>
          <w:rFonts w:ascii="Arial" w:cs="Arial" w:eastAsia="Arial" w:hAnsi="Arial"/>
          <w:sz w:val="18"/>
          <w:szCs w:val="18"/>
          <w:color w:val="58595B"/>
        </w:rPr>
        <w:t>The board recommends that you vote "FOR ALL" director nominees in Proposal 1, and "FOR" Proposals 2, 3 and 4.</w:t>
      </w:r>
    </w:p>
    <w:p>
      <w:pPr>
        <w:spacing w:after="0" w:line="304"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WHAT HAPPENS IF OTHER MATTERS ARE RAISED AT THE MEETING?</w:t>
      </w:r>
    </w:p>
    <w:p>
      <w:pPr>
        <w:spacing w:after="0" w:line="193" w:lineRule="exact"/>
        <w:rPr>
          <w:sz w:val="20"/>
          <w:szCs w:val="20"/>
          <w:color w:val="auto"/>
        </w:rPr>
      </w:pPr>
    </w:p>
    <w:p>
      <w:pPr>
        <w:ind w:left="1180" w:right="900"/>
        <w:spacing w:after="0" w:line="241" w:lineRule="auto"/>
        <w:rPr>
          <w:sz w:val="20"/>
          <w:szCs w:val="20"/>
          <w:color w:val="auto"/>
        </w:rPr>
      </w:pPr>
      <w:r>
        <w:rPr>
          <w:rFonts w:ascii="Arial" w:cs="Arial" w:eastAsia="Arial" w:hAnsi="Arial"/>
          <w:sz w:val="18"/>
          <w:szCs w:val="18"/>
          <w:color w:val="58595B"/>
        </w:rPr>
        <w:t>Although we are not aware of any matters to be presented at the virtual annual meeting other than those contained in the Notice of Annual Meeting, if other matters are properly raised at the virtual annual meeting in accordance with the procedures specified in our articles of incorporation and bylaws, or applicable law, all proxies given to the proxy holders will be voted in accordance with their best judgment.</w:t>
      </w:r>
    </w:p>
    <w:p>
      <w:pPr>
        <w:spacing w:after="0" w:line="32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WHAT IF I SUBMIT A PROXY AND LATER CHANGE MY MIND?</w:t>
      </w:r>
    </w:p>
    <w:p>
      <w:pPr>
        <w:spacing w:after="0" w:line="193" w:lineRule="exact"/>
        <w:rPr>
          <w:sz w:val="20"/>
          <w:szCs w:val="20"/>
          <w:color w:val="auto"/>
        </w:rPr>
      </w:pPr>
    </w:p>
    <w:p>
      <w:pPr>
        <w:ind w:left="1180" w:right="980"/>
        <w:spacing w:after="0" w:line="241" w:lineRule="auto"/>
        <w:rPr>
          <w:sz w:val="20"/>
          <w:szCs w:val="20"/>
          <w:color w:val="auto"/>
        </w:rPr>
      </w:pPr>
      <w:r>
        <w:rPr>
          <w:rFonts w:ascii="Arial" w:cs="Arial" w:eastAsia="Arial" w:hAnsi="Arial"/>
          <w:sz w:val="18"/>
          <w:szCs w:val="18"/>
          <w:color w:val="58595B"/>
        </w:rPr>
        <w:t>If you have submitted your proxy and later wish to revoke it, you may do so by doing one of the following: giving written notice to the Corporate Secretary prior to the virtual annual meeting; submitting another proxy bearing a later date (in any of the permitted forms) prior to the virtual annual meeting; or casting a ballot at the virtual annual meeting.</w:t>
      </w:r>
    </w:p>
    <w:p>
      <w:pPr>
        <w:spacing w:after="0" w:line="32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WHO WILL COUNT THE VOTES?</w:t>
      </w:r>
    </w:p>
    <w:p>
      <w:pPr>
        <w:spacing w:after="0" w:line="193" w:lineRule="exact"/>
        <w:rPr>
          <w:sz w:val="20"/>
          <w:szCs w:val="20"/>
          <w:color w:val="auto"/>
        </w:rPr>
      </w:pPr>
    </w:p>
    <w:p>
      <w:pPr>
        <w:ind w:left="1180" w:right="1160"/>
        <w:spacing w:after="0" w:line="266" w:lineRule="auto"/>
        <w:rPr>
          <w:sz w:val="20"/>
          <w:szCs w:val="20"/>
          <w:color w:val="auto"/>
        </w:rPr>
      </w:pPr>
      <w:r>
        <w:rPr>
          <w:rFonts w:ascii="Arial" w:cs="Arial" w:eastAsia="Arial" w:hAnsi="Arial"/>
          <w:sz w:val="18"/>
          <w:szCs w:val="18"/>
          <w:color w:val="58595B"/>
        </w:rPr>
        <w:t>Broadridge Investor Communications Services will serve as proxy tabulator and count the votes, and the results will be certified by the inspector of election.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350"/>
              <w:spacing w:after="0"/>
              <w:rPr>
                <w:sz w:val="20"/>
                <w:szCs w:val="20"/>
                <w:color w:val="auto"/>
              </w:rPr>
            </w:pPr>
            <w:r>
              <w:rPr>
                <w:rFonts w:ascii="Arial" w:cs="Arial" w:eastAsia="Arial" w:hAnsi="Arial"/>
                <w:sz w:val="18"/>
                <w:szCs w:val="18"/>
                <w:color w:val="FFFFFF"/>
              </w:rPr>
              <w:t>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3" w:right="339" w:bottom="1440" w:gutter="0" w:footer="0" w:header="0"/>
        </w:sectPr>
      </w:pPr>
    </w:p>
    <w:bookmarkStart w:id="8" w:name="page9"/>
    <w:bookmarkEnd w:id="8"/>
    <w:p>
      <w:pPr>
        <w:ind w:left="720"/>
        <w:spacing w:after="0"/>
        <w:rPr>
          <w:sz w:val="20"/>
          <w:szCs w:val="20"/>
          <w:color w:val="auto"/>
        </w:rPr>
      </w:pPr>
      <w:r>
        <w:rPr>
          <w:rFonts w:ascii="Arial" w:cs="Arial" w:eastAsia="Arial" w:hAnsi="Arial"/>
          <w:sz w:val="23"/>
          <w:szCs w:val="23"/>
          <w:b w:val="1"/>
          <w:bCs w:val="1"/>
          <w:color w:val="5E769B"/>
        </w:rPr>
        <w:t>HOW MANY VOTES MUST EACH PROPOSAL RECEIVE TO BE ADOPTED?</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color w:val="58595B"/>
        </w:rPr>
        <w:t>The following votes must be received:</w:t>
      </w:r>
    </w:p>
    <w:p>
      <w:pPr>
        <w:spacing w:after="0" w:line="175" w:lineRule="exact"/>
        <w:rPr>
          <w:sz w:val="20"/>
          <w:szCs w:val="20"/>
          <w:color w:val="auto"/>
        </w:rPr>
      </w:pPr>
    </w:p>
    <w:p>
      <w:pPr>
        <w:jc w:val="both"/>
        <w:ind w:left="1180" w:right="600" w:hanging="286"/>
        <w:spacing w:after="0" w:line="241" w:lineRule="auto"/>
        <w:tabs>
          <w:tab w:leader="none" w:pos="1180" w:val="left"/>
        </w:tabs>
        <w:numPr>
          <w:ilvl w:val="0"/>
          <w:numId w:val="21"/>
        </w:numPr>
        <w:rPr>
          <w:rFonts w:ascii="Arial" w:cs="Arial" w:eastAsia="Arial" w:hAnsi="Arial"/>
          <w:sz w:val="18"/>
          <w:szCs w:val="18"/>
          <w:color w:val="264F78"/>
        </w:rPr>
      </w:pPr>
      <w:r>
        <w:rPr>
          <w:rFonts w:ascii="Arial" w:cs="Arial" w:eastAsia="Arial" w:hAnsi="Arial"/>
          <w:sz w:val="18"/>
          <w:szCs w:val="18"/>
          <w:b w:val="1"/>
          <w:bCs w:val="1"/>
          <w:color w:val="264F78"/>
        </w:rPr>
        <w:t xml:space="preserve">For Proposal No. 1 </w:t>
      </w:r>
      <w:r>
        <w:rPr>
          <w:rFonts w:ascii="Arial" w:cs="Arial" w:eastAsia="Arial" w:hAnsi="Arial"/>
          <w:sz w:val="18"/>
          <w:szCs w:val="18"/>
          <w:b w:val="1"/>
          <w:bCs w:val="1"/>
          <w:color w:val="58595B"/>
        </w:rPr>
        <w:t>regarding the election of directors</w:t>
      </w:r>
      <w:r>
        <w:rPr>
          <w:rFonts w:ascii="Arial" w:cs="Arial" w:eastAsia="Arial" w:hAnsi="Arial"/>
          <w:sz w:val="18"/>
          <w:szCs w:val="18"/>
          <w:color w:val="58595B"/>
        </w:rPr>
        <w:t>, a majority of votes of our common stock cast is</w:t>
      </w:r>
      <w:r>
        <w:rPr>
          <w:rFonts w:ascii="Arial" w:cs="Arial" w:eastAsia="Arial" w:hAnsi="Arial"/>
          <w:sz w:val="18"/>
          <w:szCs w:val="18"/>
          <w:b w:val="1"/>
          <w:bCs w:val="1"/>
          <w:color w:val="264F78"/>
        </w:rPr>
        <w:t xml:space="preserve"> </w:t>
      </w:r>
      <w:r>
        <w:rPr>
          <w:rFonts w:ascii="Arial" w:cs="Arial" w:eastAsia="Arial" w:hAnsi="Arial"/>
          <w:sz w:val="18"/>
          <w:szCs w:val="18"/>
          <w:color w:val="58595B"/>
        </w:rPr>
        <w:t>required to elect a director, meaning that the votes cast for a director nominee must exceed the number of votes cast against that director nominee. Abstentions and broker non-votes are not counted as votes cast and will therefore have no effect on the outcome of the election.</w:t>
      </w:r>
    </w:p>
    <w:p>
      <w:pPr>
        <w:spacing w:after="0" w:line="154" w:lineRule="exact"/>
        <w:rPr>
          <w:rFonts w:ascii="Arial" w:cs="Arial" w:eastAsia="Arial" w:hAnsi="Arial"/>
          <w:sz w:val="18"/>
          <w:szCs w:val="18"/>
          <w:color w:val="264F78"/>
        </w:rPr>
      </w:pPr>
    </w:p>
    <w:p>
      <w:pPr>
        <w:ind w:left="1180" w:right="480" w:hanging="286"/>
        <w:spacing w:after="0" w:line="241" w:lineRule="auto"/>
        <w:tabs>
          <w:tab w:leader="none" w:pos="1180" w:val="left"/>
        </w:tabs>
        <w:numPr>
          <w:ilvl w:val="0"/>
          <w:numId w:val="21"/>
        </w:numPr>
        <w:rPr>
          <w:rFonts w:ascii="Arial" w:cs="Arial" w:eastAsia="Arial" w:hAnsi="Arial"/>
          <w:sz w:val="18"/>
          <w:szCs w:val="18"/>
          <w:color w:val="264F78"/>
        </w:rPr>
      </w:pPr>
      <w:r>
        <w:rPr>
          <w:rFonts w:ascii="Arial" w:cs="Arial" w:eastAsia="Arial" w:hAnsi="Arial"/>
          <w:sz w:val="18"/>
          <w:szCs w:val="18"/>
          <w:b w:val="1"/>
          <w:bCs w:val="1"/>
          <w:color w:val="264F78"/>
        </w:rPr>
        <w:t xml:space="preserve">For Proposal No. 2 </w:t>
      </w:r>
      <w:r>
        <w:rPr>
          <w:rFonts w:ascii="Arial" w:cs="Arial" w:eastAsia="Arial" w:hAnsi="Arial"/>
          <w:sz w:val="18"/>
          <w:szCs w:val="18"/>
          <w:b w:val="1"/>
          <w:bCs w:val="1"/>
          <w:color w:val="58595B"/>
        </w:rPr>
        <w:t>regarding the approval of the Amended and Restated Articles of Incorporation to</w:t>
      </w:r>
      <w:r>
        <w:rPr>
          <w:rFonts w:ascii="Arial" w:cs="Arial" w:eastAsia="Arial" w:hAnsi="Arial"/>
          <w:sz w:val="18"/>
          <w:szCs w:val="18"/>
          <w:b w:val="1"/>
          <w:bCs w:val="1"/>
          <w:color w:val="264F78"/>
        </w:rPr>
        <w:t xml:space="preserve"> </w:t>
      </w:r>
      <w:r>
        <w:rPr>
          <w:rFonts w:ascii="Arial" w:cs="Arial" w:eastAsia="Arial" w:hAnsi="Arial"/>
          <w:sz w:val="18"/>
          <w:szCs w:val="18"/>
          <w:b w:val="1"/>
          <w:bCs w:val="1"/>
          <w:color w:val="58595B"/>
        </w:rPr>
        <w:t>implement annual elections of directors</w:t>
      </w:r>
      <w:r>
        <w:rPr>
          <w:rFonts w:ascii="Arial" w:cs="Arial" w:eastAsia="Arial" w:hAnsi="Arial"/>
          <w:sz w:val="18"/>
          <w:szCs w:val="18"/>
          <w:color w:val="58595B"/>
        </w:rPr>
        <w:t>, the affirmative vote of the holders of a majority of the voting</w:t>
      </w:r>
      <w:r>
        <w:rPr>
          <w:rFonts w:ascii="Arial" w:cs="Arial" w:eastAsia="Arial" w:hAnsi="Arial"/>
          <w:sz w:val="18"/>
          <w:szCs w:val="18"/>
          <w:b w:val="1"/>
          <w:bCs w:val="1"/>
          <w:color w:val="58595B"/>
        </w:rPr>
        <w:t xml:space="preserve"> </w:t>
      </w:r>
      <w:r>
        <w:rPr>
          <w:rFonts w:ascii="Arial" w:cs="Arial" w:eastAsia="Arial" w:hAnsi="Arial"/>
          <w:sz w:val="18"/>
          <w:szCs w:val="18"/>
          <w:color w:val="58595B"/>
        </w:rPr>
        <w:t>power of our outstanding common stock entitled to vote thereon is required for approval. Abstentions and broker non-votes will have the effect of a vote against Proposal No. 2.</w:t>
      </w:r>
    </w:p>
    <w:p>
      <w:pPr>
        <w:spacing w:after="0" w:line="154" w:lineRule="exact"/>
        <w:rPr>
          <w:rFonts w:ascii="Arial" w:cs="Arial" w:eastAsia="Arial" w:hAnsi="Arial"/>
          <w:sz w:val="18"/>
          <w:szCs w:val="18"/>
          <w:color w:val="264F78"/>
        </w:rPr>
      </w:pPr>
    </w:p>
    <w:p>
      <w:pPr>
        <w:ind w:left="1180" w:right="580" w:hanging="286"/>
        <w:spacing w:after="0" w:line="234" w:lineRule="auto"/>
        <w:tabs>
          <w:tab w:leader="none" w:pos="1180" w:val="left"/>
        </w:tabs>
        <w:numPr>
          <w:ilvl w:val="0"/>
          <w:numId w:val="21"/>
        </w:numPr>
        <w:rPr>
          <w:rFonts w:ascii="Arial" w:cs="Arial" w:eastAsia="Arial" w:hAnsi="Arial"/>
          <w:sz w:val="18"/>
          <w:szCs w:val="18"/>
          <w:color w:val="264F78"/>
        </w:rPr>
      </w:pPr>
      <w:r>
        <w:rPr>
          <w:rFonts w:ascii="Arial" w:cs="Arial" w:eastAsia="Arial" w:hAnsi="Arial"/>
          <w:sz w:val="18"/>
          <w:szCs w:val="18"/>
          <w:b w:val="1"/>
          <w:bCs w:val="1"/>
          <w:color w:val="264F78"/>
        </w:rPr>
        <w:t xml:space="preserve">For Proposal No. 3 </w:t>
      </w:r>
      <w:r>
        <w:rPr>
          <w:rFonts w:ascii="Arial" w:cs="Arial" w:eastAsia="Arial" w:hAnsi="Arial"/>
          <w:sz w:val="18"/>
          <w:szCs w:val="18"/>
          <w:b w:val="1"/>
          <w:bCs w:val="1"/>
          <w:color w:val="58595B"/>
        </w:rPr>
        <w:t>regarding a non-binding advisory vote on the compensation paid to our named</w:t>
      </w:r>
      <w:r>
        <w:rPr>
          <w:rFonts w:ascii="Arial" w:cs="Arial" w:eastAsia="Arial" w:hAnsi="Arial"/>
          <w:sz w:val="18"/>
          <w:szCs w:val="18"/>
          <w:b w:val="1"/>
          <w:bCs w:val="1"/>
          <w:color w:val="264F78"/>
        </w:rPr>
        <w:t xml:space="preserve"> </w:t>
      </w:r>
      <w:r>
        <w:rPr>
          <w:rFonts w:ascii="Arial" w:cs="Arial" w:eastAsia="Arial" w:hAnsi="Arial"/>
          <w:sz w:val="18"/>
          <w:szCs w:val="18"/>
          <w:b w:val="1"/>
          <w:bCs w:val="1"/>
          <w:color w:val="58595B"/>
        </w:rPr>
        <w:t>executive officers</w:t>
      </w:r>
      <w:r>
        <w:rPr>
          <w:rFonts w:ascii="Arial" w:cs="Arial" w:eastAsia="Arial" w:hAnsi="Arial"/>
          <w:sz w:val="18"/>
          <w:szCs w:val="18"/>
          <w:color w:val="58595B"/>
        </w:rPr>
        <w:t>, this vote is advisory in nature. Our bylaws require that proposals relating to matters</w:t>
      </w:r>
      <w:r>
        <w:rPr>
          <w:rFonts w:ascii="Arial" w:cs="Arial" w:eastAsia="Arial" w:hAnsi="Arial"/>
          <w:sz w:val="18"/>
          <w:szCs w:val="18"/>
          <w:b w:val="1"/>
          <w:bCs w:val="1"/>
          <w:color w:val="58595B"/>
        </w:rPr>
        <w:t xml:space="preserve"> </w:t>
      </w:r>
      <w:r>
        <w:rPr>
          <w:rFonts w:ascii="Arial" w:cs="Arial" w:eastAsia="Arial" w:hAnsi="Arial"/>
          <w:sz w:val="18"/>
          <w:szCs w:val="18"/>
          <w:color w:val="58595B"/>
        </w:rPr>
        <w:t>other than the election of directors be approved by the affirmative vote of a majority of the shares of our common stock represented and entitled to vote at the meeting, in which case abstentions and broker non-votes will have the effect of a vote against Proposal No. 3. Because the vote on Proposal No. 3 is advisory and therefore will not be binding on the Company, the board will review the voting result and take it into consideration when making future decisions regarding the compensation paid to our named executive officers.</w:t>
      </w:r>
    </w:p>
    <w:p>
      <w:pPr>
        <w:spacing w:after="0" w:line="160" w:lineRule="exact"/>
        <w:rPr>
          <w:rFonts w:ascii="Arial" w:cs="Arial" w:eastAsia="Arial" w:hAnsi="Arial"/>
          <w:sz w:val="18"/>
          <w:szCs w:val="18"/>
          <w:color w:val="264F78"/>
        </w:rPr>
      </w:pPr>
    </w:p>
    <w:p>
      <w:pPr>
        <w:ind w:left="1180" w:right="460" w:hanging="286"/>
        <w:spacing w:after="0" w:line="235" w:lineRule="auto"/>
        <w:tabs>
          <w:tab w:leader="none" w:pos="1180" w:val="left"/>
        </w:tabs>
        <w:numPr>
          <w:ilvl w:val="0"/>
          <w:numId w:val="21"/>
        </w:numPr>
        <w:rPr>
          <w:rFonts w:ascii="Arial" w:cs="Arial" w:eastAsia="Arial" w:hAnsi="Arial"/>
          <w:sz w:val="18"/>
          <w:szCs w:val="18"/>
          <w:color w:val="264F78"/>
        </w:rPr>
      </w:pPr>
      <w:r>
        <w:rPr>
          <w:rFonts w:ascii="Arial" w:cs="Arial" w:eastAsia="Arial" w:hAnsi="Arial"/>
          <w:sz w:val="18"/>
          <w:szCs w:val="18"/>
          <w:b w:val="1"/>
          <w:bCs w:val="1"/>
          <w:color w:val="264F78"/>
        </w:rPr>
        <w:t xml:space="preserve">For Proposal No. 4 </w:t>
      </w:r>
      <w:r>
        <w:rPr>
          <w:rFonts w:ascii="Arial" w:cs="Arial" w:eastAsia="Arial" w:hAnsi="Arial"/>
          <w:sz w:val="18"/>
          <w:szCs w:val="18"/>
          <w:b w:val="1"/>
          <w:bCs w:val="1"/>
          <w:color w:val="58595B"/>
        </w:rPr>
        <w:t>regarding the ratification of the appointment of Ernst &amp; Young LLP</w:t>
      </w:r>
      <w:r>
        <w:rPr>
          <w:rFonts w:ascii="Arial" w:cs="Arial" w:eastAsia="Arial" w:hAnsi="Arial"/>
          <w:sz w:val="18"/>
          <w:szCs w:val="18"/>
          <w:color w:val="58595B"/>
        </w:rPr>
        <w:t>, the affirmative</w:t>
      </w:r>
      <w:r>
        <w:rPr>
          <w:rFonts w:ascii="Arial" w:cs="Arial" w:eastAsia="Arial" w:hAnsi="Arial"/>
          <w:sz w:val="18"/>
          <w:szCs w:val="18"/>
          <w:b w:val="1"/>
          <w:bCs w:val="1"/>
          <w:color w:val="264F78"/>
        </w:rPr>
        <w:t xml:space="preserve"> </w:t>
      </w:r>
      <w:r>
        <w:rPr>
          <w:rFonts w:ascii="Arial" w:cs="Arial" w:eastAsia="Arial" w:hAnsi="Arial"/>
          <w:sz w:val="18"/>
          <w:szCs w:val="18"/>
          <w:color w:val="58595B"/>
        </w:rPr>
        <w:t>vote of a majority of the shares of our common stock represented and entitled to vote at the meeting is required for approval. Abstentions and broker non-votes, if any, will have the effect of a vote against this proposal. Because this proposal is considered a "routine" matter under the rules of the New York Stock Exchange, nominees may vote in their discretion on this proposal on behalf of beneficial owners who have not furnished voting instructions, and, therefore, we do not anticipate that there will be any broker non-votes on this proposal.</w:t>
      </w:r>
    </w:p>
    <w:p>
      <w:pPr>
        <w:spacing w:after="0" w:line="330"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WHAT CONSTITUTES A QUORUM?</w:t>
      </w:r>
    </w:p>
    <w:p>
      <w:pPr>
        <w:spacing w:after="0" w:line="193" w:lineRule="exact"/>
        <w:rPr>
          <w:sz w:val="20"/>
          <w:szCs w:val="20"/>
          <w:color w:val="auto"/>
        </w:rPr>
      </w:pPr>
    </w:p>
    <w:p>
      <w:pPr>
        <w:ind w:left="720" w:right="360"/>
        <w:spacing w:after="0" w:line="241" w:lineRule="auto"/>
        <w:rPr>
          <w:sz w:val="20"/>
          <w:szCs w:val="20"/>
          <w:color w:val="auto"/>
        </w:rPr>
      </w:pPr>
      <w:r>
        <w:rPr>
          <w:rFonts w:ascii="Arial" w:cs="Arial" w:eastAsia="Arial" w:hAnsi="Arial"/>
          <w:sz w:val="18"/>
          <w:szCs w:val="18"/>
          <w:color w:val="58595B"/>
        </w:rPr>
        <w:t>A quorum is present if a majority of the outstanding shares of our capital stock issued and entitled to vote at the annual meeting are present in person or represented by proxy, regardless of whether the proxy has the authority to vote on any matter. Broker non-votes and abstentions will be counted for purposes of determining whether a quorum is present.</w:t>
      </w:r>
    </w:p>
    <w:p>
      <w:pPr>
        <w:spacing w:after="0" w:line="326" w:lineRule="exact"/>
        <w:rPr>
          <w:sz w:val="20"/>
          <w:szCs w:val="20"/>
          <w:color w:val="auto"/>
        </w:rPr>
      </w:pPr>
    </w:p>
    <w:p>
      <w:pPr>
        <w:ind w:left="720" w:right="780"/>
        <w:spacing w:after="0" w:line="294" w:lineRule="auto"/>
        <w:rPr>
          <w:sz w:val="20"/>
          <w:szCs w:val="20"/>
          <w:color w:val="auto"/>
        </w:rPr>
      </w:pPr>
      <w:r>
        <w:rPr>
          <w:rFonts w:ascii="Arial" w:cs="Arial" w:eastAsia="Arial" w:hAnsi="Arial"/>
          <w:sz w:val="23"/>
          <w:szCs w:val="23"/>
          <w:b w:val="1"/>
          <w:bCs w:val="1"/>
          <w:color w:val="5E769B"/>
        </w:rPr>
        <w:t>WHAT ARE BROKER NON-VOTES? IF I DO NOT VOTE, WILL MY BROKER VOTE FOR ME?</w:t>
      </w:r>
    </w:p>
    <w:p>
      <w:pPr>
        <w:spacing w:after="0" w:line="80" w:lineRule="exact"/>
        <w:rPr>
          <w:sz w:val="20"/>
          <w:szCs w:val="20"/>
          <w:color w:val="auto"/>
        </w:rPr>
      </w:pPr>
    </w:p>
    <w:p>
      <w:pPr>
        <w:ind w:left="720" w:right="360"/>
        <w:spacing w:after="0" w:line="241" w:lineRule="auto"/>
        <w:rPr>
          <w:sz w:val="20"/>
          <w:szCs w:val="20"/>
          <w:color w:val="auto"/>
        </w:rPr>
      </w:pPr>
      <w:r>
        <w:rPr>
          <w:rFonts w:ascii="Arial" w:cs="Arial" w:eastAsia="Arial" w:hAnsi="Arial"/>
          <w:sz w:val="18"/>
          <w:szCs w:val="18"/>
          <w:color w:val="58595B"/>
        </w:rPr>
        <w:t>Broker non-votes occur when nominees, such as banks and brokers holding shares on behalf of beneficial owners, do not receive voting instructions from the beneficial owners at least ten days before the meeting. If that happens, the nominees may vote those shares only on matters deemed "routine" by the Securities and Exchange Commission and the rules promulgated by the New York Stock Exchange thereunder.</w:t>
      </w:r>
    </w:p>
    <w:p>
      <w:pPr>
        <w:spacing w:after="0" w:line="142" w:lineRule="exact"/>
        <w:rPr>
          <w:sz w:val="20"/>
          <w:szCs w:val="20"/>
          <w:color w:val="auto"/>
        </w:rPr>
      </w:pPr>
    </w:p>
    <w:p>
      <w:pPr>
        <w:ind w:left="720" w:right="740"/>
        <w:spacing w:after="0" w:line="247" w:lineRule="auto"/>
        <w:rPr>
          <w:sz w:val="20"/>
          <w:szCs w:val="20"/>
          <w:color w:val="auto"/>
        </w:rPr>
      </w:pPr>
      <w:r>
        <w:rPr>
          <w:rFonts w:ascii="Arial" w:cs="Arial" w:eastAsia="Arial" w:hAnsi="Arial"/>
          <w:sz w:val="18"/>
          <w:szCs w:val="18"/>
          <w:color w:val="58595B"/>
        </w:rPr>
        <w:t>The Company believes that all the proposals to be voted on at the annual meeting, except for Proposal No. 4 regarding the appointment of Ernst &amp; Young LLP as our independent registered public accounting firm, are not "routine" matters. On non-routine matters, such as Proposals No.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100965</wp:posOffset>
            </wp:positionV>
            <wp:extent cx="7144385" cy="297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28"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FFFFFF"/>
        </w:rPr>
        <w:t>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132715</wp:posOffset>
            </wp:positionV>
            <wp:extent cx="7144385" cy="172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672465</wp:posOffset>
            </wp:positionV>
            <wp:extent cx="71443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40"/>
          </w:cols>
          <w:pgMar w:left="780" w:top="795" w:right="879" w:bottom="1440" w:gutter="0" w:footer="0" w:header="0"/>
        </w:sectPr>
      </w:pPr>
    </w:p>
    <w:bookmarkStart w:id="9" w:name="page10"/>
    <w:bookmarkEnd w:id="9"/>
    <w:p>
      <w:pPr>
        <w:jc w:val="both"/>
        <w:ind w:left="1180" w:right="880"/>
        <w:spacing w:after="0" w:line="247" w:lineRule="auto"/>
        <w:rPr>
          <w:sz w:val="20"/>
          <w:szCs w:val="20"/>
          <w:color w:val="auto"/>
        </w:rPr>
      </w:pPr>
      <w:r>
        <w:rPr>
          <w:rFonts w:ascii="Arial" w:cs="Arial" w:eastAsia="Arial" w:hAnsi="Arial"/>
          <w:sz w:val="18"/>
          <w:szCs w:val="18"/>
          <w:color w:val="58595B"/>
        </w:rPr>
        <w:t>and 3, nominees cannot vote unless they receive voting instructions from beneficial owners. Please be sure to give specific voting instructions to your nominee so that your vote can be counted. With respect to Proposals 2,3, and 4, broker non-votes, if any, will have the effect of a vote against such proposals.</w:t>
      </w:r>
    </w:p>
    <w:p>
      <w:pPr>
        <w:spacing w:after="0" w:line="321"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WHAT EFFECT DOES AN ABSTENTION HAVE?</w:t>
      </w:r>
    </w:p>
    <w:p>
      <w:pPr>
        <w:spacing w:after="0" w:line="193" w:lineRule="exact"/>
        <w:rPr>
          <w:sz w:val="20"/>
          <w:szCs w:val="20"/>
          <w:color w:val="auto"/>
        </w:rPr>
      </w:pPr>
    </w:p>
    <w:p>
      <w:pPr>
        <w:jc w:val="both"/>
        <w:ind w:left="1180" w:right="900"/>
        <w:spacing w:after="0" w:line="247" w:lineRule="auto"/>
        <w:rPr>
          <w:sz w:val="20"/>
          <w:szCs w:val="20"/>
          <w:color w:val="auto"/>
        </w:rPr>
      </w:pPr>
      <w:r>
        <w:rPr>
          <w:rFonts w:ascii="Arial" w:cs="Arial" w:eastAsia="Arial" w:hAnsi="Arial"/>
          <w:sz w:val="18"/>
          <w:szCs w:val="18"/>
          <w:color w:val="58595B"/>
        </w:rPr>
        <w:t>With respect to Proposal No. 1, abstentions or directions to withhold authority will not be considered "votes cast" or included in vote totals and will not affect the outcome of the vote. With respect to each of Proposals No. 2, 3 and 4, abstentions will have the effect of a vote against the proposals.</w:t>
      </w:r>
    </w:p>
    <w:p>
      <w:pPr>
        <w:spacing w:after="0" w:line="321"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WHO PAYS THE COST OF SOLICITING PROXIES?</w:t>
      </w:r>
    </w:p>
    <w:p>
      <w:pPr>
        <w:spacing w:after="0" w:line="193" w:lineRule="exact"/>
        <w:rPr>
          <w:sz w:val="20"/>
          <w:szCs w:val="20"/>
          <w:color w:val="auto"/>
        </w:rPr>
      </w:pPr>
    </w:p>
    <w:p>
      <w:pPr>
        <w:ind w:left="1180" w:right="940"/>
        <w:spacing w:after="0" w:line="234" w:lineRule="auto"/>
        <w:rPr>
          <w:sz w:val="20"/>
          <w:szCs w:val="20"/>
          <w:color w:val="auto"/>
        </w:rPr>
      </w:pPr>
      <w:r>
        <w:rPr>
          <w:rFonts w:ascii="Arial" w:cs="Arial" w:eastAsia="Arial" w:hAnsi="Arial"/>
          <w:sz w:val="18"/>
          <w:szCs w:val="18"/>
          <w:color w:val="58595B"/>
        </w:rPr>
        <w:t>We pay the cost of the solicitation of proxies, including preparing and mailing the Notice of Annual Meeting of Shareholders, this proxy statement and the proxy card. Following the mailing of this proxy statement, directors, officers and employees of the Company may solicit proxies by telephone, facsimile transmission or other personal contact. Such persons will receive no additional compensation for such services. Brokerage houses and other nominees, fiduciaries and custodians who are holders of record of shares of our common stock will be requested to forward proxy soliciting material to the beneficial owners of such shares and will be reimbursed by the Company for their charges and expenses in connection therewith at customary and reasonable rates. In addition, the Company has retained Georgeson Inc. to assist in the solicitation of proxies for an estimated fee of $12,000 plus reimbursement of expenses.</w:t>
      </w:r>
    </w:p>
    <w:p>
      <w:pPr>
        <w:spacing w:after="0" w:line="327"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WHAT IF I SHARE A HOUSEHOLD WITH ANOTHER SHAREHOLDER?</w:t>
      </w:r>
    </w:p>
    <w:p>
      <w:pPr>
        <w:spacing w:after="0" w:line="193" w:lineRule="exact"/>
        <w:rPr>
          <w:sz w:val="20"/>
          <w:szCs w:val="20"/>
          <w:color w:val="auto"/>
        </w:rPr>
      </w:pPr>
    </w:p>
    <w:p>
      <w:pPr>
        <w:ind w:left="1180" w:right="980"/>
        <w:spacing w:after="0" w:line="232" w:lineRule="auto"/>
        <w:rPr>
          <w:sz w:val="20"/>
          <w:szCs w:val="20"/>
          <w:color w:val="auto"/>
        </w:rPr>
      </w:pPr>
      <w:r>
        <w:rPr>
          <w:rFonts w:ascii="Arial" w:cs="Arial" w:eastAsia="Arial" w:hAnsi="Arial"/>
          <w:sz w:val="18"/>
          <w:szCs w:val="18"/>
          <w:color w:val="58595B"/>
        </w:rPr>
        <w:t>We have adopted a procedure approved by the Securities and Exchange Commission, called "householding." Under this procedure, FNF shareholders of record who have the same address and last name and do not participate in electronic delivery of proxy materials will receive only one copy of our Annual Report and Proxy Statement unless one or more of these shareholders notifies us that they wish to continue receiving individual copies. This procedure will reduce our printing costs and postage fees. Shareholders who participate in householding will continue to receive separate proxy cards. Also, householding will not in any way affect dividend check mailings. If you are a shareholder who resides in the same household with another shareholder, or if you hold more than one account registered in your name at the same address, and wish to receive a separate proxy statement and annual report or notice of internet availability of proxy materials for each account, please contact, Broadridge, toll free at 1-866-540-7095. You may also write to Broadridge, Householding Department, at 51 Mercedes Way, Edgewood, New York 11717. Beneficial shareholders can request information about householding from their banks, brokers or other holders of record. We hereby undertake to deliver promptly upon written or oral request, a separate copy of the Annual Report to Shareholders, or this Proxy Statement, as applicable, to a shareholder at a shared address to which a single copy of the document was delivered.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350"/>
              <w:spacing w:after="0"/>
              <w:rPr>
                <w:sz w:val="20"/>
                <w:szCs w:val="20"/>
                <w:color w:val="auto"/>
              </w:rPr>
            </w:pPr>
            <w:r>
              <w:rPr>
                <w:rFonts w:ascii="Arial" w:cs="Arial" w:eastAsia="Arial" w:hAnsi="Arial"/>
                <w:sz w:val="18"/>
                <w:szCs w:val="18"/>
                <w:color w:val="FFFFFF"/>
              </w:rPr>
              <w:t>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ind w:left="720" w:right="660"/>
        <w:spacing w:after="0" w:line="270" w:lineRule="auto"/>
        <w:rPr>
          <w:sz w:val="20"/>
          <w:szCs w:val="20"/>
          <w:color w:val="auto"/>
        </w:rPr>
      </w:pPr>
      <w:r>
        <w:rPr>
          <w:rFonts w:ascii="Arial" w:cs="Arial" w:eastAsia="Arial" w:hAnsi="Arial"/>
          <w:sz w:val="23"/>
          <w:szCs w:val="23"/>
          <w:b w:val="1"/>
          <w:bCs w:val="1"/>
          <w:color w:val="5E769B"/>
        </w:rPr>
        <w:t>WHY DID I RECEIVE A NOTICE IN THE MAIL REGARDING THE INTERNET AVAILABILITY OF THE PROXY MATERIALS INSTEAD OF A PAPER COPY OF THE PROXY MATERIALS?</w:t>
      </w:r>
    </w:p>
    <w:p>
      <w:pPr>
        <w:spacing w:after="0" w:line="107" w:lineRule="exact"/>
        <w:rPr>
          <w:sz w:val="20"/>
          <w:szCs w:val="20"/>
          <w:color w:val="auto"/>
        </w:rPr>
      </w:pPr>
    </w:p>
    <w:p>
      <w:pPr>
        <w:ind w:left="720" w:right="440"/>
        <w:spacing w:after="0" w:line="231" w:lineRule="auto"/>
        <w:rPr>
          <w:sz w:val="20"/>
          <w:szCs w:val="20"/>
          <w:color w:val="auto"/>
        </w:rPr>
      </w:pPr>
      <w:r>
        <w:rPr>
          <w:rFonts w:ascii="Arial" w:cs="Arial" w:eastAsia="Arial" w:hAnsi="Arial"/>
          <w:sz w:val="18"/>
          <w:szCs w:val="18"/>
          <w:color w:val="58595B"/>
        </w:rPr>
        <w:t xml:space="preserve">In accordance with the rules of the Securities and Exchange Commission, we have elected to furnish to our shareholders this Proxy Statement and our Annual Report on Form 10-K by providing access to these documents on the Internet rather than mailing printed copies. Accordingly, the Notice of Internet Availability is being mailed to our shareholders of record and beneficial owners (other than those who previously requested printed copies or electronic delivery of our proxy materials), which will direct shareholders to a website where they can access our proxy materials and view instructions on how to vote online or by telephone. If you would prefer to receive a paper copy of our proxy materials, please follow the instructions included in the Notice of Internet Availability. Our Proxy Statement and our Annual Report on Form 10-K for the fiscal year ended December 31, 2025 are available for shareholders at </w:t>
      </w:r>
      <w:r>
        <w:rPr>
          <w:rFonts w:ascii="Arial" w:cs="Arial" w:eastAsia="Arial" w:hAnsi="Arial"/>
          <w:sz w:val="18"/>
          <w:szCs w:val="18"/>
          <w:b w:val="1"/>
          <w:bCs w:val="1"/>
          <w:color w:val="1E5E9E"/>
        </w:rPr>
        <w:t>www.proxyvote.com</w:t>
      </w:r>
      <w:r>
        <w:rPr>
          <w:rFonts w:ascii="Arial" w:cs="Arial" w:eastAsia="Arial" w:hAnsi="Arial"/>
          <w:sz w:val="18"/>
          <w:szCs w:val="18"/>
          <w:color w:val="333333"/>
        </w:rPr>
        <w:t>.</w:t>
      </w:r>
      <w:r>
        <w:rPr>
          <w:rFonts w:ascii="Arial" w:cs="Arial" w:eastAsia="Arial" w:hAnsi="Arial"/>
          <w:sz w:val="18"/>
          <w:szCs w:val="18"/>
          <w:color w:val="58595B"/>
        </w:rPr>
        <w:t xml:space="preserve"> Instead of receiving future copies of our Proxy Statement and Annual Report on Form 10-K by mail, shareholders can access these materials online. Opting to receive your proxy materials online will save us the cost of producing and mailing documents to you; an electronic link to the proxy voting site will be provided to you. Shareholders of record can enroll at </w:t>
      </w:r>
      <w:r>
        <w:rPr>
          <w:rFonts w:ascii="Arial" w:cs="Arial" w:eastAsia="Arial" w:hAnsi="Arial"/>
          <w:sz w:val="18"/>
          <w:szCs w:val="18"/>
          <w:b w:val="1"/>
          <w:bCs w:val="1"/>
          <w:color w:val="1E5E9E"/>
        </w:rPr>
        <w:t>www.proxyvote.com</w:t>
      </w:r>
      <w:r>
        <w:rPr>
          <w:rFonts w:ascii="Arial" w:cs="Arial" w:eastAsia="Arial" w:hAnsi="Arial"/>
          <w:sz w:val="18"/>
          <w:szCs w:val="18"/>
          <w:color w:val="58595B"/>
        </w:rPr>
        <w:t xml:space="preserve"> for online access to future proxy materials. If you hold your shares in a bank or brokerage account, you also may have the opportunity to receive copies of these documents electronically. Please check the information provided in the proxy materials mailed to you by your bank or broker regarding the availability of this service.</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HOW DO I ACCESS THE VIRTUAL ANNUAL MEETING? WHO MAY ATTEND?</w:t>
      </w:r>
    </w:p>
    <w:p>
      <w:pPr>
        <w:spacing w:after="0" w:line="193" w:lineRule="exact"/>
        <w:rPr>
          <w:sz w:val="20"/>
          <w:szCs w:val="20"/>
          <w:color w:val="auto"/>
        </w:rPr>
      </w:pPr>
    </w:p>
    <w:p>
      <w:pPr>
        <w:ind w:left="720" w:right="360"/>
        <w:spacing w:after="0" w:line="236" w:lineRule="auto"/>
        <w:rPr>
          <w:sz w:val="20"/>
          <w:szCs w:val="20"/>
          <w:color w:val="auto"/>
        </w:rPr>
      </w:pPr>
      <w:r>
        <w:rPr>
          <w:rFonts w:ascii="Arial" w:cs="Arial" w:eastAsia="Arial" w:hAnsi="Arial"/>
          <w:sz w:val="18"/>
          <w:szCs w:val="18"/>
          <w:color w:val="58595B"/>
        </w:rPr>
        <w:t xml:space="preserve">At the virtual annual meeting, shareholders will be able to listen to the meeting live and vote. To be admitted to the virtual annual meeting at </w:t>
      </w:r>
      <w:r>
        <w:rPr>
          <w:rFonts w:ascii="Arial" w:cs="Arial" w:eastAsia="Arial" w:hAnsi="Arial"/>
          <w:sz w:val="18"/>
          <w:szCs w:val="18"/>
          <w:b w:val="1"/>
          <w:bCs w:val="1"/>
          <w:color w:val="1E5E9E"/>
        </w:rPr>
        <w:t>www.virtualshareholdermeeting.com/FNF2026</w:t>
      </w:r>
      <w:r>
        <w:rPr>
          <w:rFonts w:ascii="Arial" w:cs="Arial" w:eastAsia="Arial" w:hAnsi="Arial"/>
          <w:sz w:val="18"/>
          <w:szCs w:val="18"/>
          <w:color w:val="333333"/>
        </w:rPr>
        <w:t>,</w:t>
      </w:r>
      <w:r>
        <w:rPr>
          <w:rFonts w:ascii="Arial" w:cs="Arial" w:eastAsia="Arial" w:hAnsi="Arial"/>
          <w:sz w:val="18"/>
          <w:szCs w:val="18"/>
          <w:color w:val="58595B"/>
        </w:rPr>
        <w:t xml:space="preserve"> you must enter the 16-digit control number available on your proxy card if you are a shareholder of record or included in your voting instruction card and voting instructions you received from your broker, bank or other nominee. Although you may vote online during the annual meeting, we encourage you to vote via the Internet, by telephone or by mail as outlined in the Notice of Internet</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58595B"/>
        </w:rPr>
        <w:t>Availability of Proxy Materials or on your proxy card to ensure that your shares are represented and voted.</w:t>
      </w:r>
    </w:p>
    <w:p>
      <w:pPr>
        <w:spacing w:after="0" w:line="175" w:lineRule="exact"/>
        <w:rPr>
          <w:sz w:val="20"/>
          <w:szCs w:val="20"/>
          <w:color w:val="auto"/>
        </w:rPr>
      </w:pPr>
    </w:p>
    <w:p>
      <w:pPr>
        <w:ind w:left="720" w:right="360"/>
        <w:spacing w:after="0" w:line="266" w:lineRule="auto"/>
        <w:rPr>
          <w:sz w:val="20"/>
          <w:szCs w:val="20"/>
          <w:color w:val="auto"/>
        </w:rPr>
      </w:pPr>
      <w:r>
        <w:rPr>
          <w:rFonts w:ascii="Arial" w:cs="Arial" w:eastAsia="Arial" w:hAnsi="Arial"/>
          <w:sz w:val="18"/>
          <w:szCs w:val="18"/>
          <w:color w:val="58595B"/>
        </w:rPr>
        <w:t>The meeting webcast will begin promptly at 10:00 a.m., Eastern Time, on June 10, 2026, and we encourage you to access the meeting prior to the start time.</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E769B"/>
        </w:rPr>
        <w:t>WILL I BE ABLE TO ASK QUESTIONS DURING THE VIRTUAL ANNUAL MEETING?</w:t>
      </w:r>
    </w:p>
    <w:p>
      <w:pPr>
        <w:spacing w:after="0" w:line="193" w:lineRule="exact"/>
        <w:rPr>
          <w:sz w:val="20"/>
          <w:szCs w:val="20"/>
          <w:color w:val="auto"/>
        </w:rPr>
      </w:pPr>
    </w:p>
    <w:p>
      <w:pPr>
        <w:ind w:left="720" w:right="600"/>
        <w:spacing w:after="0" w:line="247" w:lineRule="auto"/>
        <w:rPr>
          <w:sz w:val="20"/>
          <w:szCs w:val="20"/>
          <w:color w:val="auto"/>
        </w:rPr>
      </w:pPr>
      <w:r>
        <w:rPr>
          <w:rFonts w:ascii="Arial" w:cs="Arial" w:eastAsia="Arial" w:hAnsi="Arial"/>
          <w:sz w:val="18"/>
          <w:szCs w:val="18"/>
          <w:color w:val="58595B"/>
        </w:rPr>
        <w:t xml:space="preserve">Shareholders will be able to ask questions through the virtual meeting website during the meeting through </w:t>
      </w:r>
      <w:r>
        <w:rPr>
          <w:rFonts w:ascii="Arial" w:cs="Arial" w:eastAsia="Arial" w:hAnsi="Arial"/>
          <w:sz w:val="18"/>
          <w:szCs w:val="18"/>
          <w:b w:val="1"/>
          <w:bCs w:val="1"/>
          <w:color w:val="1E5E9E"/>
        </w:rPr>
        <w:t>www.virtualshareholdermeeting.com/FNF2026</w:t>
      </w:r>
      <w:r>
        <w:rPr>
          <w:rFonts w:ascii="Arial" w:cs="Arial" w:eastAsia="Arial" w:hAnsi="Arial"/>
          <w:sz w:val="18"/>
          <w:szCs w:val="18"/>
          <w:color w:val="333333"/>
        </w:rPr>
        <w:t>.</w:t>
      </w:r>
      <w:r>
        <w:rPr>
          <w:rFonts w:ascii="Arial" w:cs="Arial" w:eastAsia="Arial" w:hAnsi="Arial"/>
          <w:sz w:val="18"/>
          <w:szCs w:val="18"/>
          <w:b w:val="1"/>
          <w:bCs w:val="1"/>
          <w:color w:val="1E5E9E"/>
        </w:rPr>
        <w:t xml:space="preserve"> </w:t>
      </w:r>
      <w:r>
        <w:rPr>
          <w:rFonts w:ascii="Arial" w:cs="Arial" w:eastAsia="Arial" w:hAnsi="Arial"/>
          <w:sz w:val="18"/>
          <w:szCs w:val="18"/>
          <w:color w:val="58595B"/>
        </w:rPr>
        <w:t>The Company will respond to as many appropriate questions</w:t>
      </w:r>
      <w:r>
        <w:rPr>
          <w:rFonts w:ascii="Arial" w:cs="Arial" w:eastAsia="Arial" w:hAnsi="Arial"/>
          <w:sz w:val="18"/>
          <w:szCs w:val="18"/>
          <w:b w:val="1"/>
          <w:bCs w:val="1"/>
          <w:color w:val="1E5E9E"/>
        </w:rPr>
        <w:t xml:space="preserve"> </w:t>
      </w:r>
      <w:r>
        <w:rPr>
          <w:rFonts w:ascii="Arial" w:cs="Arial" w:eastAsia="Arial" w:hAnsi="Arial"/>
          <w:sz w:val="18"/>
          <w:szCs w:val="18"/>
          <w:color w:val="58595B"/>
        </w:rPr>
        <w:t>during the annual meeting as time allows.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100965</wp:posOffset>
            </wp:positionV>
            <wp:extent cx="7144385"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28"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FFFFFF"/>
        </w:rPr>
        <w:t>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132715</wp:posOffset>
            </wp:positionV>
            <wp:extent cx="7144385" cy="172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672465</wp:posOffset>
            </wp:positionV>
            <wp:extent cx="71443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40"/>
          </w:cols>
          <w:pgMar w:left="780" w:top="795" w:right="879" w:bottom="1440" w:gutter="0" w:footer="0" w:header="0"/>
        </w:sectPr>
      </w:pPr>
    </w:p>
    <w:bookmarkStart w:id="11" w:name="page12"/>
    <w:bookmarkEnd w:id="11"/>
    <w:p>
      <w:pPr>
        <w:ind w:left="1180" w:right="1120"/>
        <w:spacing w:after="0" w:line="294" w:lineRule="auto"/>
        <w:rPr>
          <w:sz w:val="20"/>
          <w:szCs w:val="20"/>
          <w:color w:val="auto"/>
        </w:rPr>
      </w:pPr>
      <w:r>
        <w:rPr>
          <w:rFonts w:ascii="Arial" w:cs="Arial" w:eastAsia="Arial" w:hAnsi="Arial"/>
          <w:sz w:val="23"/>
          <w:szCs w:val="23"/>
          <w:b w:val="1"/>
          <w:bCs w:val="1"/>
          <w:color w:val="74909A"/>
        </w:rPr>
        <w:t>HOW CAN I REQUEST TECHNICAL ASSISTANCE DURING THE VIRTUAL ANNUAL MEETING?</w:t>
      </w:r>
    </w:p>
    <w:p>
      <w:pPr>
        <w:spacing w:after="0" w:line="80" w:lineRule="exact"/>
        <w:rPr>
          <w:sz w:val="20"/>
          <w:szCs w:val="20"/>
          <w:color w:val="auto"/>
        </w:rPr>
      </w:pPr>
    </w:p>
    <w:p>
      <w:pPr>
        <w:ind w:left="1180" w:right="1340"/>
        <w:spacing w:after="0" w:line="266" w:lineRule="auto"/>
        <w:rPr>
          <w:sz w:val="20"/>
          <w:szCs w:val="20"/>
          <w:color w:val="auto"/>
        </w:rPr>
      </w:pPr>
      <w:r>
        <w:rPr>
          <w:rFonts w:ascii="Arial" w:cs="Arial" w:eastAsia="Arial" w:hAnsi="Arial"/>
          <w:sz w:val="18"/>
          <w:szCs w:val="18"/>
          <w:color w:val="58595B"/>
        </w:rPr>
        <w:t>A technical support line will be available on the meeting website for any questions on how to participate in the virtual annual meeting or if you encounter any difficulties accessing the virtual meeting.</w:t>
      </w: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274F78"/>
        </w:rPr>
        <w:t>CORPORATE GOVERNANCE HIGHLIGHTS</w:t>
      </w:r>
    </w:p>
    <w:p>
      <w:pPr>
        <w:spacing w:after="0" w:line="202" w:lineRule="exact"/>
        <w:rPr>
          <w:sz w:val="20"/>
          <w:szCs w:val="20"/>
          <w:color w:val="auto"/>
        </w:rPr>
      </w:pPr>
    </w:p>
    <w:p>
      <w:pPr>
        <w:ind w:left="1180" w:right="960"/>
        <w:spacing w:after="0" w:line="247" w:lineRule="auto"/>
        <w:rPr>
          <w:sz w:val="20"/>
          <w:szCs w:val="20"/>
          <w:color w:val="auto"/>
        </w:rPr>
      </w:pPr>
      <w:r>
        <w:rPr>
          <w:rFonts w:ascii="Arial" w:cs="Arial" w:eastAsia="Arial" w:hAnsi="Arial"/>
          <w:sz w:val="18"/>
          <w:szCs w:val="18"/>
          <w:color w:val="58595B"/>
        </w:rPr>
        <w:t>Our board is focused on good governance practices, which promote the long-term interests of our shareholders and support accountability of our board of directors and management. Our board of directors has implemented the following measures to improve our overall governance practices.</w:t>
      </w:r>
    </w:p>
    <w:p>
      <w:pPr>
        <w:spacing w:after="0" w:line="137"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See "Corporate Governance and Related Matters" for more detail on FNF’s governance practices.</w:t>
      </w:r>
    </w:p>
    <w:p>
      <w:pPr>
        <w:sectPr>
          <w:pgSz w:w="11900" w:h="16838" w:orient="portrait"/>
          <w:cols w:equalWidth="0" w:num="1">
            <w:col w:w="11240"/>
          </w:cols>
          <w:pgMar w:left="320" w:top="979" w:right="339" w:bottom="1440" w:gutter="0" w:footer="0" w:header="0"/>
        </w:sectPr>
      </w:pPr>
    </w:p>
    <w:p>
      <w:pPr>
        <w:spacing w:after="0" w:line="212" w:lineRule="exact"/>
        <w:rPr>
          <w:sz w:val="20"/>
          <w:szCs w:val="20"/>
          <w:color w:val="auto"/>
        </w:rPr>
      </w:pPr>
    </w:p>
    <w:p>
      <w:pPr>
        <w:ind w:left="1640" w:right="701" w:hanging="286"/>
        <w:spacing w:after="0" w:line="266" w:lineRule="auto"/>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Proxy access right adopted in response to support from shareholders</w:t>
      </w:r>
    </w:p>
    <w:p>
      <w:pPr>
        <w:spacing w:after="0" w:line="132" w:lineRule="exact"/>
        <w:rPr>
          <w:rFonts w:ascii="Arial" w:cs="Arial" w:eastAsia="Arial" w:hAnsi="Arial"/>
          <w:sz w:val="18"/>
          <w:szCs w:val="18"/>
          <w:color w:val="58595B"/>
        </w:rPr>
      </w:pPr>
    </w:p>
    <w:p>
      <w:pPr>
        <w:ind w:left="1640" w:right="1021" w:hanging="286"/>
        <w:spacing w:after="0" w:line="266" w:lineRule="auto"/>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Majority voting in uncontested director elections, with a resignation policy</w:t>
      </w:r>
    </w:p>
    <w:p>
      <w:pPr>
        <w:spacing w:after="0" w:line="132" w:lineRule="exact"/>
        <w:rPr>
          <w:rFonts w:ascii="Arial" w:cs="Arial" w:eastAsia="Arial" w:hAnsi="Arial"/>
          <w:sz w:val="18"/>
          <w:szCs w:val="18"/>
          <w:color w:val="58595B"/>
        </w:rPr>
      </w:pPr>
    </w:p>
    <w:p>
      <w:pPr>
        <w:ind w:left="1640" w:right="1001" w:hanging="286"/>
        <w:spacing w:after="0" w:line="266" w:lineRule="auto"/>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Lead Independent Director with robust duties</w:t>
      </w:r>
    </w:p>
    <w:p>
      <w:pPr>
        <w:spacing w:after="0" w:line="132" w:lineRule="exact"/>
        <w:rPr>
          <w:rFonts w:ascii="Arial" w:cs="Arial" w:eastAsia="Arial" w:hAnsi="Arial"/>
          <w:sz w:val="18"/>
          <w:szCs w:val="18"/>
          <w:color w:val="58595B"/>
        </w:rPr>
      </w:pPr>
    </w:p>
    <w:p>
      <w:pPr>
        <w:ind w:left="1640" w:hanging="286"/>
        <w:spacing w:after="0"/>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Shareholders may act by written consent</w:t>
      </w:r>
    </w:p>
    <w:p>
      <w:pPr>
        <w:spacing w:after="0" w:line="187" w:lineRule="exact"/>
        <w:rPr>
          <w:rFonts w:ascii="Arial" w:cs="Arial" w:eastAsia="Arial" w:hAnsi="Arial"/>
          <w:sz w:val="18"/>
          <w:szCs w:val="18"/>
          <w:color w:val="58595B"/>
        </w:rPr>
      </w:pPr>
    </w:p>
    <w:p>
      <w:pPr>
        <w:ind w:left="1640" w:right="541" w:hanging="286"/>
        <w:spacing w:after="0" w:line="266" w:lineRule="auto"/>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Independent audit, compensation, corporate governance and nominating committees</w:t>
      </w:r>
    </w:p>
    <w:p>
      <w:pPr>
        <w:spacing w:after="0" w:line="132" w:lineRule="exact"/>
        <w:rPr>
          <w:rFonts w:ascii="Arial" w:cs="Arial" w:eastAsia="Arial" w:hAnsi="Arial"/>
          <w:sz w:val="18"/>
          <w:szCs w:val="18"/>
          <w:color w:val="58595B"/>
        </w:rPr>
      </w:pPr>
    </w:p>
    <w:p>
      <w:pPr>
        <w:ind w:left="1640" w:right="601" w:hanging="286"/>
        <w:spacing w:after="0" w:line="266" w:lineRule="auto"/>
        <w:tabs>
          <w:tab w:leader="none" w:pos="1640" w:val="left"/>
        </w:tabs>
        <w:numPr>
          <w:ilvl w:val="0"/>
          <w:numId w:val="22"/>
        </w:numPr>
        <w:rPr>
          <w:rFonts w:ascii="Arial" w:cs="Arial" w:eastAsia="Arial" w:hAnsi="Arial"/>
          <w:sz w:val="18"/>
          <w:szCs w:val="18"/>
          <w:color w:val="58595B"/>
        </w:rPr>
      </w:pPr>
      <w:r>
        <w:rPr>
          <w:rFonts w:ascii="Arial" w:cs="Arial" w:eastAsia="Arial" w:hAnsi="Arial"/>
          <w:sz w:val="18"/>
          <w:szCs w:val="18"/>
          <w:color w:val="58595B"/>
        </w:rPr>
        <w:t>Shareholder engagement on compensation and governance issues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99" w:right="700" w:hanging="299"/>
        <w:spacing w:after="0" w:line="266" w:lineRule="auto"/>
        <w:tabs>
          <w:tab w:leader="none" w:pos="299" w:val="left"/>
        </w:tabs>
        <w:numPr>
          <w:ilvl w:val="0"/>
          <w:numId w:val="23"/>
        </w:numPr>
        <w:rPr>
          <w:rFonts w:ascii="Arial" w:cs="Arial" w:eastAsia="Arial" w:hAnsi="Arial"/>
          <w:sz w:val="17"/>
          <w:szCs w:val="17"/>
          <w:color w:val="58595B"/>
        </w:rPr>
      </w:pPr>
      <w:r>
        <w:rPr>
          <w:rFonts w:ascii="Arial" w:cs="Arial" w:eastAsia="Arial" w:hAnsi="Arial"/>
          <w:sz w:val="18"/>
          <w:szCs w:val="18"/>
          <w:color w:val="58595B"/>
        </w:rPr>
        <w:t>Annual performance evaluations of the board of directors and committees</w:t>
      </w:r>
    </w:p>
    <w:p>
      <w:pPr>
        <w:spacing w:after="0" w:line="120" w:lineRule="exact"/>
        <w:rPr>
          <w:rFonts w:ascii="Arial" w:cs="Arial" w:eastAsia="Arial" w:hAnsi="Arial"/>
          <w:sz w:val="17"/>
          <w:szCs w:val="17"/>
          <w:color w:val="58595B"/>
        </w:rPr>
      </w:pPr>
    </w:p>
    <w:p>
      <w:pPr>
        <w:ind w:left="299" w:right="1160" w:hanging="299"/>
        <w:spacing w:after="0" w:line="266" w:lineRule="auto"/>
        <w:tabs>
          <w:tab w:leader="none" w:pos="299" w:val="left"/>
        </w:tabs>
        <w:numPr>
          <w:ilvl w:val="0"/>
          <w:numId w:val="23"/>
        </w:numPr>
        <w:rPr>
          <w:rFonts w:ascii="Arial" w:cs="Arial" w:eastAsia="Arial" w:hAnsi="Arial"/>
          <w:sz w:val="18"/>
          <w:szCs w:val="18"/>
          <w:color w:val="58595B"/>
        </w:rPr>
      </w:pPr>
      <w:r>
        <w:rPr>
          <w:rFonts w:ascii="Arial" w:cs="Arial" w:eastAsia="Arial" w:hAnsi="Arial"/>
          <w:sz w:val="18"/>
          <w:szCs w:val="18"/>
          <w:color w:val="58595B"/>
        </w:rPr>
        <w:t>Robust stock ownership guidelines for our executive officers and directors</w:t>
      </w:r>
    </w:p>
    <w:p>
      <w:pPr>
        <w:spacing w:after="0" w:line="120" w:lineRule="exact"/>
        <w:rPr>
          <w:rFonts w:ascii="Arial" w:cs="Arial" w:eastAsia="Arial" w:hAnsi="Arial"/>
          <w:sz w:val="18"/>
          <w:szCs w:val="18"/>
          <w:color w:val="58595B"/>
        </w:rPr>
      </w:pPr>
    </w:p>
    <w:p>
      <w:pPr>
        <w:ind w:left="299" w:right="1140" w:hanging="299"/>
        <w:spacing w:after="0" w:line="266" w:lineRule="auto"/>
        <w:tabs>
          <w:tab w:leader="none" w:pos="299" w:val="left"/>
        </w:tabs>
        <w:numPr>
          <w:ilvl w:val="0"/>
          <w:numId w:val="23"/>
        </w:numPr>
        <w:rPr>
          <w:rFonts w:ascii="Arial" w:cs="Arial" w:eastAsia="Arial" w:hAnsi="Arial"/>
          <w:sz w:val="18"/>
          <w:szCs w:val="18"/>
          <w:color w:val="58595B"/>
        </w:rPr>
      </w:pPr>
      <w:r>
        <w:rPr>
          <w:rFonts w:ascii="Arial" w:cs="Arial" w:eastAsia="Arial" w:hAnsi="Arial"/>
          <w:sz w:val="18"/>
          <w:szCs w:val="18"/>
          <w:color w:val="58595B"/>
        </w:rPr>
        <w:t>Clawback policy in compliance with NYSE rules</w:t>
      </w:r>
    </w:p>
    <w:p>
      <w:pPr>
        <w:spacing w:after="0" w:line="120" w:lineRule="exact"/>
        <w:rPr>
          <w:rFonts w:ascii="Arial" w:cs="Arial" w:eastAsia="Arial" w:hAnsi="Arial"/>
          <w:sz w:val="18"/>
          <w:szCs w:val="18"/>
          <w:color w:val="58595B"/>
        </w:rPr>
      </w:pPr>
    </w:p>
    <w:p>
      <w:pPr>
        <w:ind w:left="299" w:right="1340" w:hanging="299"/>
        <w:spacing w:after="0" w:line="266" w:lineRule="auto"/>
        <w:tabs>
          <w:tab w:leader="none" w:pos="299" w:val="left"/>
        </w:tabs>
        <w:numPr>
          <w:ilvl w:val="0"/>
          <w:numId w:val="23"/>
        </w:numPr>
        <w:rPr>
          <w:rFonts w:ascii="Arial" w:cs="Arial" w:eastAsia="Arial" w:hAnsi="Arial"/>
          <w:sz w:val="18"/>
          <w:szCs w:val="18"/>
          <w:color w:val="58595B"/>
        </w:rPr>
      </w:pPr>
      <w:r>
        <w:rPr>
          <w:rFonts w:ascii="Arial" w:cs="Arial" w:eastAsia="Arial" w:hAnsi="Arial"/>
          <w:sz w:val="18"/>
          <w:szCs w:val="18"/>
          <w:color w:val="58595B"/>
        </w:rPr>
        <w:t>No supermajority voting requirement for shareholders to act</w:t>
      </w:r>
    </w:p>
    <w:p>
      <w:pPr>
        <w:spacing w:after="0" w:line="120" w:lineRule="exact"/>
        <w:rPr>
          <w:rFonts w:ascii="Arial" w:cs="Arial" w:eastAsia="Arial" w:hAnsi="Arial"/>
          <w:sz w:val="18"/>
          <w:szCs w:val="18"/>
          <w:color w:val="58595B"/>
        </w:rPr>
      </w:pPr>
    </w:p>
    <w:p>
      <w:pPr>
        <w:ind w:left="299" w:right="1280" w:hanging="299"/>
        <w:spacing w:after="0" w:line="266" w:lineRule="auto"/>
        <w:tabs>
          <w:tab w:leader="none" w:pos="299" w:val="left"/>
        </w:tabs>
        <w:numPr>
          <w:ilvl w:val="0"/>
          <w:numId w:val="23"/>
        </w:numPr>
        <w:rPr>
          <w:rFonts w:ascii="Arial" w:cs="Arial" w:eastAsia="Arial" w:hAnsi="Arial"/>
          <w:sz w:val="18"/>
          <w:szCs w:val="18"/>
          <w:color w:val="58595B"/>
        </w:rPr>
      </w:pPr>
      <w:r>
        <w:rPr>
          <w:rFonts w:ascii="Arial" w:cs="Arial" w:eastAsia="Arial" w:hAnsi="Arial"/>
          <w:sz w:val="18"/>
          <w:szCs w:val="18"/>
          <w:color w:val="58595B"/>
        </w:rPr>
        <w:t>Stand-alone independent related person transaction committee</w:t>
      </w:r>
    </w:p>
    <w:p>
      <w:pPr>
        <w:spacing w:after="0" w:line="120" w:lineRule="exact"/>
        <w:rPr>
          <w:rFonts w:ascii="Arial" w:cs="Arial" w:eastAsia="Arial" w:hAnsi="Arial"/>
          <w:sz w:val="18"/>
          <w:szCs w:val="18"/>
          <w:color w:val="58595B"/>
        </w:rPr>
      </w:pPr>
    </w:p>
    <w:p>
      <w:pPr>
        <w:ind w:left="299" w:right="1040" w:hanging="299"/>
        <w:spacing w:after="0" w:line="241" w:lineRule="auto"/>
        <w:tabs>
          <w:tab w:leader="none" w:pos="299" w:val="left"/>
        </w:tabs>
        <w:numPr>
          <w:ilvl w:val="0"/>
          <w:numId w:val="23"/>
        </w:numPr>
        <w:rPr>
          <w:rFonts w:ascii="Arial" w:cs="Arial" w:eastAsia="Arial" w:hAnsi="Arial"/>
          <w:sz w:val="18"/>
          <w:szCs w:val="18"/>
          <w:color w:val="58595B"/>
        </w:rPr>
      </w:pPr>
      <w:r>
        <w:rPr>
          <w:rFonts w:ascii="Arial" w:cs="Arial" w:eastAsia="Arial" w:hAnsi="Arial"/>
          <w:sz w:val="18"/>
          <w:szCs w:val="18"/>
          <w:color w:val="58595B"/>
        </w:rPr>
        <w:t>Proposal to amend Articles of Incorporation to implement annual elections of directors following strong shareholder support at the 2025 annual meeting</w:t>
      </w:r>
    </w:p>
    <w:p>
      <w:pPr>
        <w:spacing w:after="0" w:line="200" w:lineRule="exact"/>
        <w:rPr>
          <w:sz w:val="20"/>
          <w:szCs w:val="20"/>
          <w:color w:val="auto"/>
        </w:rPr>
      </w:pPr>
    </w:p>
    <w:p>
      <w:pPr>
        <w:sectPr>
          <w:pgSz w:w="11900" w:h="16838" w:orient="portrait"/>
          <w:cols w:equalWidth="0" w:num="2">
            <w:col w:w="5721" w:space="720"/>
            <w:col w:w="4799"/>
          </w:cols>
          <w:pgMar w:left="320" w:top="979" w:right="339" w:bottom="1440" w:gutter="0" w:footer="0" w:header="0"/>
          <w:type w:val="continuous"/>
        </w:sectPr>
      </w:pPr>
    </w:p>
    <w:p>
      <w:pPr>
        <w:spacing w:after="0" w:line="113"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274F78"/>
        </w:rPr>
        <w:t>CORPORATE GOVERNANCE AND RELATED MATTERS</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5779A"/>
        </w:rPr>
        <w:t>CORPORATE GOVERNANCE GUIDELINES</w:t>
      </w:r>
    </w:p>
    <w:p>
      <w:pPr>
        <w:spacing w:after="0" w:line="193" w:lineRule="exact"/>
        <w:rPr>
          <w:sz w:val="20"/>
          <w:szCs w:val="20"/>
          <w:color w:val="auto"/>
        </w:rPr>
      </w:pPr>
    </w:p>
    <w:p>
      <w:pPr>
        <w:ind w:left="1180" w:right="880"/>
        <w:spacing w:after="0" w:line="236" w:lineRule="auto"/>
        <w:rPr>
          <w:sz w:val="20"/>
          <w:szCs w:val="20"/>
          <w:color w:val="auto"/>
        </w:rPr>
      </w:pPr>
      <w:r>
        <w:rPr>
          <w:rFonts w:ascii="Arial" w:cs="Arial" w:eastAsia="Arial" w:hAnsi="Arial"/>
          <w:sz w:val="18"/>
          <w:szCs w:val="18"/>
          <w:color w:val="58595B"/>
        </w:rPr>
        <w:t>Our corporate governance guidelines provide, along with the charters of the committees of the board of directors, a framework for the functioning of the board of directors and its committees and establish a common set of expectations as to how the board of directors should perform its functions. The Corporate Governance Guidelines address a number of areas including the size and composition of the board, board membership criteria and director qualifications, director responsibilities, board agenda, roles of the Chairman of the board of directors, Chief Executive Officer and Lead Director, meetings of independent directors, committee responsibilities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350"/>
              <w:spacing w:after="0"/>
              <w:rPr>
                <w:sz w:val="20"/>
                <w:szCs w:val="20"/>
                <w:color w:val="auto"/>
              </w:rPr>
            </w:pPr>
            <w:r>
              <w:rPr>
                <w:rFonts w:ascii="Arial" w:cs="Arial" w:eastAsia="Arial" w:hAnsi="Arial"/>
                <w:sz w:val="18"/>
                <w:szCs w:val="18"/>
                <w:color w:val="FFFFFF"/>
              </w:rPr>
              <w:t>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9" w:right="339" w:bottom="1440" w:gutter="0" w:footer="0" w:header="0"/>
          <w:type w:val="continuous"/>
        </w:sectPr>
      </w:pPr>
    </w:p>
    <w:bookmarkStart w:id="12" w:name="page13"/>
    <w:bookmarkEnd w:id="12"/>
    <w:p>
      <w:pPr>
        <w:ind w:left="720" w:right="380"/>
        <w:spacing w:after="0" w:line="236" w:lineRule="auto"/>
        <w:rPr>
          <w:sz w:val="20"/>
          <w:szCs w:val="20"/>
          <w:color w:val="auto"/>
        </w:rPr>
      </w:pPr>
      <w:r>
        <w:rPr>
          <w:rFonts w:ascii="Arial" w:cs="Arial" w:eastAsia="Arial" w:hAnsi="Arial"/>
          <w:sz w:val="18"/>
          <w:szCs w:val="18"/>
          <w:color w:val="58595B"/>
        </w:rPr>
        <w:t xml:space="preserve">and assignments, board member access to management and independent advisors, director communications with third parties, director compensation, director orientation and continuing education, evaluation of senior management and management succession planning. These guidelines specifically provide that a majority of the members of the board of directors must be outside directors whom the board of directors has determined have no material relationship with us and who otherwise meet the independence criteria established by the New York Stock Exchange. The board of directors reviews these guidelines and other aspects of our governance at least annually. A copy of our Corporate Governance Guidelines is available for review on our website at </w:t>
      </w:r>
      <w:r>
        <w:rPr>
          <w:rFonts w:ascii="Arial" w:cs="Arial" w:eastAsia="Arial" w:hAnsi="Arial"/>
          <w:sz w:val="18"/>
          <w:szCs w:val="18"/>
          <w:b w:val="1"/>
          <w:bCs w:val="1"/>
          <w:color w:val="1E5E9E"/>
        </w:rPr>
        <w:t>www.investor.fnf.com</w:t>
      </w:r>
      <w:r>
        <w:rPr>
          <w:rFonts w:ascii="Arial" w:cs="Arial" w:eastAsia="Arial" w:hAnsi="Arial"/>
          <w:sz w:val="18"/>
          <w:szCs w:val="18"/>
          <w:color w:val="333333"/>
        </w:rPr>
        <w:t>.</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5779A"/>
        </w:rPr>
        <w:t>CODES OF ETHICS</w:t>
      </w:r>
    </w:p>
    <w:p>
      <w:pPr>
        <w:spacing w:after="0" w:line="193" w:lineRule="exact"/>
        <w:rPr>
          <w:sz w:val="20"/>
          <w:szCs w:val="20"/>
          <w:color w:val="auto"/>
        </w:rPr>
      </w:pPr>
    </w:p>
    <w:p>
      <w:pPr>
        <w:ind w:left="720" w:right="480"/>
        <w:spacing w:after="0" w:line="233" w:lineRule="auto"/>
        <w:rPr>
          <w:sz w:val="20"/>
          <w:szCs w:val="20"/>
          <w:color w:val="auto"/>
        </w:rPr>
      </w:pPr>
      <w:r>
        <w:rPr>
          <w:rFonts w:ascii="Arial" w:cs="Arial" w:eastAsia="Arial" w:hAnsi="Arial"/>
          <w:sz w:val="18"/>
          <w:szCs w:val="18"/>
          <w:color w:val="58595B"/>
        </w:rPr>
        <w:t xml:space="preserve">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t>
      </w:r>
      <w:r>
        <w:rPr>
          <w:rFonts w:ascii="Arial" w:cs="Arial" w:eastAsia="Arial" w:hAnsi="Arial"/>
          <w:sz w:val="18"/>
          <w:szCs w:val="18"/>
          <w:b w:val="1"/>
          <w:bCs w:val="1"/>
          <w:color w:val="1E5E9E"/>
        </w:rPr>
        <w:t>www.investor.fnf.com</w:t>
      </w:r>
      <w:r>
        <w:rPr>
          <w:rFonts w:ascii="Arial" w:cs="Arial" w:eastAsia="Arial" w:hAnsi="Arial"/>
          <w:sz w:val="18"/>
          <w:szCs w:val="18"/>
          <w:color w:val="333333"/>
        </w:rPr>
        <w:t>.</w:t>
      </w:r>
    </w:p>
    <w:p>
      <w:pPr>
        <w:spacing w:after="0" w:line="136" w:lineRule="exact"/>
        <w:rPr>
          <w:sz w:val="20"/>
          <w:szCs w:val="20"/>
          <w:color w:val="auto"/>
        </w:rPr>
      </w:pPr>
    </w:p>
    <w:p>
      <w:pPr>
        <w:ind w:left="720" w:right="880"/>
        <w:spacing w:after="0" w:line="275" w:lineRule="auto"/>
        <w:rPr>
          <w:sz w:val="20"/>
          <w:szCs w:val="20"/>
          <w:color w:val="auto"/>
        </w:rPr>
      </w:pPr>
      <w:r>
        <w:rPr>
          <w:rFonts w:ascii="Arial" w:cs="Arial" w:eastAsia="Arial" w:hAnsi="Arial"/>
          <w:sz w:val="18"/>
          <w:szCs w:val="18"/>
          <w:color w:val="58595B"/>
        </w:rPr>
        <w:t xml:space="preserve">Copies of our Code of Business Conduct and Ethics and our Code of Ethics for Senior Financial Officers are available for review on our website at </w:t>
      </w:r>
      <w:r>
        <w:rPr>
          <w:rFonts w:ascii="Arial" w:cs="Arial" w:eastAsia="Arial" w:hAnsi="Arial"/>
          <w:sz w:val="18"/>
          <w:szCs w:val="18"/>
          <w:b w:val="1"/>
          <w:bCs w:val="1"/>
          <w:color w:val="1E5E9E"/>
        </w:rPr>
        <w:t>www.investor.fnf.com</w:t>
      </w:r>
      <w:r>
        <w:rPr>
          <w:rFonts w:ascii="Arial" w:cs="Arial" w:eastAsia="Arial" w:hAnsi="Arial"/>
          <w:sz w:val="18"/>
          <w:szCs w:val="18"/>
          <w:color w:val="333333"/>
        </w:rPr>
        <w:t>.</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55779A"/>
        </w:rPr>
        <w:t>SUSTAINABILITY</w:t>
      </w:r>
    </w:p>
    <w:p>
      <w:pPr>
        <w:spacing w:after="0" w:line="193" w:lineRule="exact"/>
        <w:rPr>
          <w:sz w:val="20"/>
          <w:szCs w:val="20"/>
          <w:color w:val="auto"/>
        </w:rPr>
      </w:pPr>
    </w:p>
    <w:p>
      <w:pPr>
        <w:ind w:left="720" w:right="1100"/>
        <w:spacing w:after="0" w:line="266" w:lineRule="auto"/>
        <w:rPr>
          <w:sz w:val="20"/>
          <w:szCs w:val="20"/>
          <w:color w:val="auto"/>
        </w:rPr>
      </w:pPr>
      <w:r>
        <w:rPr>
          <w:rFonts w:ascii="Arial" w:cs="Arial" w:eastAsia="Arial" w:hAnsi="Arial"/>
          <w:sz w:val="18"/>
          <w:szCs w:val="18"/>
          <w:color w:val="58595B"/>
        </w:rPr>
        <w:t>Our Company and board of directors are committed to addressing sustainability issues to better serve our employees, business partners, and the communities impacted by our business operations.</w:t>
      </w:r>
    </w:p>
    <w:p>
      <w:pPr>
        <w:spacing w:after="0" w:line="120" w:lineRule="exact"/>
        <w:rPr>
          <w:sz w:val="20"/>
          <w:szCs w:val="20"/>
          <w:color w:val="auto"/>
        </w:rPr>
      </w:pPr>
    </w:p>
    <w:p>
      <w:pPr>
        <w:ind w:left="720" w:right="680"/>
        <w:spacing w:after="0" w:line="244" w:lineRule="auto"/>
        <w:rPr>
          <w:sz w:val="20"/>
          <w:szCs w:val="20"/>
          <w:color w:val="auto"/>
        </w:rPr>
      </w:pPr>
      <w:r>
        <w:rPr>
          <w:rFonts w:ascii="Arial" w:cs="Arial" w:eastAsia="Arial" w:hAnsi="Arial"/>
          <w:sz w:val="18"/>
          <w:szCs w:val="18"/>
          <w:color w:val="58595B"/>
        </w:rPr>
        <w:t xml:space="preserve">Maintaining a sustainable business starts with being transparent about our business practices, corporate governance, environmental impact, and our commitments to our stakeholders. Each year we publish a Sustainability Report that discusses our progress. To learn more about our efforts, please view our most recent reports via our website, </w:t>
      </w:r>
      <w:r>
        <w:rPr>
          <w:rFonts w:ascii="Arial" w:cs="Arial" w:eastAsia="Arial" w:hAnsi="Arial"/>
          <w:sz w:val="18"/>
          <w:szCs w:val="18"/>
          <w:b w:val="1"/>
          <w:bCs w:val="1"/>
          <w:color w:val="1E5E9E"/>
        </w:rPr>
        <w:t>www.fnf.com/sustainability</w:t>
      </w:r>
      <w:r>
        <w:rPr>
          <w:rFonts w:ascii="Arial" w:cs="Arial" w:eastAsia="Arial" w:hAnsi="Arial"/>
          <w:sz w:val="18"/>
          <w:szCs w:val="18"/>
          <w:color w:val="58595B"/>
        </w:rPr>
        <w:t>. We expect to publish our 2025 report in Summer 2026.</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8"/>
          <w:szCs w:val="18"/>
          <w:color w:val="58595B"/>
        </w:rPr>
        <w:t>Our sustainability commitments focus on:</w:t>
      </w:r>
    </w:p>
    <w:p>
      <w:pPr>
        <w:spacing w:after="0" w:line="175" w:lineRule="exact"/>
        <w:rPr>
          <w:sz w:val="20"/>
          <w:szCs w:val="20"/>
          <w:color w:val="auto"/>
        </w:rPr>
      </w:pPr>
    </w:p>
    <w:p>
      <w:pPr>
        <w:ind w:left="720" w:right="360"/>
        <w:spacing w:after="0" w:line="241" w:lineRule="auto"/>
        <w:rPr>
          <w:sz w:val="20"/>
          <w:szCs w:val="20"/>
          <w:color w:val="auto"/>
        </w:rPr>
      </w:pPr>
      <w:r>
        <w:rPr>
          <w:rFonts w:ascii="Arial" w:cs="Arial" w:eastAsia="Arial" w:hAnsi="Arial"/>
          <w:sz w:val="18"/>
          <w:szCs w:val="18"/>
          <w:b w:val="1"/>
          <w:bCs w:val="1"/>
          <w:color w:val="58595B"/>
        </w:rPr>
        <w:t xml:space="preserve">Protecting Property Owners: </w:t>
      </w:r>
      <w:r>
        <w:rPr>
          <w:rFonts w:ascii="Arial" w:cs="Arial" w:eastAsia="Arial" w:hAnsi="Arial"/>
          <w:sz w:val="18"/>
          <w:szCs w:val="18"/>
          <w:color w:val="58595B"/>
        </w:rPr>
        <w:t>Our policyholders depend on the strength and security of a reputable title insurance</w:t>
      </w:r>
      <w:r>
        <w:rPr>
          <w:rFonts w:ascii="Arial" w:cs="Arial" w:eastAsia="Arial" w:hAnsi="Arial"/>
          <w:sz w:val="18"/>
          <w:szCs w:val="18"/>
          <w:b w:val="1"/>
          <w:bCs w:val="1"/>
          <w:color w:val="58595B"/>
        </w:rPr>
        <w:t xml:space="preserve"> </w:t>
      </w:r>
      <w:r>
        <w:rPr>
          <w:rFonts w:ascii="Arial" w:cs="Arial" w:eastAsia="Arial" w:hAnsi="Arial"/>
          <w:sz w:val="18"/>
          <w:szCs w:val="18"/>
          <w:color w:val="58595B"/>
        </w:rPr>
        <w:t>company to protect their property for years to come. As a provider of title insurance, we protect the rights of the insured – both residential and commercial property owners – against fraudulent and unexpected legal and financial claims that may arise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111760</wp:posOffset>
            </wp:positionV>
            <wp:extent cx="7144385" cy="297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45"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FFFFFF"/>
        </w:rPr>
        <w:t>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132715</wp:posOffset>
            </wp:positionV>
            <wp:extent cx="7144385" cy="172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680085</wp:posOffset>
            </wp:positionV>
            <wp:extent cx="7144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40"/>
          </w:cols>
          <w:pgMar w:left="780" w:top="796" w:right="879" w:bottom="1440" w:gutter="0" w:footer="0" w:header="0"/>
        </w:sectPr>
      </w:pPr>
    </w:p>
    <w:bookmarkStart w:id="13" w:name="page14"/>
    <w:bookmarkEnd w:id="13"/>
    <w:p>
      <w:pPr>
        <w:ind w:left="1180" w:right="1180"/>
        <w:spacing w:after="0" w:line="266" w:lineRule="auto"/>
        <w:rPr>
          <w:sz w:val="20"/>
          <w:szCs w:val="20"/>
          <w:color w:val="auto"/>
        </w:rPr>
      </w:pPr>
      <w:r>
        <w:rPr>
          <w:rFonts w:ascii="Arial" w:cs="Arial" w:eastAsia="Arial" w:hAnsi="Arial"/>
          <w:sz w:val="18"/>
          <w:szCs w:val="18"/>
          <w:color w:val="58595B"/>
        </w:rPr>
        <w:t>F&amp;G's product solutions also support our clients in achieving their retirement goals and improving their financial lives, while protecting against unforeseen events through life insurance policies.</w:t>
      </w:r>
    </w:p>
    <w:p>
      <w:pPr>
        <w:spacing w:after="0" w:line="120" w:lineRule="exact"/>
        <w:rPr>
          <w:sz w:val="20"/>
          <w:szCs w:val="20"/>
          <w:color w:val="auto"/>
        </w:rPr>
      </w:pPr>
    </w:p>
    <w:p>
      <w:pPr>
        <w:ind w:left="1180" w:right="960"/>
        <w:spacing w:after="0" w:line="241" w:lineRule="auto"/>
        <w:rPr>
          <w:sz w:val="20"/>
          <w:szCs w:val="20"/>
          <w:color w:val="auto"/>
        </w:rPr>
      </w:pPr>
      <w:r>
        <w:rPr>
          <w:rFonts w:ascii="Arial" w:cs="Arial" w:eastAsia="Arial" w:hAnsi="Arial"/>
          <w:sz w:val="18"/>
          <w:szCs w:val="18"/>
          <w:b w:val="1"/>
          <w:bCs w:val="1"/>
          <w:color w:val="58595B"/>
        </w:rPr>
        <w:t xml:space="preserve">Consumer Data and Fraud Protection: </w:t>
      </w:r>
      <w:r>
        <w:rPr>
          <w:rFonts w:ascii="Arial" w:cs="Arial" w:eastAsia="Arial" w:hAnsi="Arial"/>
          <w:sz w:val="18"/>
          <w:szCs w:val="18"/>
          <w:color w:val="58595B"/>
        </w:rPr>
        <w:t>The safety and security of our policyholders, customers, vendors and</w:t>
      </w:r>
      <w:r>
        <w:rPr>
          <w:rFonts w:ascii="Arial" w:cs="Arial" w:eastAsia="Arial" w:hAnsi="Arial"/>
          <w:sz w:val="18"/>
          <w:szCs w:val="18"/>
          <w:b w:val="1"/>
          <w:bCs w:val="1"/>
          <w:color w:val="58595B"/>
        </w:rPr>
        <w:t xml:space="preserve"> </w:t>
      </w:r>
      <w:r>
        <w:rPr>
          <w:rFonts w:ascii="Arial" w:cs="Arial" w:eastAsia="Arial" w:hAnsi="Arial"/>
          <w:sz w:val="18"/>
          <w:szCs w:val="18"/>
          <w:color w:val="58595B"/>
        </w:rPr>
        <w:t>employees is a top priority. We maintain rigorous information security, internal auditing protocols and monitoring to protect funds and private information while in our custody. We continuously work hard to educate and protect our stakeholders from deceitful practices by enhancing fraud prevention programs.</w:t>
      </w:r>
    </w:p>
    <w:p>
      <w:pPr>
        <w:spacing w:after="0" w:line="142" w:lineRule="exact"/>
        <w:rPr>
          <w:sz w:val="20"/>
          <w:szCs w:val="20"/>
          <w:color w:val="auto"/>
        </w:rPr>
      </w:pPr>
    </w:p>
    <w:p>
      <w:pPr>
        <w:ind w:left="1180" w:right="920"/>
        <w:spacing w:after="0" w:line="238" w:lineRule="auto"/>
        <w:rPr>
          <w:sz w:val="20"/>
          <w:szCs w:val="20"/>
          <w:color w:val="auto"/>
        </w:rPr>
      </w:pPr>
      <w:r>
        <w:rPr>
          <w:rFonts w:ascii="Arial" w:cs="Arial" w:eastAsia="Arial" w:hAnsi="Arial"/>
          <w:sz w:val="18"/>
          <w:szCs w:val="18"/>
          <w:b w:val="1"/>
          <w:bCs w:val="1"/>
          <w:color w:val="58595B"/>
        </w:rPr>
        <w:t xml:space="preserve">Preserving the Environment: </w:t>
      </w:r>
      <w:r>
        <w:rPr>
          <w:rFonts w:ascii="Arial" w:cs="Arial" w:eastAsia="Arial" w:hAnsi="Arial"/>
          <w:sz w:val="18"/>
          <w:szCs w:val="18"/>
          <w:color w:val="58595B"/>
        </w:rPr>
        <w:t>FNF integrates environmental management practices into our operations, including</w:t>
      </w:r>
      <w:r>
        <w:rPr>
          <w:rFonts w:ascii="Arial" w:cs="Arial" w:eastAsia="Arial" w:hAnsi="Arial"/>
          <w:sz w:val="18"/>
          <w:szCs w:val="18"/>
          <w:b w:val="1"/>
          <w:bCs w:val="1"/>
          <w:color w:val="58595B"/>
        </w:rPr>
        <w:t xml:space="preserve"> </w:t>
      </w:r>
      <w:r>
        <w:rPr>
          <w:rFonts w:ascii="Arial" w:cs="Arial" w:eastAsia="Arial" w:hAnsi="Arial"/>
          <w:sz w:val="18"/>
          <w:szCs w:val="18"/>
          <w:color w:val="58595B"/>
        </w:rPr>
        <w:t>our facilities. As part of the Company's commitment to preserving the environment, we understand our duty to protect the local environments where we operate and that climate change may present risks and opportunities for our business. Annually, we conduct a climate risk assessment to understand climate-related risks that may impact our business and to manage these risks through our enterprise risk management systems.</w:t>
      </w:r>
    </w:p>
    <w:p>
      <w:pPr>
        <w:spacing w:after="0" w:line="144" w:lineRule="exact"/>
        <w:rPr>
          <w:sz w:val="20"/>
          <w:szCs w:val="20"/>
          <w:color w:val="auto"/>
        </w:rPr>
      </w:pPr>
    </w:p>
    <w:p>
      <w:pPr>
        <w:ind w:left="1180" w:right="900"/>
        <w:spacing w:after="0" w:line="234" w:lineRule="auto"/>
        <w:rPr>
          <w:sz w:val="20"/>
          <w:szCs w:val="20"/>
          <w:color w:val="auto"/>
        </w:rPr>
      </w:pPr>
      <w:r>
        <w:rPr>
          <w:rFonts w:ascii="Arial" w:cs="Arial" w:eastAsia="Arial" w:hAnsi="Arial"/>
          <w:sz w:val="18"/>
          <w:szCs w:val="18"/>
          <w:color w:val="58595B"/>
        </w:rPr>
        <w:t>We are actively working to analyze and reduce FNF's environmental footprint across our locations. Efforts include monitoring and mitigating our carbon footprint, installing water filters to promote use of reusable water bottles, and participating in plastic, paper and electronic recycling programs. FNF monitors its Scope 1 and 2 emissions at Jacksonville Campus and other leased and owned office locations. Emissions data for our Jacksonville headquarters location, and for select subsidiaries, is published in the most recent Sustainability report. As part of a traditionally paper-intensive industry, we have implemented customer-focused technology to significantly reduce paper consumption in real estate transactions demonstrating our commitment to moving the title insurance industry in a more sustainable direction.</w:t>
      </w:r>
    </w:p>
    <w:p>
      <w:pPr>
        <w:spacing w:after="0" w:line="148" w:lineRule="exact"/>
        <w:rPr>
          <w:sz w:val="20"/>
          <w:szCs w:val="20"/>
          <w:color w:val="auto"/>
        </w:rPr>
      </w:pPr>
    </w:p>
    <w:p>
      <w:pPr>
        <w:ind w:left="1180" w:right="940"/>
        <w:spacing w:after="0" w:line="235" w:lineRule="auto"/>
        <w:rPr>
          <w:sz w:val="20"/>
          <w:szCs w:val="20"/>
          <w:color w:val="auto"/>
        </w:rPr>
      </w:pPr>
      <w:r>
        <w:rPr>
          <w:rFonts w:ascii="Arial" w:cs="Arial" w:eastAsia="Arial" w:hAnsi="Arial"/>
          <w:sz w:val="18"/>
          <w:szCs w:val="18"/>
          <w:b w:val="1"/>
          <w:bCs w:val="1"/>
          <w:color w:val="58595B"/>
        </w:rPr>
        <w:t xml:space="preserve">Supporting Our Employees and Communities: </w:t>
      </w:r>
      <w:r>
        <w:rPr>
          <w:rFonts w:ascii="Arial" w:cs="Arial" w:eastAsia="Arial" w:hAnsi="Arial"/>
          <w:sz w:val="18"/>
          <w:szCs w:val="18"/>
          <w:color w:val="58595B"/>
        </w:rPr>
        <w:t>As one of FNF's greatest assets, we are dedicated to providing</w:t>
      </w:r>
      <w:r>
        <w:rPr>
          <w:rFonts w:ascii="Arial" w:cs="Arial" w:eastAsia="Arial" w:hAnsi="Arial"/>
          <w:sz w:val="18"/>
          <w:szCs w:val="18"/>
          <w:b w:val="1"/>
          <w:bCs w:val="1"/>
          <w:color w:val="58595B"/>
        </w:rPr>
        <w:t xml:space="preserve"> </w:t>
      </w:r>
      <w:r>
        <w:rPr>
          <w:rFonts w:ascii="Arial" w:cs="Arial" w:eastAsia="Arial" w:hAnsi="Arial"/>
          <w:sz w:val="18"/>
          <w:szCs w:val="18"/>
          <w:color w:val="58595B"/>
        </w:rPr>
        <w:t>employees with opportunities to expand their knowledge base and develop skills for career advancement. Additionally, we are committed to building a diverse and inclusive workplace and we strongly believe the diversity of our clients should be reflected among our employees. With over 1,300 locations throughout the United States and Canada and over 24,000 employees, we are positioned to make a difference within our communities. Through local community involvement, corporate initiatives, philanthropic giving and an active community volunteer ethos, we work hard each day to support the communities where we live and operate.</w:t>
      </w:r>
    </w:p>
    <w:p>
      <w:pPr>
        <w:spacing w:after="0" w:line="146" w:lineRule="exact"/>
        <w:rPr>
          <w:sz w:val="20"/>
          <w:szCs w:val="20"/>
          <w:color w:val="auto"/>
        </w:rPr>
      </w:pPr>
    </w:p>
    <w:p>
      <w:pPr>
        <w:ind w:left="1180" w:right="1160"/>
        <w:spacing w:after="0" w:line="241" w:lineRule="auto"/>
        <w:rPr>
          <w:sz w:val="20"/>
          <w:szCs w:val="20"/>
          <w:color w:val="auto"/>
        </w:rPr>
      </w:pPr>
      <w:r>
        <w:rPr>
          <w:rFonts w:ascii="Arial" w:cs="Arial" w:eastAsia="Arial" w:hAnsi="Arial"/>
          <w:sz w:val="18"/>
          <w:szCs w:val="18"/>
          <w:b w:val="1"/>
          <w:bCs w:val="1"/>
          <w:color w:val="58595B"/>
        </w:rPr>
        <w:t xml:space="preserve">High Standard of Conduct: </w:t>
      </w:r>
      <w:r>
        <w:rPr>
          <w:rFonts w:ascii="Arial" w:cs="Arial" w:eastAsia="Arial" w:hAnsi="Arial"/>
          <w:sz w:val="18"/>
          <w:szCs w:val="18"/>
          <w:color w:val="58595B"/>
        </w:rPr>
        <w:t>The Company adheres to applicable laws, regulations and principles of conduct to</w:t>
      </w:r>
      <w:r>
        <w:rPr>
          <w:rFonts w:ascii="Arial" w:cs="Arial" w:eastAsia="Arial" w:hAnsi="Arial"/>
          <w:sz w:val="18"/>
          <w:szCs w:val="18"/>
          <w:b w:val="1"/>
          <w:bCs w:val="1"/>
          <w:color w:val="58595B"/>
        </w:rPr>
        <w:t xml:space="preserve"> </w:t>
      </w:r>
      <w:r>
        <w:rPr>
          <w:rFonts w:ascii="Arial" w:cs="Arial" w:eastAsia="Arial" w:hAnsi="Arial"/>
          <w:sz w:val="18"/>
          <w:szCs w:val="18"/>
          <w:color w:val="58595B"/>
        </w:rPr>
        <w:t>protect the public's trust, ensure conscientious performance and preserve FNF's legacy of honesty and strong ethical standards. FNF has implemented strong governance practices, policies, training and reporting avenues designed to encourage all employees to adhere to our high standards for business integrity.</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8A9CBB"/>
        </w:rPr>
        <w:t>KEY 2025 SUSTAINABILITY ACCOMPLISHMENTS</w:t>
      </w:r>
    </w:p>
    <w:p>
      <w:pPr>
        <w:spacing w:after="0" w:line="181" w:lineRule="exact"/>
        <w:rPr>
          <w:sz w:val="20"/>
          <w:szCs w:val="20"/>
          <w:color w:val="auto"/>
        </w:rPr>
      </w:pPr>
    </w:p>
    <w:p>
      <w:pPr>
        <w:ind w:left="1640" w:hanging="286"/>
        <w:spacing w:after="0"/>
        <w:tabs>
          <w:tab w:leader="none" w:pos="1640" w:val="left"/>
        </w:tabs>
        <w:numPr>
          <w:ilvl w:val="0"/>
          <w:numId w:val="24"/>
        </w:numPr>
        <w:rPr>
          <w:rFonts w:ascii="Arial" w:cs="Arial" w:eastAsia="Arial" w:hAnsi="Arial"/>
          <w:sz w:val="18"/>
          <w:szCs w:val="18"/>
          <w:color w:val="58595B"/>
        </w:rPr>
      </w:pPr>
      <w:r>
        <w:rPr>
          <w:rFonts w:ascii="Arial" w:cs="Arial" w:eastAsia="Arial" w:hAnsi="Arial"/>
          <w:sz w:val="18"/>
          <w:szCs w:val="18"/>
          <w:color w:val="58595B"/>
        </w:rPr>
        <w:t>Continued to monitor risks and opportunities related to our climate risk assessment.</w:t>
      </w:r>
    </w:p>
    <w:p>
      <w:pPr>
        <w:spacing w:after="0" w:line="175" w:lineRule="exact"/>
        <w:rPr>
          <w:rFonts w:ascii="Arial" w:cs="Arial" w:eastAsia="Arial" w:hAnsi="Arial"/>
          <w:sz w:val="18"/>
          <w:szCs w:val="18"/>
          <w:color w:val="58595B"/>
        </w:rPr>
      </w:pPr>
    </w:p>
    <w:p>
      <w:pPr>
        <w:ind w:left="1640" w:hanging="286"/>
        <w:spacing w:after="0"/>
        <w:tabs>
          <w:tab w:leader="none" w:pos="1640" w:val="left"/>
        </w:tabs>
        <w:numPr>
          <w:ilvl w:val="0"/>
          <w:numId w:val="24"/>
        </w:numPr>
        <w:rPr>
          <w:rFonts w:ascii="Arial" w:cs="Arial" w:eastAsia="Arial" w:hAnsi="Arial"/>
          <w:sz w:val="18"/>
          <w:szCs w:val="18"/>
          <w:color w:val="58595B"/>
        </w:rPr>
      </w:pPr>
      <w:r>
        <w:rPr>
          <w:rFonts w:ascii="Arial" w:cs="Arial" w:eastAsia="Arial" w:hAnsi="Arial"/>
          <w:sz w:val="18"/>
          <w:szCs w:val="18"/>
          <w:color w:val="58595B"/>
        </w:rPr>
        <w:t>Calculated our emissions scopes across our real estate portfolio..</w:t>
      </w:r>
    </w:p>
    <w:p>
      <w:pPr>
        <w:spacing w:after="0" w:line="175" w:lineRule="exact"/>
        <w:rPr>
          <w:rFonts w:ascii="Arial" w:cs="Arial" w:eastAsia="Arial" w:hAnsi="Arial"/>
          <w:sz w:val="18"/>
          <w:szCs w:val="18"/>
          <w:color w:val="58595B"/>
        </w:rPr>
      </w:pPr>
    </w:p>
    <w:p>
      <w:pPr>
        <w:ind w:left="1640" w:right="1300" w:hanging="286"/>
        <w:spacing w:after="0" w:line="266" w:lineRule="auto"/>
        <w:tabs>
          <w:tab w:leader="none" w:pos="1640" w:val="left"/>
        </w:tabs>
        <w:numPr>
          <w:ilvl w:val="0"/>
          <w:numId w:val="24"/>
        </w:numPr>
        <w:rPr>
          <w:rFonts w:ascii="Arial" w:cs="Arial" w:eastAsia="Arial" w:hAnsi="Arial"/>
          <w:sz w:val="18"/>
          <w:szCs w:val="18"/>
          <w:color w:val="58595B"/>
        </w:rPr>
      </w:pPr>
      <w:r>
        <w:rPr>
          <w:rFonts w:ascii="Arial" w:cs="Arial" w:eastAsia="Arial" w:hAnsi="Arial"/>
          <w:sz w:val="18"/>
          <w:szCs w:val="18"/>
          <w:color w:val="58595B"/>
        </w:rPr>
        <w:t>Revised and developed key policies and statements to reflect our ongoing commitment to sustainability-related risks.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10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616"/>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4" w:name="page15"/>
    <w:bookmarkEnd w:id="14"/>
    <w:p>
      <w:pPr>
        <w:ind w:left="800"/>
        <w:spacing w:after="0"/>
        <w:rPr>
          <w:sz w:val="20"/>
          <w:szCs w:val="20"/>
          <w:color w:val="auto"/>
        </w:rPr>
      </w:pPr>
      <w:r>
        <w:rPr>
          <w:rFonts w:ascii="Arial" w:cs="Arial" w:eastAsia="Arial" w:hAnsi="Arial"/>
          <w:sz w:val="20"/>
          <w:szCs w:val="20"/>
          <w:b w:val="1"/>
          <w:bCs w:val="1"/>
          <w:color w:val="8A9CBB"/>
        </w:rPr>
        <w:t>BOARD AND SUSTAINABILITY OVERSIGHT</w:t>
      </w:r>
    </w:p>
    <w:p>
      <w:pPr>
        <w:spacing w:after="0" w:line="181" w:lineRule="exact"/>
        <w:rPr>
          <w:sz w:val="20"/>
          <w:szCs w:val="20"/>
          <w:color w:val="auto"/>
        </w:rPr>
      </w:pPr>
    </w:p>
    <w:p>
      <w:pPr>
        <w:ind w:left="800" w:right="400"/>
        <w:spacing w:after="0" w:line="247" w:lineRule="auto"/>
        <w:rPr>
          <w:sz w:val="20"/>
          <w:szCs w:val="20"/>
          <w:color w:val="auto"/>
        </w:rPr>
      </w:pPr>
      <w:r>
        <w:rPr>
          <w:rFonts w:ascii="Arial" w:cs="Arial" w:eastAsia="Arial" w:hAnsi="Arial"/>
          <w:sz w:val="18"/>
          <w:szCs w:val="18"/>
          <w:color w:val="58595B"/>
        </w:rPr>
        <w:t>FNF is committed to strong governance systems and policies that ensure fair, transparent and efficient business practices. To honor that commitment, our management team leads our sustainability efforts with oversight from the audit committee, which reports to the board of directors.</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8A9CBB"/>
        </w:rPr>
        <w:t>SUSTAINABILITY DUE DILIGENCE</w:t>
      </w:r>
    </w:p>
    <w:p>
      <w:pPr>
        <w:spacing w:after="0" w:line="181" w:lineRule="exact"/>
        <w:rPr>
          <w:sz w:val="20"/>
          <w:szCs w:val="20"/>
          <w:color w:val="auto"/>
        </w:rPr>
      </w:pPr>
    </w:p>
    <w:p>
      <w:pPr>
        <w:jc w:val="both"/>
        <w:ind w:left="800" w:right="460"/>
        <w:spacing w:after="0" w:line="241" w:lineRule="auto"/>
        <w:rPr>
          <w:sz w:val="20"/>
          <w:szCs w:val="20"/>
          <w:color w:val="auto"/>
        </w:rPr>
      </w:pPr>
      <w:r>
        <w:rPr>
          <w:rFonts w:ascii="Arial" w:cs="Arial" w:eastAsia="Arial" w:hAnsi="Arial"/>
          <w:sz w:val="18"/>
          <w:szCs w:val="18"/>
          <w:color w:val="58595B"/>
        </w:rPr>
        <w:t>Sustainability is embedded across FNF's approach to mergers and acquisitions. To maximize the value of each of our diverse assets, our management team takes a holistic approach and reviews sustainability practices that are material to a potential investment. We believe that managing sustainability issues in our mergers and acquisitions helps FNF generate stronger returns for our shareholders while improving our impact on the community.</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8A9CBB"/>
        </w:rPr>
        <w:t>SUSTAINABILITY RISK MANAGEMENT</w:t>
      </w:r>
    </w:p>
    <w:p>
      <w:pPr>
        <w:spacing w:after="0" w:line="181" w:lineRule="exact"/>
        <w:rPr>
          <w:sz w:val="20"/>
          <w:szCs w:val="20"/>
          <w:color w:val="auto"/>
        </w:rPr>
      </w:pPr>
    </w:p>
    <w:p>
      <w:pPr>
        <w:ind w:left="800" w:right="620"/>
        <w:spacing w:after="0" w:line="234" w:lineRule="auto"/>
        <w:rPr>
          <w:sz w:val="20"/>
          <w:szCs w:val="20"/>
          <w:color w:val="auto"/>
        </w:rPr>
      </w:pPr>
      <w:r>
        <w:rPr>
          <w:rFonts w:ascii="Arial" w:cs="Arial" w:eastAsia="Arial" w:hAnsi="Arial"/>
          <w:sz w:val="18"/>
          <w:szCs w:val="18"/>
          <w:color w:val="58595B"/>
        </w:rPr>
        <w:t>FNF recognizes that sustainability risks, including climate change and severe weather conditions, cybersecurity breaches, geopolitical dynamics and other catastrophic events may impact our business. At FNF, we manage material risks through our Enterprise Risk Management (</w:t>
      </w:r>
      <w:r>
        <w:rPr>
          <w:rFonts w:ascii="Arial" w:cs="Arial" w:eastAsia="Arial" w:hAnsi="Arial"/>
          <w:sz w:val="18"/>
          <w:szCs w:val="18"/>
          <w:i w:val="1"/>
          <w:iCs w:val="1"/>
          <w:color w:val="58595B"/>
        </w:rPr>
        <w:t>ERM</w:t>
      </w:r>
      <w:r>
        <w:rPr>
          <w:rFonts w:ascii="Arial" w:cs="Arial" w:eastAsia="Arial" w:hAnsi="Arial"/>
          <w:sz w:val="18"/>
          <w:szCs w:val="18"/>
          <w:color w:val="58595B"/>
        </w:rPr>
        <w:t>) program. Our ERM program is overseen by our Chief Risk Officer. Our Chief Risk Officer reports to the audit committee of our board of directors regularly about our ERM and Business Continuity programs. At the management level, FNF manages risk through a cross-functional committee of members of senior management known as the Enterprise Risk Steering Committee (</w:t>
      </w:r>
      <w:r>
        <w:rPr>
          <w:rFonts w:ascii="Arial" w:cs="Arial" w:eastAsia="Arial" w:hAnsi="Arial"/>
          <w:sz w:val="18"/>
          <w:szCs w:val="18"/>
          <w:i w:val="1"/>
          <w:iCs w:val="1"/>
          <w:color w:val="58595B"/>
        </w:rPr>
        <w:t>ERSC</w:t>
      </w:r>
      <w:r>
        <w:rPr>
          <w:rFonts w:ascii="Arial" w:cs="Arial" w:eastAsia="Arial" w:hAnsi="Arial"/>
          <w:sz w:val="18"/>
          <w:szCs w:val="18"/>
          <w:color w:val="58595B"/>
        </w:rPr>
        <w:t>). This group identifies key enterprise risks, from strategic, operational, financial, legal, information technology and cyber and physical security, and compliance perspectives.</w:t>
      </w:r>
    </w:p>
    <w:p>
      <w:pPr>
        <w:spacing w:after="0" w:line="148" w:lineRule="exact"/>
        <w:rPr>
          <w:sz w:val="20"/>
          <w:szCs w:val="20"/>
          <w:color w:val="auto"/>
        </w:rPr>
      </w:pPr>
    </w:p>
    <w:p>
      <w:pPr>
        <w:ind w:left="800" w:right="340"/>
        <w:spacing w:after="0" w:line="234" w:lineRule="auto"/>
        <w:rPr>
          <w:sz w:val="20"/>
          <w:szCs w:val="20"/>
          <w:color w:val="auto"/>
        </w:rPr>
      </w:pPr>
      <w:r>
        <w:rPr>
          <w:rFonts w:ascii="Arial" w:cs="Arial" w:eastAsia="Arial" w:hAnsi="Arial"/>
          <w:sz w:val="18"/>
          <w:szCs w:val="18"/>
          <w:color w:val="58595B"/>
        </w:rPr>
        <w:t>Our ERM program works diligently to identify, assess, and manage risks. This includes conducting risk assessments on our material risks and reviewing proposed new products and services for possible climate impacts outside of current operations. Consistent with FNF's processes for other risk assessments, our ERM team meets with key stakeholders in FNF's corporate control and operational groups to develop an overall risk inventory related to climate-related risk. In conjunction with our climate-related risk assessment, we enhanced and developed key policies and statements to further embed consideration of climate risk into our business strategy and financial planning. Our approach includes our Environmental Policy Statement, integration of climate-related and other sustainability risks into our ERM program, and consideration of climate-related and other sustainability risks when conducting due diligence for potential acquisitions and new product and service offerings.</w:t>
      </w:r>
    </w:p>
    <w:p>
      <w:pPr>
        <w:spacing w:after="0" w:line="143" w:lineRule="exact"/>
        <w:rPr>
          <w:sz w:val="20"/>
          <w:szCs w:val="20"/>
          <w:color w:val="auto"/>
        </w:rPr>
      </w:pPr>
    </w:p>
    <w:p>
      <w:pPr>
        <w:ind w:left="800" w:right="420"/>
        <w:spacing w:after="0" w:line="241" w:lineRule="auto"/>
        <w:rPr>
          <w:sz w:val="20"/>
          <w:szCs w:val="20"/>
          <w:color w:val="auto"/>
        </w:rPr>
      </w:pPr>
      <w:r>
        <w:rPr>
          <w:rFonts w:ascii="Arial" w:cs="Arial" w:eastAsia="Arial" w:hAnsi="Arial"/>
          <w:sz w:val="18"/>
          <w:szCs w:val="18"/>
          <w:color w:val="58595B"/>
        </w:rPr>
        <w:t>As part of our investment strategy, we regularly identify and monitor numerous risks that could have a detrimental impact on our investment portfolio. We have revised our Investment Policy to incorporate consideration of material climate-related risk, including risks that relate to the changing domestic and global market for energy generation and the related regulatory environment, as part of our investment strategy.</w:t>
      </w:r>
    </w:p>
    <w:p>
      <w:pPr>
        <w:spacing w:after="0" w:line="142" w:lineRule="exact"/>
        <w:rPr>
          <w:sz w:val="20"/>
          <w:szCs w:val="20"/>
          <w:color w:val="auto"/>
        </w:rPr>
      </w:pPr>
    </w:p>
    <w:p>
      <w:pPr>
        <w:ind w:left="800" w:right="480"/>
        <w:spacing w:after="0" w:line="238" w:lineRule="auto"/>
        <w:rPr>
          <w:sz w:val="20"/>
          <w:szCs w:val="20"/>
          <w:color w:val="auto"/>
        </w:rPr>
      </w:pPr>
      <w:r>
        <w:rPr>
          <w:rFonts w:ascii="Arial" w:cs="Arial" w:eastAsia="Arial" w:hAnsi="Arial"/>
          <w:sz w:val="18"/>
          <w:szCs w:val="18"/>
          <w:color w:val="58595B"/>
        </w:rPr>
        <w:t>We maintain a dedicated Business Continuity Office (</w:t>
      </w:r>
      <w:r>
        <w:rPr>
          <w:rFonts w:ascii="Arial" w:cs="Arial" w:eastAsia="Arial" w:hAnsi="Arial"/>
          <w:sz w:val="18"/>
          <w:szCs w:val="18"/>
          <w:i w:val="1"/>
          <w:iCs w:val="1"/>
          <w:color w:val="58595B"/>
        </w:rPr>
        <w:t>BCO</w:t>
      </w:r>
      <w:r>
        <w:rPr>
          <w:rFonts w:ascii="Arial" w:cs="Arial" w:eastAsia="Arial" w:hAnsi="Arial"/>
          <w:sz w:val="18"/>
          <w:szCs w:val="18"/>
          <w:color w:val="58595B"/>
        </w:rPr>
        <w:t>) that is responsible for the implementation of our business continuity program and reports to the Chief Risk Officer. Our business continuity program is part of our ERM program and establishes plans for our core products, processes, and services. This includes predetermined actions to be taken, resources to be used, and procedures to be followed before, during, and after a disaster or other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105410</wp:posOffset>
            </wp:positionV>
            <wp:extent cx="7144385" cy="297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5"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FFFFFF"/>
        </w:rPr>
        <w:t>11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132715</wp:posOffset>
            </wp:positionV>
            <wp:extent cx="7144385" cy="172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680085</wp:posOffset>
            </wp:positionV>
            <wp:extent cx="7144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20"/>
          </w:cols>
          <w:pgMar w:left="700" w:top="791" w:right="879" w:bottom="1440" w:gutter="0" w:footer="0" w:header="0"/>
        </w:sectPr>
      </w:pPr>
    </w:p>
    <w:bookmarkStart w:id="15" w:name="page16"/>
    <w:bookmarkEnd w:id="15"/>
    <w:p>
      <w:pPr>
        <w:ind w:left="1180" w:right="1220"/>
        <w:spacing w:after="0" w:line="247" w:lineRule="auto"/>
        <w:rPr>
          <w:sz w:val="20"/>
          <w:szCs w:val="20"/>
          <w:color w:val="auto"/>
        </w:rPr>
      </w:pPr>
      <w:r>
        <w:rPr>
          <w:rFonts w:ascii="Arial" w:cs="Arial" w:eastAsia="Arial" w:hAnsi="Arial"/>
          <w:sz w:val="18"/>
          <w:szCs w:val="18"/>
          <w:color w:val="58595B"/>
        </w:rPr>
        <w:t>FNF's headquarters are in Jacksonville, Florida, an area at high risk of hurricane and flood damage. We have taken steps to harden our corporate offices in Jacksonville and provided the majority of our employees with the tools they need to work remotely.</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8A9CBB"/>
        </w:rPr>
        <w:t>INCLUSION</w:t>
      </w:r>
    </w:p>
    <w:p>
      <w:pPr>
        <w:spacing w:after="0" w:line="181" w:lineRule="exact"/>
        <w:rPr>
          <w:sz w:val="20"/>
          <w:szCs w:val="20"/>
          <w:color w:val="auto"/>
        </w:rPr>
      </w:pPr>
    </w:p>
    <w:p>
      <w:pPr>
        <w:ind w:left="1180" w:right="880"/>
        <w:spacing w:after="0" w:line="235" w:lineRule="auto"/>
        <w:rPr>
          <w:sz w:val="20"/>
          <w:szCs w:val="20"/>
          <w:color w:val="auto"/>
        </w:rPr>
      </w:pPr>
      <w:r>
        <w:rPr>
          <w:rFonts w:ascii="Arial" w:cs="Arial" w:eastAsia="Arial" w:hAnsi="Arial"/>
          <w:sz w:val="18"/>
          <w:szCs w:val="18"/>
          <w:color w:val="58595B"/>
        </w:rPr>
        <w:t>FNF aims to implement diverse and inclusive practices in all aspects of business operations and the diversity of our employees contributes to our success by offering our clients meaningful customized products and services. We are committed to being an equal opportunity employer and complying with all applicable federal, state and local laws that prohibit employment discrimination on the basis of race, color, creed, religion, age, sex, pregnancy, national origin, ancestry, citizenship status, veteran status, marital status, physical or mental disability, sexual orientation, gender identity or expression (including transgender status), genetic information and any other characteristic protected by applicable federal, state or local laws.</w:t>
      </w:r>
    </w:p>
    <w:p>
      <w:pPr>
        <w:spacing w:after="0" w:line="146" w:lineRule="exact"/>
        <w:rPr>
          <w:sz w:val="20"/>
          <w:szCs w:val="20"/>
          <w:color w:val="auto"/>
        </w:rPr>
      </w:pPr>
    </w:p>
    <w:p>
      <w:pPr>
        <w:ind w:left="1180" w:right="900"/>
        <w:spacing w:after="0" w:line="241" w:lineRule="auto"/>
        <w:rPr>
          <w:sz w:val="20"/>
          <w:szCs w:val="20"/>
          <w:color w:val="auto"/>
        </w:rPr>
      </w:pPr>
      <w:r>
        <w:rPr>
          <w:rFonts w:ascii="Arial" w:cs="Arial" w:eastAsia="Arial" w:hAnsi="Arial"/>
          <w:sz w:val="18"/>
          <w:szCs w:val="18"/>
          <w:color w:val="58595B"/>
        </w:rPr>
        <w:t>FNF's corporate policies, including our Code of Business Conduct &amp; Ethics, Anti-Harassment, Discrimination, and Bullying Policy, Americans with Disabilities Act Compliance Policy, and Workplace Violence Prevention Policy, prohibit discrimination and harassment. Our Employee Handbook contains our Equal Employment Opportunity and other non-discrimination statements.</w:t>
      </w:r>
    </w:p>
    <w:p>
      <w:pPr>
        <w:spacing w:after="0" w:line="142" w:lineRule="exact"/>
        <w:rPr>
          <w:sz w:val="20"/>
          <w:szCs w:val="20"/>
          <w:color w:val="auto"/>
        </w:rPr>
      </w:pPr>
    </w:p>
    <w:p>
      <w:pPr>
        <w:ind w:left="1180" w:right="1000"/>
        <w:spacing w:after="0" w:line="241" w:lineRule="auto"/>
        <w:rPr>
          <w:sz w:val="20"/>
          <w:szCs w:val="20"/>
          <w:color w:val="auto"/>
        </w:rPr>
      </w:pPr>
      <w:r>
        <w:rPr>
          <w:rFonts w:ascii="Arial" w:cs="Arial" w:eastAsia="Arial" w:hAnsi="Arial"/>
          <w:sz w:val="18"/>
          <w:szCs w:val="18"/>
          <w:color w:val="58595B"/>
        </w:rPr>
        <w:t>Annually, employees must acknowledge our key corporate non-discrimination policies and complete trainings on topics such as FNF Code of Business Conduct and Ethics, anti-harassment and discrimination. FNF maintains an open-door culture that encourages both employee feedback and provides employees several channels through which to report potential violations.</w:t>
      </w:r>
    </w:p>
    <w:p>
      <w:pPr>
        <w:spacing w:after="0" w:line="142" w:lineRule="exact"/>
        <w:rPr>
          <w:sz w:val="20"/>
          <w:szCs w:val="20"/>
          <w:color w:val="auto"/>
        </w:rPr>
      </w:pPr>
    </w:p>
    <w:p>
      <w:pPr>
        <w:ind w:left="1180" w:right="1040"/>
        <w:spacing w:after="0" w:line="241" w:lineRule="auto"/>
        <w:rPr>
          <w:sz w:val="20"/>
          <w:szCs w:val="20"/>
          <w:color w:val="auto"/>
        </w:rPr>
      </w:pPr>
      <w:r>
        <w:rPr>
          <w:rFonts w:ascii="Arial" w:cs="Arial" w:eastAsia="Arial" w:hAnsi="Arial"/>
          <w:sz w:val="18"/>
          <w:szCs w:val="18"/>
          <w:color w:val="58595B"/>
        </w:rPr>
        <w:t>We have many women in leadership roles throughout our organization. As of December 31, 2025, out of approximately 18,800 U.S.-based FNF employees, 69% are women and 31% are men. Two out of eleven board members are women, 43% percent of the members of FNF's leadership team are women and 68% of FNF's non-executive managers are women.</w:t>
      </w:r>
    </w:p>
    <w:p>
      <w:pPr>
        <w:spacing w:after="0" w:line="142" w:lineRule="exact"/>
        <w:rPr>
          <w:sz w:val="20"/>
          <w:szCs w:val="20"/>
          <w:color w:val="auto"/>
        </w:rPr>
      </w:pPr>
    </w:p>
    <w:p>
      <w:pPr>
        <w:ind w:left="1180" w:right="900"/>
        <w:spacing w:after="0" w:line="235" w:lineRule="auto"/>
        <w:rPr>
          <w:sz w:val="20"/>
          <w:szCs w:val="20"/>
          <w:color w:val="auto"/>
        </w:rPr>
      </w:pPr>
      <w:r>
        <w:rPr>
          <w:rFonts w:ascii="Arial" w:cs="Arial" w:eastAsia="Arial" w:hAnsi="Arial"/>
          <w:sz w:val="18"/>
          <w:szCs w:val="18"/>
          <w:color w:val="58595B"/>
        </w:rPr>
        <w:t>Our board of directors leads by example in its commitment to diversity. Our board codified its commitment to considering diversity when selecting new director nominees, including diversity of viewpoints, background, experience, and other demographics such as age, nationality, race, ethnicity, and sexual orientation. FNF's corporate governance and nominating committee is responsible for identifying and nominating future FNF board members. The corporate governance and nominating committee's charter requires it to consider the characteristics of directors and director nominees with the goal of maintaining a mix of skills, background, gender diversity, ethnic diversity, and tenure on the board to support and promote the Company's strategic vision.</w:t>
      </w:r>
    </w:p>
    <w:p>
      <w:pPr>
        <w:spacing w:after="0" w:line="142"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8A9CBB"/>
        </w:rPr>
        <w:t>DATA PRIVACY AND CYBERSECURITY</w:t>
      </w:r>
    </w:p>
    <w:p>
      <w:pPr>
        <w:spacing w:after="0" w:line="181" w:lineRule="exact"/>
        <w:rPr>
          <w:sz w:val="20"/>
          <w:szCs w:val="20"/>
          <w:color w:val="auto"/>
        </w:rPr>
      </w:pPr>
    </w:p>
    <w:p>
      <w:pPr>
        <w:ind w:left="1180" w:right="900"/>
        <w:spacing w:after="0" w:line="247" w:lineRule="auto"/>
        <w:rPr>
          <w:sz w:val="20"/>
          <w:szCs w:val="20"/>
          <w:color w:val="auto"/>
        </w:rPr>
      </w:pPr>
      <w:r>
        <w:rPr>
          <w:rFonts w:ascii="Arial" w:cs="Arial" w:eastAsia="Arial" w:hAnsi="Arial"/>
          <w:sz w:val="18"/>
          <w:szCs w:val="18"/>
          <w:color w:val="58595B"/>
        </w:rPr>
        <w:t>We are highly dependent on information technology in the operation of our various businesses. Cybersecurity is an integral part of our operations and is a focus of all employees, including senior management, and our board of directors.</w:t>
      </w:r>
    </w:p>
    <w:p>
      <w:pPr>
        <w:spacing w:after="0" w:line="137" w:lineRule="exact"/>
        <w:rPr>
          <w:sz w:val="20"/>
          <w:szCs w:val="20"/>
          <w:color w:val="auto"/>
        </w:rPr>
      </w:pPr>
    </w:p>
    <w:p>
      <w:pPr>
        <w:ind w:left="1180" w:right="1060"/>
        <w:spacing w:after="0" w:line="238" w:lineRule="auto"/>
        <w:rPr>
          <w:sz w:val="20"/>
          <w:szCs w:val="20"/>
          <w:color w:val="auto"/>
        </w:rPr>
      </w:pPr>
      <w:r>
        <w:rPr>
          <w:rFonts w:ascii="Arial" w:cs="Arial" w:eastAsia="Arial" w:hAnsi="Arial"/>
          <w:sz w:val="18"/>
          <w:szCs w:val="18"/>
          <w:color w:val="58595B"/>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 management, disaster recovery and continuity management. We have established policies, including those related to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12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ind w:left="820" w:right="500"/>
        <w:spacing w:after="0" w:line="241" w:lineRule="auto"/>
        <w:rPr>
          <w:sz w:val="20"/>
          <w:szCs w:val="20"/>
          <w:color w:val="auto"/>
        </w:rPr>
      </w:pPr>
      <w:r>
        <w:rPr>
          <w:rFonts w:ascii="Arial" w:cs="Arial" w:eastAsia="Arial" w:hAnsi="Arial"/>
          <w:sz w:val="18"/>
          <w:szCs w:val="18"/>
          <w:color w:val="58595B"/>
        </w:rPr>
        <w:t>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spacing w:after="0" w:line="142" w:lineRule="exact"/>
        <w:rPr>
          <w:sz w:val="20"/>
          <w:szCs w:val="20"/>
          <w:color w:val="auto"/>
        </w:rPr>
      </w:pPr>
    </w:p>
    <w:p>
      <w:pPr>
        <w:ind w:left="820" w:right="380"/>
        <w:spacing w:after="0" w:line="236" w:lineRule="auto"/>
        <w:rPr>
          <w:sz w:val="20"/>
          <w:szCs w:val="20"/>
          <w:color w:val="auto"/>
        </w:rPr>
      </w:pPr>
      <w:r>
        <w:rPr>
          <w:rFonts w:ascii="Arial" w:cs="Arial" w:eastAsia="Arial" w:hAnsi="Arial"/>
          <w:sz w:val="18"/>
          <w:szCs w:val="18"/>
          <w:color w:val="58595B"/>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 To reduce the residual risk associated with cybersecurity, we maintain Miscellaneous Professional Liability Insurance, which provides coverage for cybersecurity incidents.</w:t>
      </w:r>
    </w:p>
    <w:p>
      <w:pPr>
        <w:spacing w:after="0" w:line="147" w:lineRule="exact"/>
        <w:rPr>
          <w:sz w:val="20"/>
          <w:szCs w:val="20"/>
          <w:color w:val="auto"/>
        </w:rPr>
      </w:pPr>
    </w:p>
    <w:p>
      <w:pPr>
        <w:ind w:left="820" w:right="460"/>
        <w:spacing w:after="0" w:line="234" w:lineRule="auto"/>
        <w:rPr>
          <w:sz w:val="20"/>
          <w:szCs w:val="20"/>
          <w:color w:val="auto"/>
        </w:rPr>
      </w:pPr>
      <w:r>
        <w:rPr>
          <w:rFonts w:ascii="Arial" w:cs="Arial" w:eastAsia="Arial" w:hAnsi="Arial"/>
          <w:sz w:val="18"/>
          <w:szCs w:val="18"/>
          <w:color w:val="58595B"/>
        </w:rPr>
        <w:t>Our Corporate Information Security Group is led by our Chief Information Security Officer (</w:t>
      </w:r>
      <w:r>
        <w:rPr>
          <w:rFonts w:ascii="Arial" w:cs="Arial" w:eastAsia="Arial" w:hAnsi="Arial"/>
          <w:sz w:val="18"/>
          <w:szCs w:val="18"/>
          <w:i w:val="1"/>
          <w:iCs w:val="1"/>
          <w:color w:val="58595B"/>
        </w:rPr>
        <w:t>CISO</w:t>
      </w:r>
      <w:r>
        <w:rPr>
          <w:rFonts w:ascii="Arial" w:cs="Arial" w:eastAsia="Arial" w:hAnsi="Arial"/>
          <w:sz w:val="18"/>
          <w:szCs w:val="18"/>
          <w:color w:val="58595B"/>
        </w:rPr>
        <w:t>)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We believe cybersecurity is a shared responsibility throughout the organization and thus we also manage cybersecurity risks through a cross-functional committee of members of senior management known as the Enterprise Risk Steering Committee, which includes the CISO.</w:t>
      </w:r>
    </w:p>
    <w:p>
      <w:pPr>
        <w:spacing w:after="0" w:line="148" w:lineRule="exact"/>
        <w:rPr>
          <w:sz w:val="20"/>
          <w:szCs w:val="20"/>
          <w:color w:val="auto"/>
        </w:rPr>
      </w:pPr>
    </w:p>
    <w:p>
      <w:pPr>
        <w:ind w:left="820" w:right="340"/>
        <w:spacing w:after="0" w:line="236" w:lineRule="auto"/>
        <w:rPr>
          <w:sz w:val="20"/>
          <w:szCs w:val="20"/>
          <w:color w:val="auto"/>
        </w:rPr>
      </w:pPr>
      <w:r>
        <w:rPr>
          <w:rFonts w:ascii="Arial" w:cs="Arial" w:eastAsia="Arial" w:hAnsi="Arial"/>
          <w:sz w:val="18"/>
          <w:szCs w:val="18"/>
          <w:color w:val="58595B"/>
        </w:rPr>
        <w:t>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w:t>
      </w:r>
    </w:p>
    <w:p>
      <w:pPr>
        <w:spacing w:after="0" w:line="147" w:lineRule="exact"/>
        <w:rPr>
          <w:sz w:val="20"/>
          <w:szCs w:val="20"/>
          <w:color w:val="auto"/>
        </w:rPr>
      </w:pPr>
    </w:p>
    <w:p>
      <w:pPr>
        <w:jc w:val="both"/>
        <w:ind w:left="820" w:right="460"/>
        <w:spacing w:after="0" w:line="247" w:lineRule="auto"/>
        <w:rPr>
          <w:sz w:val="20"/>
          <w:szCs w:val="20"/>
          <w:color w:val="auto"/>
        </w:rPr>
      </w:pPr>
      <w:r>
        <w:rPr>
          <w:rFonts w:ascii="Arial" w:cs="Arial" w:eastAsia="Arial" w:hAnsi="Arial"/>
          <w:sz w:val="18"/>
          <w:szCs w:val="18"/>
          <w:color w:val="58595B"/>
        </w:rPr>
        <w:t>For additional information regarding our approach to cybersecurity and related risks, see Item 1A – "Risk Factors" and Item 1C – "Cybersecurity" in our Annual Report on Form 10-K for the year ended December 31, 2025, which was filed with the SEC on February 26, 2026.</w:t>
      </w:r>
    </w:p>
    <w:p>
      <w:pPr>
        <w:spacing w:after="0" w:line="13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5779A"/>
        </w:rPr>
        <w:t>THE BOARD</w:t>
      </w:r>
    </w:p>
    <w:p>
      <w:pPr>
        <w:spacing w:after="0" w:line="193" w:lineRule="exact"/>
        <w:rPr>
          <w:sz w:val="20"/>
          <w:szCs w:val="20"/>
          <w:color w:val="auto"/>
        </w:rPr>
      </w:pPr>
    </w:p>
    <w:p>
      <w:pPr>
        <w:jc w:val="both"/>
        <w:ind w:left="820" w:right="400"/>
        <w:spacing w:after="0" w:line="247" w:lineRule="auto"/>
        <w:rPr>
          <w:sz w:val="20"/>
          <w:szCs w:val="20"/>
          <w:color w:val="auto"/>
        </w:rPr>
      </w:pPr>
      <w:r>
        <w:rPr>
          <w:rFonts w:ascii="Arial" w:cs="Arial" w:eastAsia="Arial" w:hAnsi="Arial"/>
          <w:sz w:val="18"/>
          <w:szCs w:val="18"/>
          <w:color w:val="58595B"/>
        </w:rPr>
        <w:t>Our board is composed of William P. Foley, II (Chairman), Raymond R. Quirk (Executive Vice-Chairman), Douglas K. Ammerman, Halim Dhanidina, Thomas M. Hagerty, Daniel D. (Ron) Lane, Heather H. Miller, Sandra D. Morgan, John D. Rood, Peter O. Shea, Jr. and Cary H. Thompson.</w:t>
      </w:r>
    </w:p>
    <w:p>
      <w:pPr>
        <w:spacing w:after="0" w:line="137" w:lineRule="exact"/>
        <w:rPr>
          <w:sz w:val="20"/>
          <w:szCs w:val="20"/>
          <w:color w:val="auto"/>
        </w:rPr>
      </w:pPr>
    </w:p>
    <w:p>
      <w:pPr>
        <w:ind w:left="820" w:right="540"/>
        <w:spacing w:after="0" w:line="236" w:lineRule="auto"/>
        <w:rPr>
          <w:sz w:val="20"/>
          <w:szCs w:val="20"/>
          <w:color w:val="auto"/>
        </w:rPr>
      </w:pPr>
      <w:r>
        <w:rPr>
          <w:rFonts w:ascii="Arial" w:cs="Arial" w:eastAsia="Arial" w:hAnsi="Arial"/>
          <w:sz w:val="18"/>
          <w:szCs w:val="18"/>
          <w:color w:val="58595B"/>
        </w:rPr>
        <w:t>Our board met four times in 2025. All directors attended at least 75% of the meetings of the board and of the committees on which they served during 2025. Our non-management directors also met periodically in executive sessions without management, and our Lead Director presides over these executive sessions. We do not, as a general matter, require our board members to attend our annual meeting of shareholders, although each of our directors is invited to attend our 2026 annual meeting. During 2025, none of our board members attended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106680</wp:posOffset>
            </wp:positionV>
            <wp:extent cx="7144385" cy="297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8"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13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672465</wp:posOffset>
            </wp:positionV>
            <wp:extent cx="71443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17" w:name="page18"/>
    <w:bookmarkEnd w:id="17"/>
    <w:p>
      <w:pPr>
        <w:ind w:left="1180"/>
        <w:spacing w:after="0"/>
        <w:rPr>
          <w:sz w:val="20"/>
          <w:szCs w:val="20"/>
          <w:color w:val="auto"/>
        </w:rPr>
      </w:pPr>
      <w:r>
        <w:rPr>
          <w:rFonts w:ascii="Arial" w:cs="Arial" w:eastAsia="Arial" w:hAnsi="Arial"/>
          <w:sz w:val="23"/>
          <w:szCs w:val="23"/>
          <w:b w:val="1"/>
          <w:bCs w:val="1"/>
          <w:color w:val="55779A"/>
        </w:rPr>
        <w:t>MAJORITY VOTING</w:t>
      </w:r>
    </w:p>
    <w:p>
      <w:pPr>
        <w:spacing w:after="0" w:line="193" w:lineRule="exact"/>
        <w:rPr>
          <w:sz w:val="20"/>
          <w:szCs w:val="20"/>
          <w:color w:val="auto"/>
        </w:rPr>
      </w:pPr>
    </w:p>
    <w:p>
      <w:pPr>
        <w:ind w:left="1180" w:right="940"/>
        <w:spacing w:after="0" w:line="238" w:lineRule="auto"/>
        <w:rPr>
          <w:sz w:val="20"/>
          <w:szCs w:val="20"/>
          <w:color w:val="auto"/>
        </w:rPr>
      </w:pPr>
      <w:r>
        <w:rPr>
          <w:rFonts w:ascii="Arial" w:cs="Arial" w:eastAsia="Arial" w:hAnsi="Arial"/>
          <w:sz w:val="18"/>
          <w:szCs w:val="18"/>
          <w:color w:val="58595B"/>
        </w:rPr>
        <w:t>Our board of directors has implemented "majority voting" in uncontested director elections. Pursuant to Section 2.7(h) of our bylaws, each director is elected by a majority of the votes cast with respect to the director at any meeting for the election of directors at which a quorum is present. However, if as of 10 days in advance of the date we file our proxy statement with the SEC the number of director nominees exceeds the number of directors to be elected in such election (</w:t>
      </w:r>
      <w:r>
        <w:rPr>
          <w:rFonts w:ascii="Arial" w:cs="Arial" w:eastAsia="Arial" w:hAnsi="Arial"/>
          <w:sz w:val="18"/>
          <w:szCs w:val="18"/>
          <w:i w:val="1"/>
          <w:iCs w:val="1"/>
          <w:color w:val="58595B"/>
        </w:rPr>
        <w:t>a contested election</w:t>
      </w:r>
      <w:r>
        <w:rPr>
          <w:rFonts w:ascii="Arial" w:cs="Arial" w:eastAsia="Arial" w:hAnsi="Arial"/>
          <w:sz w:val="18"/>
          <w:szCs w:val="18"/>
          <w:color w:val="58595B"/>
        </w:rPr>
        <w:t>), the directors are elected by a plurality of the votes cast.</w:t>
      </w:r>
    </w:p>
    <w:p>
      <w:pPr>
        <w:spacing w:after="0" w:line="144" w:lineRule="exact"/>
        <w:rPr>
          <w:sz w:val="20"/>
          <w:szCs w:val="20"/>
          <w:color w:val="auto"/>
        </w:rPr>
      </w:pPr>
    </w:p>
    <w:p>
      <w:pPr>
        <w:ind w:left="1180" w:right="880"/>
        <w:spacing w:after="0" w:line="234" w:lineRule="auto"/>
        <w:rPr>
          <w:sz w:val="20"/>
          <w:szCs w:val="20"/>
          <w:color w:val="auto"/>
        </w:rPr>
      </w:pPr>
      <w:r>
        <w:rPr>
          <w:rFonts w:ascii="Arial" w:cs="Arial" w:eastAsia="Arial" w:hAnsi="Arial"/>
          <w:sz w:val="18"/>
          <w:szCs w:val="18"/>
          <w:color w:val="58595B"/>
        </w:rPr>
        <w:t>In an uncontested election of directors, any incumbent director who does not receive a majority of the votes cast will promptly tender his resignation to the board of directors. The board will decide, after considering the recommendation of the corporate governance and nominating committee, whether to accept or reject the tendered resignation, or whether other action should be taken. The director nominee in question will not participate in the recommendation or decision-making process. We will publicly disclose an explanation by the board of its decision within 90 days after we publish the election results. If the board determines to accept a director's resignation, or if a director nominee who is not an incumbent director is not elected, then the board, in its sole discretion, may fill any resulting vacancy in accordance with our bylaws.</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5779A"/>
        </w:rPr>
        <w:t>DIRECTOR INDEPENDENCE</w:t>
      </w:r>
    </w:p>
    <w:p>
      <w:pPr>
        <w:spacing w:after="0" w:line="193" w:lineRule="exact"/>
        <w:rPr>
          <w:sz w:val="20"/>
          <w:szCs w:val="20"/>
          <w:color w:val="auto"/>
        </w:rPr>
      </w:pPr>
    </w:p>
    <w:p>
      <w:pPr>
        <w:ind w:left="1180" w:right="1040"/>
        <w:spacing w:after="0" w:line="234" w:lineRule="auto"/>
        <w:rPr>
          <w:sz w:val="20"/>
          <w:szCs w:val="20"/>
          <w:color w:val="auto"/>
        </w:rPr>
      </w:pPr>
      <w:r>
        <w:rPr>
          <w:rFonts w:ascii="Arial" w:cs="Arial" w:eastAsia="Arial" w:hAnsi="Arial"/>
          <w:sz w:val="18"/>
          <w:szCs w:val="18"/>
          <w:color w:val="58595B"/>
        </w:rPr>
        <w:t>All of our directors are non-employees other than Mr. Foley, who serves as Executive Chairman of our majority owned subsidiary F&amp;G since November 2022, and Mr. Quirk, who serves as our Executive Vice-Chairman. The board of directors has determined that Douglas K. Ammerman, Halim Dhanidina, Thomas M. Hagerty, Daniel D. Lane, Sandra D. Morgan, Heather H. Miller, John D. Rood, Peter O. Shea, Jr. and Cary H. Thompson are independent under the criteria established by the New York Stock Exchange and our Corporate Governance Guidelines. The board of directors also reviewed the additional New York Stock Exchange (</w:t>
      </w:r>
      <w:r>
        <w:rPr>
          <w:rFonts w:ascii="Arial" w:cs="Arial" w:eastAsia="Arial" w:hAnsi="Arial"/>
          <w:sz w:val="18"/>
          <w:szCs w:val="18"/>
          <w:i w:val="1"/>
          <w:iCs w:val="1"/>
          <w:color w:val="58595B"/>
        </w:rPr>
        <w:t>NYSE</w:t>
      </w:r>
      <w:r>
        <w:rPr>
          <w:rFonts w:ascii="Arial" w:cs="Arial" w:eastAsia="Arial" w:hAnsi="Arial"/>
          <w:sz w:val="18"/>
          <w:szCs w:val="18"/>
          <w:color w:val="58595B"/>
        </w:rPr>
        <w:t>) independence considerations applicable to compensation committee members and determined that Messrs. Hagerty, Lane and Thompson are independent for purposes of service on the compensation committee.</w:t>
      </w:r>
    </w:p>
    <w:p>
      <w:pPr>
        <w:spacing w:after="0" w:line="148" w:lineRule="exact"/>
        <w:rPr>
          <w:sz w:val="20"/>
          <w:szCs w:val="20"/>
          <w:color w:val="auto"/>
        </w:rPr>
      </w:pPr>
    </w:p>
    <w:p>
      <w:pPr>
        <w:ind w:left="1180" w:right="980"/>
        <w:spacing w:after="0" w:line="236" w:lineRule="auto"/>
        <w:rPr>
          <w:sz w:val="20"/>
          <w:szCs w:val="20"/>
          <w:color w:val="auto"/>
        </w:rPr>
      </w:pPr>
      <w:r>
        <w:rPr>
          <w:rFonts w:ascii="Arial" w:cs="Arial" w:eastAsia="Arial" w:hAnsi="Arial"/>
          <w:sz w:val="18"/>
          <w:szCs w:val="18"/>
          <w:color w:val="58595B"/>
        </w:rPr>
        <w:t>In determining independence, the board considered all relationships that might bear on our directors' independence from FNF. The board determined that Mr. Quirk is not independent because he is our Executive Vice-Chairman and an employee of FNF. The board of directors also determined that William P. Foley, II is not independent because he is Executive Chairman of F&amp;G and an employee of FNF and F&amp;G. For additional information concerning these transactions, see the section titled "Certain Relationships and Related Transactions" below.</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In considering the independence of Douglas K. Ammerman, Thomas M. Hagerty, John D. Rood and Cary H.</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Thompson, the board of directors considered the following factors:</w:t>
      </w:r>
    </w:p>
    <w:p>
      <w:pPr>
        <w:spacing w:after="0" w:line="157" w:lineRule="exact"/>
        <w:rPr>
          <w:sz w:val="20"/>
          <w:szCs w:val="20"/>
          <w:color w:val="auto"/>
        </w:rPr>
      </w:pPr>
    </w:p>
    <w:p>
      <w:pPr>
        <w:ind w:left="1640" w:right="920" w:hanging="286"/>
        <w:spacing w:after="0" w:line="238" w:lineRule="auto"/>
        <w:tabs>
          <w:tab w:leader="none" w:pos="1640" w:val="left"/>
        </w:tabs>
        <w:numPr>
          <w:ilvl w:val="0"/>
          <w:numId w:val="25"/>
        </w:numPr>
        <w:rPr>
          <w:rFonts w:ascii="Arial" w:cs="Arial" w:eastAsia="Arial" w:hAnsi="Arial"/>
          <w:sz w:val="18"/>
          <w:szCs w:val="18"/>
          <w:color w:val="58595B"/>
        </w:rPr>
      </w:pPr>
      <w:r>
        <w:rPr>
          <w:rFonts w:ascii="Arial" w:cs="Arial" w:eastAsia="Arial" w:hAnsi="Arial"/>
          <w:sz w:val="18"/>
          <w:szCs w:val="18"/>
          <w:color w:val="58595B"/>
        </w:rPr>
        <w:t>Messrs. Ammerman, Hagerty and Rood each own a small non-voting minority interest in Black Knight Sports and Entertainment LLC (</w:t>
      </w:r>
      <w:r>
        <w:rPr>
          <w:rFonts w:ascii="Arial" w:cs="Arial" w:eastAsia="Arial" w:hAnsi="Arial"/>
          <w:sz w:val="18"/>
          <w:szCs w:val="18"/>
          <w:i w:val="1"/>
          <w:iCs w:val="1"/>
          <w:color w:val="58595B"/>
        </w:rPr>
        <w:t>BKSE</w:t>
      </w:r>
      <w:r>
        <w:rPr>
          <w:rFonts w:ascii="Arial" w:cs="Arial" w:eastAsia="Arial" w:hAnsi="Arial"/>
          <w:sz w:val="18"/>
          <w:szCs w:val="18"/>
          <w:color w:val="58595B"/>
        </w:rPr>
        <w:t>), which owns the Vegas Golden Knights. Mr. Foley is the majority interest holder and is Chairman and Chief Executive Officer of BKSE. Messrs. Ammerman, Hagerty and Rood also own a minority interest in Black Knight Football Club US, LP (</w:t>
      </w:r>
      <w:r>
        <w:rPr>
          <w:rFonts w:ascii="Arial" w:cs="Arial" w:eastAsia="Arial" w:hAnsi="Arial"/>
          <w:sz w:val="18"/>
          <w:szCs w:val="18"/>
          <w:i w:val="1"/>
          <w:iCs w:val="1"/>
          <w:color w:val="58595B"/>
        </w:rPr>
        <w:t>BKFC</w:t>
      </w:r>
      <w:r>
        <w:rPr>
          <w:rFonts w:ascii="Arial" w:cs="Arial" w:eastAsia="Arial" w:hAnsi="Arial"/>
          <w:sz w:val="18"/>
          <w:szCs w:val="18"/>
          <w:color w:val="58595B"/>
        </w:rPr>
        <w:t>), which owns the AFC Bournemouth football club. Mr. Foley is the general partner of BKFC and owns a 24% economic interest in BKFC.</w:t>
      </w:r>
    </w:p>
    <w:p>
      <w:pPr>
        <w:spacing w:after="0" w:line="144" w:lineRule="exact"/>
        <w:rPr>
          <w:rFonts w:ascii="Arial" w:cs="Arial" w:eastAsia="Arial" w:hAnsi="Arial"/>
          <w:sz w:val="18"/>
          <w:szCs w:val="18"/>
          <w:color w:val="58595B"/>
        </w:rPr>
      </w:pPr>
    </w:p>
    <w:p>
      <w:pPr>
        <w:ind w:left="1640" w:hanging="286"/>
        <w:spacing w:after="0"/>
        <w:tabs>
          <w:tab w:leader="none" w:pos="1640" w:val="left"/>
        </w:tabs>
        <w:numPr>
          <w:ilvl w:val="0"/>
          <w:numId w:val="25"/>
        </w:numPr>
        <w:rPr>
          <w:rFonts w:ascii="Arial" w:cs="Arial" w:eastAsia="Arial" w:hAnsi="Arial"/>
          <w:sz w:val="18"/>
          <w:szCs w:val="18"/>
          <w:color w:val="58595B"/>
        </w:rPr>
      </w:pPr>
      <w:r>
        <w:rPr>
          <w:rFonts w:ascii="Arial" w:cs="Arial" w:eastAsia="Arial" w:hAnsi="Arial"/>
          <w:sz w:val="18"/>
          <w:szCs w:val="18"/>
          <w:color w:val="58595B"/>
        </w:rPr>
        <w:t>Mr. Hagerty serves as a director of Dayforce, Inc., which provides certain payroll-related services to FNF.</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14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616"/>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5" w:right="339" w:bottom="1440" w:gutter="0" w:footer="0" w:header="0"/>
        </w:sectPr>
      </w:pPr>
    </w:p>
    <w:bookmarkStart w:id="18" w:name="page19"/>
    <w:bookmarkEnd w:id="18"/>
    <w:p>
      <w:pPr>
        <w:ind w:left="1280" w:right="400" w:hanging="286"/>
        <w:spacing w:after="0" w:line="241" w:lineRule="auto"/>
        <w:tabs>
          <w:tab w:leader="none" w:pos="1280" w:val="left"/>
        </w:tabs>
        <w:numPr>
          <w:ilvl w:val="0"/>
          <w:numId w:val="26"/>
        </w:numPr>
        <w:rPr>
          <w:rFonts w:ascii="Arial" w:cs="Arial" w:eastAsia="Arial" w:hAnsi="Arial"/>
          <w:sz w:val="18"/>
          <w:szCs w:val="18"/>
          <w:color w:val="58595B"/>
        </w:rPr>
      </w:pPr>
      <w:r>
        <w:rPr>
          <w:rFonts w:ascii="Arial" w:cs="Arial" w:eastAsia="Arial" w:hAnsi="Arial"/>
          <w:sz w:val="18"/>
          <w:szCs w:val="18"/>
          <w:color w:val="58595B"/>
        </w:rPr>
        <w:t>Mr. Ammerman is Chairman of the Board of Cannae Holdings, Inc. (Cannae). Mr. Foley serves as Vice Chairman of Cannae, and previously served as Chairman, Chief Executive Officer and Chief Investment Officer of Cannae from February 2024 until May 2025, and as Chairman of Cannae from July 2017 until May 2025. Cannae was split off from FNF in 2017.</w:t>
      </w:r>
    </w:p>
    <w:p>
      <w:pPr>
        <w:spacing w:after="0" w:line="142" w:lineRule="exact"/>
        <w:rPr>
          <w:rFonts w:ascii="Arial" w:cs="Arial" w:eastAsia="Arial" w:hAnsi="Arial"/>
          <w:sz w:val="18"/>
          <w:szCs w:val="18"/>
          <w:color w:val="58595B"/>
        </w:rPr>
      </w:pPr>
    </w:p>
    <w:p>
      <w:pPr>
        <w:ind w:left="1280" w:right="520" w:hanging="286"/>
        <w:spacing w:after="0" w:line="241" w:lineRule="auto"/>
        <w:tabs>
          <w:tab w:leader="none" w:pos="1280" w:val="left"/>
        </w:tabs>
        <w:numPr>
          <w:ilvl w:val="0"/>
          <w:numId w:val="26"/>
        </w:numPr>
        <w:rPr>
          <w:rFonts w:ascii="Arial" w:cs="Arial" w:eastAsia="Arial" w:hAnsi="Arial"/>
          <w:sz w:val="18"/>
          <w:szCs w:val="18"/>
          <w:color w:val="58595B"/>
        </w:rPr>
      </w:pPr>
      <w:r>
        <w:rPr>
          <w:rFonts w:ascii="Arial" w:cs="Arial" w:eastAsia="Arial" w:hAnsi="Arial"/>
          <w:sz w:val="18"/>
          <w:szCs w:val="18"/>
          <w:color w:val="58595B"/>
        </w:rPr>
        <w:t xml:space="preserve">Mr. Ammerman and Mr. Hagerty served on the board of directors of Dun &amp; Bradstreet Holdings, Inc. (DNB) until it was purchased by Clearlake Partners in August 2025 (the </w:t>
      </w:r>
      <w:r>
        <w:rPr>
          <w:rFonts w:ascii="Arial" w:cs="Arial" w:eastAsia="Arial" w:hAnsi="Arial"/>
          <w:sz w:val="18"/>
          <w:szCs w:val="18"/>
          <w:i w:val="1"/>
          <w:iCs w:val="1"/>
          <w:color w:val="58595B"/>
        </w:rPr>
        <w:t>DNB Take-Private</w:t>
      </w:r>
      <w:r>
        <w:rPr>
          <w:rFonts w:ascii="Arial" w:cs="Arial" w:eastAsia="Arial" w:hAnsi="Arial"/>
          <w:sz w:val="18"/>
          <w:szCs w:val="18"/>
          <w:color w:val="58595B"/>
        </w:rPr>
        <w:t>). Mr. Foley served as Executive Chairman of the board of directors of DNB and he and Cannae were significant investors in DNB until the DNB Take-Private.</w:t>
      </w:r>
    </w:p>
    <w:p>
      <w:pPr>
        <w:spacing w:after="0" w:line="142" w:lineRule="exact"/>
        <w:rPr>
          <w:rFonts w:ascii="Arial" w:cs="Arial" w:eastAsia="Arial" w:hAnsi="Arial"/>
          <w:sz w:val="18"/>
          <w:szCs w:val="18"/>
          <w:color w:val="58595B"/>
        </w:rPr>
      </w:pPr>
    </w:p>
    <w:p>
      <w:pPr>
        <w:ind w:left="1280" w:right="500" w:hanging="286"/>
        <w:spacing w:after="0" w:line="266" w:lineRule="auto"/>
        <w:tabs>
          <w:tab w:leader="none" w:pos="1280" w:val="left"/>
        </w:tabs>
        <w:numPr>
          <w:ilvl w:val="0"/>
          <w:numId w:val="26"/>
        </w:numPr>
        <w:rPr>
          <w:rFonts w:ascii="Arial" w:cs="Arial" w:eastAsia="Arial" w:hAnsi="Arial"/>
          <w:sz w:val="18"/>
          <w:szCs w:val="18"/>
          <w:color w:val="58595B"/>
        </w:rPr>
      </w:pPr>
      <w:r>
        <w:rPr>
          <w:rFonts w:ascii="Arial" w:cs="Arial" w:eastAsia="Arial" w:hAnsi="Arial"/>
          <w:sz w:val="18"/>
          <w:szCs w:val="18"/>
          <w:color w:val="58595B"/>
        </w:rPr>
        <w:t>Messrs. Ammerman and Rood serve on the board of directors of majority-owned subsidiary F&amp;G. Mr. Foley is Executive Chairman of the board of F&amp;G.</w:t>
      </w:r>
    </w:p>
    <w:p>
      <w:pPr>
        <w:spacing w:after="0" w:line="120" w:lineRule="exact"/>
        <w:rPr>
          <w:rFonts w:ascii="Arial" w:cs="Arial" w:eastAsia="Arial" w:hAnsi="Arial"/>
          <w:sz w:val="18"/>
          <w:szCs w:val="18"/>
          <w:color w:val="58595B"/>
        </w:rPr>
      </w:pPr>
    </w:p>
    <w:p>
      <w:pPr>
        <w:jc w:val="both"/>
        <w:ind w:left="1280" w:right="420" w:hanging="286"/>
        <w:spacing w:after="0" w:line="235" w:lineRule="auto"/>
        <w:tabs>
          <w:tab w:leader="none" w:pos="1280" w:val="left"/>
        </w:tabs>
        <w:numPr>
          <w:ilvl w:val="0"/>
          <w:numId w:val="26"/>
        </w:numPr>
        <w:rPr>
          <w:rFonts w:ascii="Arial" w:cs="Arial" w:eastAsia="Arial" w:hAnsi="Arial"/>
          <w:sz w:val="18"/>
          <w:szCs w:val="18"/>
          <w:color w:val="58595B"/>
        </w:rPr>
      </w:pPr>
      <w:r>
        <w:rPr>
          <w:rFonts w:ascii="Arial" w:cs="Arial" w:eastAsia="Arial" w:hAnsi="Arial"/>
          <w:sz w:val="18"/>
          <w:szCs w:val="18"/>
          <w:color w:val="58595B"/>
        </w:rPr>
        <w:t>Mr. Thompson is Executive Vice Chairman of Investment at BofA Securities, and affiliate of Bank of America Merrill Lynch, and FNF and F&amp;G made payments to and received payments from entities affiliated with Bank of America Merrill Lynch in 2025. The board of directors determined that these payments do not impair Mr.</w:t>
      </w:r>
    </w:p>
    <w:p>
      <w:pPr>
        <w:spacing w:after="0" w:line="1" w:lineRule="exact"/>
        <w:rPr>
          <w:rFonts w:ascii="Arial" w:cs="Arial" w:eastAsia="Arial" w:hAnsi="Arial"/>
          <w:sz w:val="18"/>
          <w:szCs w:val="18"/>
          <w:color w:val="58595B"/>
        </w:rPr>
      </w:pPr>
    </w:p>
    <w:p>
      <w:pPr>
        <w:ind w:left="1280" w:right="460"/>
        <w:spacing w:after="0" w:line="235" w:lineRule="auto"/>
        <w:rPr>
          <w:rFonts w:ascii="Arial" w:cs="Arial" w:eastAsia="Arial" w:hAnsi="Arial"/>
          <w:sz w:val="18"/>
          <w:szCs w:val="18"/>
          <w:color w:val="58595B"/>
        </w:rPr>
      </w:pPr>
      <w:r>
        <w:rPr>
          <w:rFonts w:ascii="Arial" w:cs="Arial" w:eastAsia="Arial" w:hAnsi="Arial"/>
          <w:sz w:val="18"/>
          <w:szCs w:val="18"/>
          <w:color w:val="58595B"/>
        </w:rPr>
        <w:t>Thompson's independence because his compensation from Bank of America Merrill Lynch is not dependent on the amount of business Bank of America Merrill Lynch or its affiliates does with FNF or its subsidiaries. The board also considered that BofA Securities provided services to DNB in connection with the DNB Take-Private.</w:t>
      </w:r>
    </w:p>
    <w:p>
      <w:pPr>
        <w:spacing w:after="0" w:line="145" w:lineRule="exact"/>
        <w:rPr>
          <w:sz w:val="20"/>
          <w:szCs w:val="20"/>
          <w:color w:val="auto"/>
        </w:rPr>
      </w:pPr>
    </w:p>
    <w:p>
      <w:pPr>
        <w:ind w:left="820" w:right="540"/>
        <w:spacing w:after="0" w:line="266" w:lineRule="auto"/>
        <w:rPr>
          <w:sz w:val="20"/>
          <w:szCs w:val="20"/>
          <w:color w:val="auto"/>
        </w:rPr>
      </w:pPr>
      <w:r>
        <w:rPr>
          <w:rFonts w:ascii="Arial" w:cs="Arial" w:eastAsia="Arial" w:hAnsi="Arial"/>
          <w:sz w:val="18"/>
          <w:szCs w:val="18"/>
          <w:color w:val="58595B"/>
        </w:rPr>
        <w:t>The board of directors determined that these relationships were not of a nature that would impair these directors' independence.</w:t>
      </w:r>
    </w:p>
    <w:p>
      <w:pPr>
        <w:spacing w:after="0" w:line="30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5779A"/>
        </w:rPr>
        <w:t>COMMITTEES OF THE BOARD</w:t>
      </w:r>
    </w:p>
    <w:p>
      <w:pPr>
        <w:spacing w:after="0" w:line="193" w:lineRule="exact"/>
        <w:rPr>
          <w:sz w:val="20"/>
          <w:szCs w:val="20"/>
          <w:color w:val="auto"/>
        </w:rPr>
      </w:pPr>
    </w:p>
    <w:p>
      <w:pPr>
        <w:jc w:val="both"/>
        <w:ind w:left="820" w:right="400"/>
        <w:spacing w:after="0" w:line="235" w:lineRule="auto"/>
        <w:rPr>
          <w:sz w:val="20"/>
          <w:szCs w:val="20"/>
          <w:color w:val="auto"/>
        </w:rPr>
      </w:pPr>
      <w:r>
        <w:rPr>
          <w:rFonts w:ascii="Arial" w:cs="Arial" w:eastAsia="Arial" w:hAnsi="Arial"/>
          <w:sz w:val="18"/>
          <w:szCs w:val="18"/>
          <w:color w:val="58595B"/>
        </w:rPr>
        <w:t xml:space="preserve">The board has four standing committees: an audit committee, a compensation committee, a corporate governance and nominating committee and a related person transaction committee. The charter of each standing committee is available on the Investor Info page of our website at </w:t>
      </w:r>
      <w:r>
        <w:rPr>
          <w:rFonts w:ascii="Arial" w:cs="Arial" w:eastAsia="Arial" w:hAnsi="Arial"/>
          <w:sz w:val="18"/>
          <w:szCs w:val="18"/>
          <w:b w:val="1"/>
          <w:bCs w:val="1"/>
          <w:color w:val="1E5E9E"/>
        </w:rPr>
        <w:t>www.fnf.com</w:t>
      </w:r>
      <w:r>
        <w:rPr>
          <w:rFonts w:ascii="Arial" w:cs="Arial" w:eastAsia="Arial" w:hAnsi="Arial"/>
          <w:sz w:val="18"/>
          <w:szCs w:val="18"/>
          <w:color w:val="333333"/>
        </w:rPr>
        <w:t>.</w:t>
      </w:r>
      <w:r>
        <w:rPr>
          <w:rFonts w:ascii="Arial" w:cs="Arial" w:eastAsia="Arial" w:hAnsi="Arial"/>
          <w:sz w:val="18"/>
          <w:szCs w:val="18"/>
          <w:color w:val="58595B"/>
        </w:rPr>
        <w:t xml:space="preserve"> Each committee reviews its charter annually.</w:t>
      </w:r>
    </w:p>
    <w:p>
      <w:pPr>
        <w:spacing w:after="0" w:line="1" w:lineRule="exact"/>
        <w:rPr>
          <w:sz w:val="20"/>
          <w:szCs w:val="20"/>
          <w:color w:val="auto"/>
        </w:rPr>
      </w:pPr>
    </w:p>
    <w:p>
      <w:pPr>
        <w:ind w:left="820" w:right="420"/>
        <w:spacing w:after="0" w:line="245" w:lineRule="auto"/>
        <w:rPr>
          <w:sz w:val="20"/>
          <w:szCs w:val="20"/>
          <w:color w:val="auto"/>
        </w:rPr>
      </w:pPr>
      <w:r>
        <w:rPr>
          <w:rFonts w:ascii="Arial" w:cs="Arial" w:eastAsia="Arial" w:hAnsi="Arial"/>
          <w:sz w:val="18"/>
          <w:szCs w:val="18"/>
          <w:color w:val="58595B"/>
        </w:rPr>
        <w:t>Shareholders also may obtain a copy of any of these charters by writing to the Corporate Secretary at the address set forth under "Available Information" below.</w:t>
      </w:r>
    </w:p>
    <w:p>
      <w:pPr>
        <w:spacing w:after="0" w:line="13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5779A"/>
        </w:rPr>
        <w:t>CORPORATE GOVERNANCE AND NOMINATING COMMITTEE</w:t>
      </w:r>
    </w:p>
    <w:p>
      <w:pPr>
        <w:spacing w:after="0" w:line="193" w:lineRule="exact"/>
        <w:rPr>
          <w:sz w:val="20"/>
          <w:szCs w:val="20"/>
          <w:color w:val="auto"/>
        </w:rPr>
      </w:pPr>
    </w:p>
    <w:p>
      <w:pPr>
        <w:jc w:val="both"/>
        <w:ind w:left="820" w:right="540"/>
        <w:spacing w:after="0" w:line="241" w:lineRule="auto"/>
        <w:rPr>
          <w:sz w:val="20"/>
          <w:szCs w:val="20"/>
          <w:color w:val="auto"/>
        </w:rPr>
      </w:pPr>
      <w:r>
        <w:rPr>
          <w:rFonts w:ascii="Arial" w:cs="Arial" w:eastAsia="Arial" w:hAnsi="Arial"/>
          <w:sz w:val="18"/>
          <w:szCs w:val="18"/>
          <w:color w:val="58595B"/>
        </w:rPr>
        <w:t>The members of the corporate governance and nominating committee are Peter O. Shea, Jr. (Chair), Sandra D. Morgan and John D. Rood. Each of Messrs. Shea, Rood and Ms. Morgan was deemed to be independent by the board, as required by the New York Stock Exchange. The corporate governance and nominating committee met one time in 2025.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8595B"/>
        </w:rPr>
        <w:t>The primary functions of the corporate governance and nominating committee, as identified in its charter, are:</w:t>
      </w:r>
    </w:p>
    <w:p>
      <w:pPr>
        <w:sectPr>
          <w:pgSz w:w="11900" w:h="16838" w:orient="portrait"/>
          <w:cols w:equalWidth="0" w:num="1">
            <w:col w:w="10340"/>
          </w:cols>
          <w:pgMar w:left="680" w:top="796" w:right="879" w:bottom="1440" w:gutter="0" w:footer="0" w:header="0"/>
        </w:sectPr>
      </w:pPr>
    </w:p>
    <w:p>
      <w:pPr>
        <w:spacing w:after="0" w:line="175" w:lineRule="exact"/>
        <w:rPr>
          <w:sz w:val="20"/>
          <w:szCs w:val="20"/>
          <w:color w:val="auto"/>
        </w:rPr>
      </w:pPr>
    </w:p>
    <w:p>
      <w:pPr>
        <w:ind w:left="1280" w:right="741" w:hanging="286"/>
        <w:spacing w:after="0" w:line="241" w:lineRule="auto"/>
        <w:tabs>
          <w:tab w:leader="none" w:pos="1280" w:val="left"/>
        </w:tabs>
        <w:numPr>
          <w:ilvl w:val="0"/>
          <w:numId w:val="27"/>
        </w:numPr>
        <w:rPr>
          <w:rFonts w:ascii="Arial" w:cs="Arial" w:eastAsia="Arial" w:hAnsi="Arial"/>
          <w:sz w:val="18"/>
          <w:szCs w:val="18"/>
          <w:color w:val="58595B"/>
        </w:rPr>
      </w:pPr>
      <w:r>
        <w:rPr>
          <w:rFonts w:ascii="Arial" w:cs="Arial" w:eastAsia="Arial" w:hAnsi="Arial"/>
          <w:sz w:val="18"/>
          <w:szCs w:val="18"/>
          <w:color w:val="58595B"/>
        </w:rPr>
        <w:t>Identifying individuals qualified to become members of the board and making recommendations to the board regarding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291465</wp:posOffset>
            </wp:positionV>
            <wp:extent cx="7144385" cy="297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99" w:right="340" w:hanging="299"/>
        <w:spacing w:after="0" w:line="241" w:lineRule="auto"/>
        <w:tabs>
          <w:tab w:leader="none" w:pos="299" w:val="left"/>
        </w:tabs>
        <w:numPr>
          <w:ilvl w:val="0"/>
          <w:numId w:val="28"/>
        </w:numPr>
        <w:rPr>
          <w:rFonts w:ascii="Arial" w:cs="Arial" w:eastAsia="Arial" w:hAnsi="Arial"/>
          <w:sz w:val="18"/>
          <w:szCs w:val="18"/>
          <w:color w:val="58595B"/>
        </w:rPr>
      </w:pPr>
      <w:r>
        <w:rPr>
          <w:rFonts w:ascii="Arial" w:cs="Arial" w:eastAsia="Arial" w:hAnsi="Arial"/>
          <w:sz w:val="18"/>
          <w:szCs w:val="18"/>
          <w:color w:val="58595B"/>
        </w:rPr>
        <w:t>Reviewing the independence of each director and making a recommendation to the board with respect to each director’s independence;</w:t>
      </w:r>
    </w:p>
    <w:p>
      <w:pPr>
        <w:spacing w:after="0" w:line="370" w:lineRule="exact"/>
        <w:rPr>
          <w:sz w:val="20"/>
          <w:szCs w:val="20"/>
          <w:color w:val="auto"/>
        </w:rPr>
      </w:pPr>
    </w:p>
    <w:p>
      <w:pPr>
        <w:sectPr>
          <w:pgSz w:w="11900" w:h="16838" w:orient="portrait"/>
          <w:cols w:equalWidth="0" w:num="2">
            <w:col w:w="5361" w:space="720"/>
            <w:col w:w="4259"/>
          </w:cols>
          <w:pgMar w:left="680" w:top="796" w:right="879" w:bottom="1440" w:gutter="0" w:footer="0" w:header="0"/>
          <w:type w:val="continuous"/>
        </w:sectPr>
      </w:pPr>
    </w:p>
    <w:p>
      <w:pPr>
        <w:spacing w:after="0" w:line="34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15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695960</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type w:val="continuous"/>
        </w:sectPr>
      </w:pPr>
    </w:p>
    <w:bookmarkStart w:id="19" w:name="page20"/>
    <w:bookmarkEnd w:id="19"/>
    <w:p>
      <w:pPr>
        <w:spacing w:after="0" w:line="25" w:lineRule="exact"/>
        <w:rPr>
          <w:sz w:val="20"/>
          <w:szCs w:val="20"/>
          <w:color w:val="auto"/>
        </w:rPr>
      </w:pPr>
    </w:p>
    <w:p>
      <w:pPr>
        <w:ind w:left="1640" w:right="361" w:hanging="286"/>
        <w:spacing w:after="0" w:line="238" w:lineRule="auto"/>
        <w:tabs>
          <w:tab w:leader="none" w:pos="1640" w:val="left"/>
        </w:tabs>
        <w:numPr>
          <w:ilvl w:val="0"/>
          <w:numId w:val="29"/>
        </w:numPr>
        <w:rPr>
          <w:rFonts w:ascii="Arial" w:cs="Arial" w:eastAsia="Arial" w:hAnsi="Arial"/>
          <w:sz w:val="18"/>
          <w:szCs w:val="18"/>
          <w:color w:val="58595B"/>
        </w:rPr>
      </w:pPr>
      <w:r>
        <w:rPr>
          <w:rFonts w:ascii="Arial" w:cs="Arial" w:eastAsia="Arial" w:hAnsi="Arial"/>
          <w:sz w:val="18"/>
          <w:szCs w:val="18"/>
          <w:color w:val="58595B"/>
        </w:rPr>
        <w:t>Overseeing the evaluation of the performance of the board and its committees on a continuing basis, including an annual self-evaluation of the performance of the corporate governance and nominating committee;</w:t>
      </w:r>
    </w:p>
    <w:p>
      <w:pPr>
        <w:spacing w:after="0" w:line="144" w:lineRule="exact"/>
        <w:rPr>
          <w:rFonts w:ascii="Arial" w:cs="Arial" w:eastAsia="Arial" w:hAnsi="Arial"/>
          <w:sz w:val="18"/>
          <w:szCs w:val="18"/>
          <w:color w:val="58595B"/>
        </w:rPr>
      </w:pPr>
    </w:p>
    <w:p>
      <w:pPr>
        <w:ind w:left="1640" w:right="341" w:hanging="286"/>
        <w:spacing w:after="0" w:line="241" w:lineRule="auto"/>
        <w:tabs>
          <w:tab w:leader="none" w:pos="1640" w:val="left"/>
        </w:tabs>
        <w:numPr>
          <w:ilvl w:val="0"/>
          <w:numId w:val="29"/>
        </w:numPr>
        <w:rPr>
          <w:rFonts w:ascii="Arial" w:cs="Arial" w:eastAsia="Arial" w:hAnsi="Arial"/>
          <w:sz w:val="18"/>
          <w:szCs w:val="18"/>
          <w:color w:val="58595B"/>
        </w:rPr>
      </w:pPr>
      <w:r>
        <w:rPr>
          <w:rFonts w:ascii="Arial" w:cs="Arial" w:eastAsia="Arial" w:hAnsi="Arial"/>
          <w:sz w:val="18"/>
          <w:szCs w:val="18"/>
          <w:color w:val="58595B"/>
        </w:rPr>
        <w:t>Developing and recommending to the board the corporate governance principles applicable to us and reviewing our corporate governance guidelines at least annually;</w:t>
      </w:r>
    </w:p>
    <w:p>
      <w:pPr>
        <w:spacing w:after="0" w:line="20" w:lineRule="exact"/>
        <w:rPr>
          <w:sz w:val="20"/>
          <w:szCs w:val="20"/>
          <w:color w:val="auto"/>
        </w:rPr>
      </w:pPr>
      <w:r>
        <w:rPr>
          <w:sz w:val="20"/>
          <w:szCs w:val="20"/>
          <w:color w:val="auto"/>
        </w:rPr>
        <w:br w:type="column"/>
      </w:r>
    </w:p>
    <w:p>
      <w:pPr>
        <w:ind w:left="299" w:right="1060" w:hanging="299"/>
        <w:spacing w:after="0" w:line="238" w:lineRule="auto"/>
        <w:tabs>
          <w:tab w:leader="none" w:pos="299" w:val="left"/>
        </w:tabs>
        <w:numPr>
          <w:ilvl w:val="0"/>
          <w:numId w:val="30"/>
        </w:numPr>
        <w:rPr>
          <w:rFonts w:ascii="Arial" w:cs="Arial" w:eastAsia="Arial" w:hAnsi="Arial"/>
          <w:sz w:val="18"/>
          <w:szCs w:val="18"/>
          <w:color w:val="58595B"/>
        </w:rPr>
      </w:pPr>
      <w:r>
        <w:rPr>
          <w:rFonts w:ascii="Arial" w:cs="Arial" w:eastAsia="Arial" w:hAnsi="Arial"/>
          <w:sz w:val="18"/>
          <w:szCs w:val="18"/>
          <w:color w:val="58595B"/>
        </w:rPr>
        <w:t>Making recommendations to the board with respect to the membership of the audit, compensation, corporate governance and nominating, and related person transaction committees;</w:t>
      </w:r>
    </w:p>
    <w:p>
      <w:pPr>
        <w:spacing w:after="0" w:line="156" w:lineRule="exact"/>
        <w:rPr>
          <w:rFonts w:ascii="Arial" w:cs="Arial" w:eastAsia="Arial" w:hAnsi="Arial"/>
          <w:sz w:val="18"/>
          <w:szCs w:val="18"/>
          <w:color w:val="58595B"/>
        </w:rPr>
      </w:pPr>
    </w:p>
    <w:p>
      <w:pPr>
        <w:ind w:left="299" w:right="1620" w:hanging="299"/>
        <w:spacing w:after="0" w:line="296" w:lineRule="auto"/>
        <w:tabs>
          <w:tab w:leader="none" w:pos="299" w:val="left"/>
        </w:tabs>
        <w:numPr>
          <w:ilvl w:val="0"/>
          <w:numId w:val="30"/>
        </w:numPr>
        <w:rPr>
          <w:rFonts w:ascii="Arial" w:cs="Arial" w:eastAsia="Arial" w:hAnsi="Arial"/>
          <w:sz w:val="17"/>
          <w:szCs w:val="17"/>
          <w:color w:val="58595B"/>
        </w:rPr>
      </w:pPr>
      <w:r>
        <w:rPr>
          <w:rFonts w:ascii="Arial" w:cs="Arial" w:eastAsia="Arial" w:hAnsi="Arial"/>
          <w:sz w:val="17"/>
          <w:szCs w:val="17"/>
          <w:color w:val="58595B"/>
        </w:rPr>
        <w:t>Considering director nominees recommended by shareholders; and</w:t>
      </w:r>
    </w:p>
    <w:p>
      <w:pPr>
        <w:spacing w:after="0" w:line="109" w:lineRule="exact"/>
        <w:rPr>
          <w:rFonts w:ascii="Arial" w:cs="Arial" w:eastAsia="Arial" w:hAnsi="Arial"/>
          <w:sz w:val="17"/>
          <w:szCs w:val="17"/>
          <w:color w:val="58595B"/>
        </w:rPr>
      </w:pPr>
    </w:p>
    <w:p>
      <w:pPr>
        <w:jc w:val="both"/>
        <w:ind w:left="299" w:right="920" w:hanging="299"/>
        <w:spacing w:after="0" w:line="247" w:lineRule="auto"/>
        <w:tabs>
          <w:tab w:leader="none" w:pos="299" w:val="left"/>
        </w:tabs>
        <w:numPr>
          <w:ilvl w:val="0"/>
          <w:numId w:val="30"/>
        </w:numPr>
        <w:rPr>
          <w:rFonts w:ascii="Arial" w:cs="Arial" w:eastAsia="Arial" w:hAnsi="Arial"/>
          <w:sz w:val="18"/>
          <w:szCs w:val="18"/>
          <w:color w:val="58595B"/>
        </w:rPr>
      </w:pPr>
      <w:r>
        <w:rPr>
          <w:rFonts w:ascii="Arial" w:cs="Arial" w:eastAsia="Arial" w:hAnsi="Arial"/>
          <w:sz w:val="18"/>
          <w:szCs w:val="18"/>
          <w:color w:val="58595B"/>
        </w:rPr>
        <w:t>Reviewing our overall corporate governance and reporting to the board on its findings and any recommendations.</w:t>
      </w:r>
    </w:p>
    <w:p>
      <w:pPr>
        <w:spacing w:after="0" w:line="148" w:lineRule="exact"/>
        <w:rPr>
          <w:sz w:val="20"/>
          <w:szCs w:val="20"/>
          <w:color w:val="auto"/>
        </w:rPr>
      </w:pPr>
    </w:p>
    <w:p>
      <w:pPr>
        <w:sectPr>
          <w:pgSz w:w="11900" w:h="16838" w:orient="portrait"/>
          <w:cols w:equalWidth="0" w:num="2">
            <w:col w:w="5721" w:space="720"/>
            <w:col w:w="4799"/>
          </w:cols>
          <w:pgMar w:left="320" w:top="993" w:right="339" w:bottom="1440" w:gutter="0" w:footer="0" w:header="0"/>
        </w:sectPr>
      </w:pPr>
    </w:p>
    <w:p>
      <w:pPr>
        <w:ind w:left="1180"/>
        <w:spacing w:after="0"/>
        <w:rPr>
          <w:sz w:val="20"/>
          <w:szCs w:val="20"/>
          <w:color w:val="auto"/>
        </w:rPr>
      </w:pPr>
      <w:r>
        <w:rPr>
          <w:rFonts w:ascii="Arial" w:cs="Arial" w:eastAsia="Arial" w:hAnsi="Arial"/>
          <w:sz w:val="23"/>
          <w:szCs w:val="23"/>
          <w:b w:val="1"/>
          <w:bCs w:val="1"/>
          <w:color w:val="55779A"/>
        </w:rPr>
        <w:t>AUDIT COMMITTEE</w:t>
      </w:r>
    </w:p>
    <w:p>
      <w:pPr>
        <w:spacing w:after="0" w:line="193" w:lineRule="exact"/>
        <w:rPr>
          <w:sz w:val="20"/>
          <w:szCs w:val="20"/>
          <w:color w:val="auto"/>
        </w:rPr>
      </w:pPr>
    </w:p>
    <w:p>
      <w:pPr>
        <w:ind w:left="1180" w:right="880"/>
        <w:spacing w:after="0" w:line="238" w:lineRule="auto"/>
        <w:rPr>
          <w:sz w:val="20"/>
          <w:szCs w:val="20"/>
          <w:color w:val="auto"/>
        </w:rPr>
      </w:pPr>
      <w:r>
        <w:rPr>
          <w:rFonts w:ascii="Arial" w:cs="Arial" w:eastAsia="Arial" w:hAnsi="Arial"/>
          <w:sz w:val="18"/>
          <w:szCs w:val="18"/>
          <w:color w:val="58595B"/>
        </w:rPr>
        <w:t>The members of the audit committee are Douglas K. Ammerman (Chair), John D. Rood and Peter O. Shea, Jr. The board has determined that each of the audit committee members is financially literate and independent as required by the rules of the Securities and Exchange Commission and the New York Stock Exchange, and that each of Messrs. Ammerman, Rood and Shea is an audit committee financial expert, as defined by the rules of the Securities and Exchange Commission. The audit committee met five times in 2025.</w:t>
      </w:r>
    </w:p>
    <w:p>
      <w:pPr>
        <w:sectPr>
          <w:pgSz w:w="11900" w:h="16838" w:orient="portrait"/>
          <w:cols w:equalWidth="0" w:num="1">
            <w:col w:w="11240"/>
          </w:cols>
          <w:pgMar w:left="320" w:top="993" w:right="339" w:bottom="1440" w:gutter="0" w:footer="0" w:header="0"/>
          <w:type w:val="continuous"/>
        </w:sectPr>
      </w:pP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The primary functions of the audit committee include:</w:t>
      </w:r>
    </w:p>
    <w:p>
      <w:pPr>
        <w:spacing w:after="0" w:line="175" w:lineRule="exact"/>
        <w:rPr>
          <w:sz w:val="20"/>
          <w:szCs w:val="20"/>
          <w:color w:val="auto"/>
        </w:rPr>
      </w:pPr>
    </w:p>
    <w:p>
      <w:pPr>
        <w:ind w:left="1640" w:right="701" w:hanging="286"/>
        <w:spacing w:after="0" w:line="247"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Appointing, compensating and overseeing our independent registered public accounting firm;</w:t>
      </w:r>
    </w:p>
    <w:p>
      <w:pPr>
        <w:spacing w:after="0" w:line="137" w:lineRule="exact"/>
        <w:rPr>
          <w:rFonts w:ascii="Arial" w:cs="Arial" w:eastAsia="Arial" w:hAnsi="Arial"/>
          <w:sz w:val="18"/>
          <w:szCs w:val="18"/>
          <w:color w:val="58595B"/>
        </w:rPr>
      </w:pPr>
    </w:p>
    <w:p>
      <w:pPr>
        <w:ind w:left="1640" w:right="761" w:hanging="286"/>
        <w:spacing w:after="0" w:line="247"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Overseeing the integrity of our financial statements and our compliance with legal and regulatory requirements;</w:t>
      </w:r>
    </w:p>
    <w:p>
      <w:pPr>
        <w:spacing w:after="0" w:line="137" w:lineRule="exact"/>
        <w:rPr>
          <w:rFonts w:ascii="Arial" w:cs="Arial" w:eastAsia="Arial" w:hAnsi="Arial"/>
          <w:sz w:val="18"/>
          <w:szCs w:val="18"/>
          <w:color w:val="58595B"/>
        </w:rPr>
      </w:pPr>
    </w:p>
    <w:p>
      <w:pPr>
        <w:ind w:left="1640" w:right="521" w:hanging="286"/>
        <w:spacing w:after="0" w:line="238"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Discussing the annual audited financial statements and unaudited quarterly financial statements with management and the independent registered public accounting firm;</w:t>
      </w:r>
    </w:p>
    <w:p>
      <w:pPr>
        <w:spacing w:after="0" w:line="144" w:lineRule="exact"/>
        <w:rPr>
          <w:rFonts w:ascii="Arial" w:cs="Arial" w:eastAsia="Arial" w:hAnsi="Arial"/>
          <w:sz w:val="18"/>
          <w:szCs w:val="18"/>
          <w:color w:val="58595B"/>
        </w:rPr>
      </w:pPr>
    </w:p>
    <w:p>
      <w:pPr>
        <w:ind w:left="1640" w:right="421" w:hanging="286"/>
        <w:spacing w:after="0" w:line="236"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Establishing procedures for the receipt, retention and treatment of complaints (including anonymous complaints) we receive concerning accounting, internal accounting controls, auditing matters or potential violations of law;</w:t>
      </w:r>
    </w:p>
    <w:p>
      <w:pPr>
        <w:spacing w:after="0" w:line="146" w:lineRule="exact"/>
        <w:rPr>
          <w:rFonts w:ascii="Arial" w:cs="Arial" w:eastAsia="Arial" w:hAnsi="Arial"/>
          <w:sz w:val="18"/>
          <w:szCs w:val="18"/>
          <w:color w:val="58595B"/>
        </w:rPr>
      </w:pPr>
    </w:p>
    <w:p>
      <w:pPr>
        <w:jc w:val="both"/>
        <w:ind w:left="1640" w:right="921" w:hanging="286"/>
        <w:spacing w:after="0" w:line="247"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Approving audit and non-audit services provided by our independent registered public accounting firm;</w:t>
      </w:r>
    </w:p>
    <w:p>
      <w:pPr>
        <w:spacing w:after="0" w:line="137" w:lineRule="exact"/>
        <w:rPr>
          <w:rFonts w:ascii="Arial" w:cs="Arial" w:eastAsia="Arial" w:hAnsi="Arial"/>
          <w:sz w:val="18"/>
          <w:szCs w:val="18"/>
          <w:color w:val="58595B"/>
        </w:rPr>
      </w:pPr>
    </w:p>
    <w:p>
      <w:pPr>
        <w:ind w:left="1640" w:right="461" w:hanging="286"/>
        <w:spacing w:after="0" w:line="247" w:lineRule="auto"/>
        <w:tabs>
          <w:tab w:leader="none" w:pos="1640" w:val="left"/>
        </w:tabs>
        <w:numPr>
          <w:ilvl w:val="0"/>
          <w:numId w:val="31"/>
        </w:numPr>
        <w:rPr>
          <w:rFonts w:ascii="Arial" w:cs="Arial" w:eastAsia="Arial" w:hAnsi="Arial"/>
          <w:sz w:val="18"/>
          <w:szCs w:val="18"/>
          <w:color w:val="58595B"/>
        </w:rPr>
      </w:pPr>
      <w:r>
        <w:rPr>
          <w:rFonts w:ascii="Arial" w:cs="Arial" w:eastAsia="Arial" w:hAnsi="Arial"/>
          <w:sz w:val="18"/>
          <w:szCs w:val="18"/>
          <w:color w:val="58595B"/>
        </w:rPr>
        <w:t>Discussing earnings press releases and financial information provided to analysts and rating agencies;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299" w:right="940" w:hanging="299"/>
        <w:spacing w:after="0" w:line="235" w:lineRule="auto"/>
        <w:tabs>
          <w:tab w:leader="none" w:pos="299" w:val="left"/>
        </w:tabs>
        <w:numPr>
          <w:ilvl w:val="0"/>
          <w:numId w:val="32"/>
        </w:numPr>
        <w:rPr>
          <w:rFonts w:ascii="Arial" w:cs="Arial" w:eastAsia="Arial" w:hAnsi="Arial"/>
          <w:sz w:val="18"/>
          <w:szCs w:val="18"/>
          <w:color w:val="58595B"/>
        </w:rPr>
      </w:pPr>
      <w:r>
        <w:rPr>
          <w:rFonts w:ascii="Arial" w:cs="Arial" w:eastAsia="Arial" w:hAnsi="Arial"/>
          <w:sz w:val="18"/>
          <w:szCs w:val="18"/>
          <w:color w:val="58595B"/>
        </w:rPr>
        <w:t>Discussing with management our policies and practices with respect to risk assessment and risk management, including those relating to information technology and cybersecurity risk and ESG risk, including human capital management and health and safety risk;</w:t>
      </w:r>
    </w:p>
    <w:p>
      <w:pPr>
        <w:spacing w:after="0" w:line="146" w:lineRule="exact"/>
        <w:rPr>
          <w:rFonts w:ascii="Arial" w:cs="Arial" w:eastAsia="Arial" w:hAnsi="Arial"/>
          <w:sz w:val="18"/>
          <w:szCs w:val="18"/>
          <w:color w:val="58595B"/>
        </w:rPr>
      </w:pPr>
    </w:p>
    <w:p>
      <w:pPr>
        <w:ind w:left="299" w:right="960" w:hanging="299"/>
        <w:spacing w:after="0" w:line="233" w:lineRule="auto"/>
        <w:tabs>
          <w:tab w:leader="none" w:pos="299" w:val="left"/>
        </w:tabs>
        <w:numPr>
          <w:ilvl w:val="0"/>
          <w:numId w:val="32"/>
        </w:numPr>
        <w:rPr>
          <w:rFonts w:ascii="Arial" w:cs="Arial" w:eastAsia="Arial" w:hAnsi="Arial"/>
          <w:sz w:val="18"/>
          <w:szCs w:val="18"/>
          <w:color w:val="58595B"/>
        </w:rPr>
      </w:pPr>
      <w:r>
        <w:rPr>
          <w:rFonts w:ascii="Arial" w:cs="Arial" w:eastAsia="Arial" w:hAnsi="Arial"/>
          <w:sz w:val="18"/>
          <w:szCs w:val="18"/>
          <w:color w:val="58595B"/>
        </w:rPr>
        <w:t>Except to the extent authority has been delegated to the related person transaction committee, reviewing any material transaction between our Chief Financial Officer or Chief Accounting Officer that has been approved in accordance with our Code of Ethics for Senior Financial Officers, and providing prior written approval of any material transaction between us and our Chief Executive Officer; and</w:t>
      </w:r>
    </w:p>
    <w:p>
      <w:pPr>
        <w:spacing w:after="0" w:line="147" w:lineRule="exact"/>
        <w:rPr>
          <w:rFonts w:ascii="Arial" w:cs="Arial" w:eastAsia="Arial" w:hAnsi="Arial"/>
          <w:sz w:val="18"/>
          <w:szCs w:val="18"/>
          <w:color w:val="58595B"/>
        </w:rPr>
      </w:pPr>
    </w:p>
    <w:p>
      <w:pPr>
        <w:ind w:left="299" w:right="1120" w:hanging="299"/>
        <w:spacing w:after="0" w:line="247" w:lineRule="auto"/>
        <w:tabs>
          <w:tab w:leader="none" w:pos="299" w:val="left"/>
        </w:tabs>
        <w:numPr>
          <w:ilvl w:val="0"/>
          <w:numId w:val="32"/>
        </w:numPr>
        <w:rPr>
          <w:rFonts w:ascii="Arial" w:cs="Arial" w:eastAsia="Arial" w:hAnsi="Arial"/>
          <w:sz w:val="18"/>
          <w:szCs w:val="18"/>
          <w:color w:val="58595B"/>
        </w:rPr>
      </w:pPr>
      <w:r>
        <w:rPr>
          <w:rFonts w:ascii="Arial" w:cs="Arial" w:eastAsia="Arial" w:hAnsi="Arial"/>
          <w:sz w:val="18"/>
          <w:szCs w:val="18"/>
          <w:color w:val="58595B"/>
        </w:rPr>
        <w:t>Producing an annual report for inclusion in our proxy statement, in accordance with applicable rules and regulations.</w:t>
      </w:r>
    </w:p>
    <w:p>
      <w:pPr>
        <w:spacing w:after="0" w:line="1268" w:lineRule="exact"/>
        <w:rPr>
          <w:sz w:val="20"/>
          <w:szCs w:val="20"/>
          <w:color w:val="auto"/>
        </w:rPr>
      </w:pPr>
    </w:p>
    <w:p>
      <w:pPr>
        <w:sectPr>
          <w:pgSz w:w="11900" w:h="16838" w:orient="portrait"/>
          <w:cols w:equalWidth="0" w:num="2">
            <w:col w:w="5721" w:space="720"/>
            <w:col w:w="4799"/>
          </w:cols>
          <w:pgMar w:left="320" w:top="993" w:right="339" w:bottom="1440" w:gutter="0" w:footer="0" w:header="0"/>
          <w:type w:val="continuous"/>
        </w:sect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16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616"/>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93" w:right="339" w:bottom="1440" w:gutter="0" w:footer="0" w:header="0"/>
          <w:type w:val="continuous"/>
        </w:sectPr>
      </w:pPr>
    </w:p>
    <w:bookmarkStart w:id="20" w:name="page21"/>
    <w:bookmarkEnd w:id="20"/>
    <w:p>
      <w:pPr>
        <w:ind w:left="820"/>
        <w:spacing w:after="0"/>
        <w:rPr>
          <w:sz w:val="20"/>
          <w:szCs w:val="20"/>
          <w:color w:val="auto"/>
        </w:rPr>
      </w:pPr>
      <w:r>
        <w:rPr>
          <w:rFonts w:ascii="Arial" w:cs="Arial" w:eastAsia="Arial" w:hAnsi="Arial"/>
          <w:sz w:val="23"/>
          <w:szCs w:val="23"/>
          <w:b w:val="1"/>
          <w:bCs w:val="1"/>
          <w:color w:val="55779A"/>
        </w:rPr>
        <w:t>REPORT OF THE AUDIT COMMITTEE</w:t>
      </w:r>
    </w:p>
    <w:p>
      <w:pPr>
        <w:spacing w:after="0" w:line="193" w:lineRule="exact"/>
        <w:rPr>
          <w:sz w:val="20"/>
          <w:szCs w:val="20"/>
          <w:color w:val="auto"/>
        </w:rPr>
      </w:pPr>
    </w:p>
    <w:p>
      <w:pPr>
        <w:ind w:left="820" w:right="840"/>
        <w:spacing w:after="0" w:line="266" w:lineRule="auto"/>
        <w:rPr>
          <w:sz w:val="20"/>
          <w:szCs w:val="20"/>
          <w:color w:val="auto"/>
        </w:rPr>
      </w:pPr>
      <w:r>
        <w:rPr>
          <w:rFonts w:ascii="Arial" w:cs="Arial" w:eastAsia="Arial" w:hAnsi="Arial"/>
          <w:sz w:val="18"/>
          <w:szCs w:val="18"/>
          <w:color w:val="58595B"/>
        </w:rPr>
        <w:t>The audit committee of the board of directors submits the following report on the performance of certain of its responsibilities for the year 2025:</w:t>
      </w:r>
    </w:p>
    <w:p>
      <w:pPr>
        <w:spacing w:after="0" w:line="120" w:lineRule="exact"/>
        <w:rPr>
          <w:sz w:val="20"/>
          <w:szCs w:val="20"/>
          <w:color w:val="auto"/>
        </w:rPr>
      </w:pPr>
    </w:p>
    <w:p>
      <w:pPr>
        <w:ind w:left="820" w:right="340"/>
        <w:spacing w:after="0" w:line="233" w:lineRule="auto"/>
        <w:rPr>
          <w:sz w:val="20"/>
          <w:szCs w:val="20"/>
          <w:color w:val="auto"/>
        </w:rPr>
      </w:pPr>
      <w:r>
        <w:rPr>
          <w:rFonts w:ascii="Arial" w:cs="Arial" w:eastAsia="Arial" w:hAnsi="Arial"/>
          <w:sz w:val="18"/>
          <w:szCs w:val="18"/>
          <w:color w:val="58595B"/>
        </w:rPr>
        <w:t>The primary function of our audit committee is oversight of (i) the quality and integrity of our financial statements and related disclosures, (ii) our compliance with legal and regulatory requirements, (iii) the independent registered public accounting firm's qualifications and independence, and (iv) the performance of our internal audit function and independent registered public accounting firm. The audit committee also oversees information technology and cybersecurity risk and ESG risk and is responsible for reporting to the board on those matters. Our audit committee acts under a written charter, and we review the adequacy of our charter at least annually. Our audit committee is comprised of the three directors named below, each of whom has been determined by the board of directors to be independent as defined by New York Stock Exchange independence standards. In addition, our board of directors has determined that each of Messrs. Ammerman, Rood and Shea is an audit committee financial expert as defined by the rules of the Securities and Exchange Commission.</w:t>
      </w:r>
    </w:p>
    <w:p>
      <w:pPr>
        <w:spacing w:after="0" w:line="147" w:lineRule="exact"/>
        <w:rPr>
          <w:sz w:val="20"/>
          <w:szCs w:val="20"/>
          <w:color w:val="auto"/>
        </w:rPr>
      </w:pPr>
    </w:p>
    <w:p>
      <w:pPr>
        <w:ind w:left="820" w:right="400"/>
        <w:spacing w:after="0" w:line="235" w:lineRule="auto"/>
        <w:rPr>
          <w:sz w:val="20"/>
          <w:szCs w:val="20"/>
          <w:color w:val="auto"/>
        </w:rPr>
      </w:pPr>
      <w:r>
        <w:rPr>
          <w:rFonts w:ascii="Arial" w:cs="Arial" w:eastAsia="Arial" w:hAnsi="Arial"/>
          <w:sz w:val="18"/>
          <w:szCs w:val="18"/>
          <w:color w:val="58595B"/>
        </w:rPr>
        <w:t xml:space="preserve">In performing our oversight function, we reviewed and discussed with management and Ernst &amp; Young LLP, or </w:t>
      </w:r>
      <w:r>
        <w:rPr>
          <w:rFonts w:ascii="Arial" w:cs="Arial" w:eastAsia="Arial" w:hAnsi="Arial"/>
          <w:sz w:val="18"/>
          <w:szCs w:val="18"/>
          <w:i w:val="1"/>
          <w:iCs w:val="1"/>
          <w:color w:val="58595B"/>
        </w:rPr>
        <w:t>EY</w:t>
      </w:r>
      <w:r>
        <w:rPr>
          <w:rFonts w:ascii="Arial" w:cs="Arial" w:eastAsia="Arial" w:hAnsi="Arial"/>
          <w:sz w:val="18"/>
          <w:szCs w:val="18"/>
          <w:color w:val="58595B"/>
        </w:rPr>
        <w:t>, our independent registered public accounting firm, our audited financial statements as of and for the year ended December 31, 2025. Management and EY reported to us that our consolidated financial statements present fairly, in all material respects, the consolidated financial position and results of operations and cash flows of FNF and its subsidiaries in conformity with generally accepted accounting principles. We also discussed with EY matters required to be discussed by the applicable requirements of the Public Company Accounting Oversight Board and the SEC.</w:t>
      </w:r>
    </w:p>
    <w:p>
      <w:pPr>
        <w:spacing w:after="0" w:line="146" w:lineRule="exact"/>
        <w:rPr>
          <w:sz w:val="20"/>
          <w:szCs w:val="20"/>
          <w:color w:val="auto"/>
        </w:rPr>
      </w:pPr>
    </w:p>
    <w:p>
      <w:pPr>
        <w:ind w:left="820" w:right="380"/>
        <w:spacing w:after="0" w:line="241" w:lineRule="auto"/>
        <w:rPr>
          <w:sz w:val="20"/>
          <w:szCs w:val="20"/>
          <w:color w:val="auto"/>
        </w:rPr>
      </w:pPr>
      <w:r>
        <w:rPr>
          <w:rFonts w:ascii="Arial" w:cs="Arial" w:eastAsia="Arial" w:hAnsi="Arial"/>
          <w:sz w:val="18"/>
          <w:szCs w:val="18"/>
          <w:color w:val="58595B"/>
        </w:rPr>
        <w:t>We have received and reviewed the written disclosures and the letter from EY required by applicable requirements of the Public Company Accounting Oversight Board regarding the independent accountant's communications with the audit committee concerning independence and have discussed with EY their independence. In addition, we have considered whether EY's provision of non-audit services to us is compatible with their independence.</w:t>
      </w:r>
    </w:p>
    <w:p>
      <w:pPr>
        <w:spacing w:after="0" w:line="142" w:lineRule="exact"/>
        <w:rPr>
          <w:sz w:val="20"/>
          <w:szCs w:val="20"/>
          <w:color w:val="auto"/>
        </w:rPr>
      </w:pPr>
    </w:p>
    <w:p>
      <w:pPr>
        <w:ind w:left="820" w:right="480"/>
        <w:spacing w:after="0" w:line="241" w:lineRule="auto"/>
        <w:rPr>
          <w:sz w:val="20"/>
          <w:szCs w:val="20"/>
          <w:color w:val="auto"/>
        </w:rPr>
      </w:pPr>
      <w:r>
        <w:rPr>
          <w:rFonts w:ascii="Arial" w:cs="Arial" w:eastAsia="Arial" w:hAnsi="Arial"/>
          <w:sz w:val="18"/>
          <w:szCs w:val="18"/>
          <w:color w:val="58595B"/>
        </w:rPr>
        <w:t>Finally, we discussed with our internal auditors and EY the overall scope and plans for their respective audits. We met with EY at each meeting. Management was present for some, but not all, of these discussions. These discussions included the results of their examinations, their evaluations of our internal controls and the overall quality of our financial reporting.</w:t>
      </w:r>
    </w:p>
    <w:p>
      <w:pPr>
        <w:spacing w:after="0" w:line="142" w:lineRule="exact"/>
        <w:rPr>
          <w:sz w:val="20"/>
          <w:szCs w:val="20"/>
          <w:color w:val="auto"/>
        </w:rPr>
      </w:pPr>
    </w:p>
    <w:p>
      <w:pPr>
        <w:ind w:left="820" w:right="600"/>
        <w:spacing w:after="0" w:line="241" w:lineRule="auto"/>
        <w:rPr>
          <w:sz w:val="20"/>
          <w:szCs w:val="20"/>
          <w:color w:val="auto"/>
        </w:rPr>
      </w:pPr>
      <w:r>
        <w:rPr>
          <w:rFonts w:ascii="Arial" w:cs="Arial" w:eastAsia="Arial" w:hAnsi="Arial"/>
          <w:sz w:val="18"/>
          <w:szCs w:val="18"/>
          <w:color w:val="58595B"/>
        </w:rPr>
        <w:t>Based on the reviews and discussions referred to above, we recommended to our board of directors that the audited financial statements referred to above be included in our Annual Report on Form 10-K for the fiscal year ended December 31, 2025, and that EY be appointed independent registered public accounting firm for FNF for 2026.</w:t>
      </w:r>
    </w:p>
    <w:p>
      <w:pPr>
        <w:spacing w:after="0" w:line="142" w:lineRule="exact"/>
        <w:rPr>
          <w:sz w:val="20"/>
          <w:szCs w:val="20"/>
          <w:color w:val="auto"/>
        </w:rPr>
      </w:pPr>
    </w:p>
    <w:p>
      <w:pPr>
        <w:ind w:left="820" w:right="340"/>
        <w:spacing w:after="0" w:line="235" w:lineRule="auto"/>
        <w:rPr>
          <w:sz w:val="20"/>
          <w:szCs w:val="20"/>
          <w:color w:val="auto"/>
        </w:rPr>
      </w:pPr>
      <w:r>
        <w:rPr>
          <w:rFonts w:ascii="Arial" w:cs="Arial" w:eastAsia="Arial" w:hAnsi="Arial"/>
          <w:sz w:val="18"/>
          <w:szCs w:val="18"/>
          <w:color w:val="58595B"/>
        </w:rPr>
        <w:t>In carrying out our responsibilities, we look to management and the independent registered public accounting firm. Management is responsible for the preparation and fair presentation of our financial statements and for maintaining effective internal control. Management is also responsible for assessing and maintaining the effectiveness of internal control over the financial reporting process. The independent registered public accounting firm is responsible for auditing our annual financial statements and expressing an opinion as to whether the statements are fairly stated in conformity with generally accepted accounting principles.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106680</wp:posOffset>
            </wp:positionV>
            <wp:extent cx="7144385" cy="297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17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695960</wp:posOffset>
            </wp:positionV>
            <wp:extent cx="71443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5" w:right="879" w:bottom="1440" w:gutter="0" w:footer="0" w:header="0"/>
        </w:sectPr>
      </w:pPr>
    </w:p>
    <w:bookmarkStart w:id="21" w:name="page22"/>
    <w:bookmarkEnd w:id="21"/>
    <w:p>
      <w:pPr>
        <w:ind w:left="1180" w:right="1040"/>
        <w:spacing w:after="0" w:line="241" w:lineRule="auto"/>
        <w:rPr>
          <w:sz w:val="20"/>
          <w:szCs w:val="20"/>
          <w:color w:val="auto"/>
        </w:rPr>
      </w:pPr>
      <w:r>
        <w:rPr>
          <w:rFonts w:ascii="Arial" w:cs="Arial" w:eastAsia="Arial" w:hAnsi="Arial"/>
          <w:sz w:val="18"/>
          <w:szCs w:val="18"/>
          <w:color w:val="58595B"/>
        </w:rPr>
        <w:t>is also responsible for auditing our internal controls and expressing an opinion as to whether the Company maintained, in all material respects, effective internal control over financial reporting based on criteria established in Internal Control – Integrated Framework (2013) issued by the Committee of Sponsoring Organizations of the Treadway Commission.</w:t>
      </w:r>
    </w:p>
    <w:p>
      <w:pPr>
        <w:spacing w:after="0" w:line="142" w:lineRule="exact"/>
        <w:rPr>
          <w:sz w:val="20"/>
          <w:szCs w:val="20"/>
          <w:color w:val="auto"/>
        </w:rPr>
      </w:pPr>
    </w:p>
    <w:p>
      <w:pPr>
        <w:ind w:left="1180" w:right="940"/>
        <w:spacing w:after="0" w:line="241" w:lineRule="auto"/>
        <w:rPr>
          <w:sz w:val="20"/>
          <w:szCs w:val="20"/>
          <w:color w:val="auto"/>
        </w:rPr>
      </w:pPr>
      <w:r>
        <w:rPr>
          <w:rFonts w:ascii="Arial" w:cs="Arial" w:eastAsia="Arial" w:hAnsi="Arial"/>
          <w:sz w:val="18"/>
          <w:szCs w:val="18"/>
          <w:color w:val="58595B"/>
        </w:rPr>
        <w:t>The independent registered public accounting firm performs its responsibilities in accordance with the standards of the Public Company Accounting Oversight Board. Our members are not professionally engaged in the practice of accounting or auditing, and are not experts under the Securities Exchange Act of 1934, as amended, in either of those fields or in auditor independence.</w:t>
      </w:r>
    </w:p>
    <w:p>
      <w:pPr>
        <w:spacing w:after="0" w:line="142"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The foregoing report is provided by the following independent directors, who constitute the committee: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9678E"/>
        </w:rPr>
        <w:t>AUDIT COMMITTEE</w:t>
      </w:r>
    </w:p>
    <w:p>
      <w:pPr>
        <w:ind w:left="4360"/>
        <w:spacing w:after="0" w:line="238" w:lineRule="auto"/>
        <w:rPr>
          <w:sz w:val="20"/>
          <w:szCs w:val="20"/>
          <w:color w:val="auto"/>
        </w:rPr>
      </w:pPr>
      <w:r>
        <w:rPr>
          <w:rFonts w:ascii="Arial" w:cs="Arial" w:eastAsia="Arial" w:hAnsi="Arial"/>
          <w:sz w:val="18"/>
          <w:szCs w:val="18"/>
          <w:color w:val="58595B"/>
        </w:rPr>
        <w:t>Douglas K. Ammerman (</w:t>
      </w:r>
      <w:r>
        <w:rPr>
          <w:rFonts w:ascii="Arial" w:cs="Arial" w:eastAsia="Arial" w:hAnsi="Arial"/>
          <w:sz w:val="18"/>
          <w:szCs w:val="18"/>
          <w:i w:val="1"/>
          <w:iCs w:val="1"/>
          <w:color w:val="58595B"/>
        </w:rPr>
        <w:t>Chair)</w:t>
      </w:r>
    </w:p>
    <w:p>
      <w:pPr>
        <w:ind w:left="5040"/>
        <w:spacing w:after="0" w:line="228" w:lineRule="auto"/>
        <w:rPr>
          <w:sz w:val="20"/>
          <w:szCs w:val="20"/>
          <w:color w:val="auto"/>
        </w:rPr>
      </w:pPr>
      <w:r>
        <w:rPr>
          <w:rFonts w:ascii="Arial" w:cs="Arial" w:eastAsia="Arial" w:hAnsi="Arial"/>
          <w:sz w:val="18"/>
          <w:szCs w:val="18"/>
          <w:color w:val="58595B"/>
        </w:rPr>
        <w:t>John D. Rood</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58595B"/>
        </w:rPr>
        <w:t>Peter O. Shea, Jr.</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5779A"/>
        </w:rPr>
        <w:t>COMPENSATION COMMITTEE</w:t>
      </w:r>
    </w:p>
    <w:p>
      <w:pPr>
        <w:spacing w:after="0" w:line="193" w:lineRule="exact"/>
        <w:rPr>
          <w:sz w:val="20"/>
          <w:szCs w:val="20"/>
          <w:color w:val="auto"/>
        </w:rPr>
      </w:pPr>
    </w:p>
    <w:p>
      <w:pPr>
        <w:jc w:val="both"/>
        <w:ind w:left="1180" w:right="1460"/>
        <w:spacing w:after="0" w:line="241" w:lineRule="auto"/>
        <w:rPr>
          <w:sz w:val="20"/>
          <w:szCs w:val="20"/>
          <w:color w:val="auto"/>
        </w:rPr>
      </w:pPr>
      <w:r>
        <w:rPr>
          <w:rFonts w:ascii="Arial" w:cs="Arial" w:eastAsia="Arial" w:hAnsi="Arial"/>
          <w:sz w:val="18"/>
          <w:szCs w:val="18"/>
          <w:color w:val="58595B"/>
        </w:rPr>
        <w:t>The members of the compensation committee are Thomas M. Hagerty (Chair), Daniel D. Lane and Cary H. Thompson. Each of Messrs. Hagerty, Lane and Thompson was deemed to be independent by the board, as required by the New York Stock Exchange. The compensation committee met three times during 2025. The functions of the compensation committee include the following:</w:t>
      </w:r>
    </w:p>
    <w:p>
      <w:pPr>
        <w:sectPr>
          <w:pgSz w:w="11900" w:h="16838" w:orient="portrait"/>
          <w:cols w:equalWidth="0" w:num="1">
            <w:col w:w="11240"/>
          </w:cols>
          <w:pgMar w:left="320" w:top="796" w:right="339" w:bottom="1440" w:gutter="0" w:footer="0" w:header="0"/>
        </w:sectPr>
      </w:pPr>
    </w:p>
    <w:p>
      <w:pPr>
        <w:spacing w:after="0" w:line="188" w:lineRule="exact"/>
        <w:rPr>
          <w:sz w:val="20"/>
          <w:szCs w:val="20"/>
          <w:color w:val="auto"/>
        </w:rPr>
      </w:pPr>
    </w:p>
    <w:p>
      <w:pPr>
        <w:ind w:left="1640" w:right="265" w:hanging="286"/>
        <w:spacing w:after="0" w:line="235" w:lineRule="auto"/>
        <w:tabs>
          <w:tab w:leader="none" w:pos="1640" w:val="left"/>
        </w:tabs>
        <w:numPr>
          <w:ilvl w:val="0"/>
          <w:numId w:val="33"/>
        </w:numPr>
        <w:rPr>
          <w:rFonts w:ascii="Arial" w:cs="Arial" w:eastAsia="Arial" w:hAnsi="Arial"/>
          <w:sz w:val="18"/>
          <w:szCs w:val="18"/>
          <w:color w:val="58595B"/>
        </w:rPr>
      </w:pPr>
      <w:r>
        <w:rPr>
          <w:rFonts w:ascii="Arial" w:cs="Arial" w:eastAsia="Arial" w:hAnsi="Arial"/>
          <w:sz w:val="17"/>
          <w:szCs w:val="17"/>
          <w:color w:val="58595B"/>
        </w:rPr>
        <w:t xml:space="preserve">Reviewing and approving corporate goals and objectives relevant to the Chief Executive Officer's compensation, </w:t>
      </w:r>
      <w:r>
        <w:rPr>
          <w:rFonts w:ascii="Arial" w:cs="Arial" w:eastAsia="Arial" w:hAnsi="Arial"/>
          <w:sz w:val="18"/>
          <w:szCs w:val="18"/>
          <w:color w:val="58595B"/>
        </w:rPr>
        <w:t>evaluating his</w:t>
      </w:r>
      <w:r>
        <w:rPr>
          <w:rFonts w:ascii="Arial" w:cs="Arial" w:eastAsia="Arial" w:hAnsi="Arial"/>
          <w:sz w:val="17"/>
          <w:szCs w:val="17"/>
          <w:color w:val="58595B"/>
        </w:rPr>
        <w:t xml:space="preserve"> </w:t>
      </w:r>
      <w:r>
        <w:rPr>
          <w:rFonts w:ascii="Arial" w:cs="Arial" w:eastAsia="Arial" w:hAnsi="Arial"/>
          <w:sz w:val="18"/>
          <w:szCs w:val="18"/>
          <w:color w:val="58595B"/>
        </w:rPr>
        <w:t>performance in light of those goals and objectives, and setting the Chief Executive Officer's compensation level based on this evaluation;</w:t>
      </w:r>
    </w:p>
    <w:p>
      <w:pPr>
        <w:spacing w:after="0" w:line="160" w:lineRule="exact"/>
        <w:rPr>
          <w:rFonts w:ascii="Arial" w:cs="Arial" w:eastAsia="Arial" w:hAnsi="Arial"/>
          <w:sz w:val="18"/>
          <w:szCs w:val="18"/>
          <w:color w:val="58595B"/>
        </w:rPr>
      </w:pPr>
    </w:p>
    <w:p>
      <w:pPr>
        <w:ind w:left="1640" w:right="185" w:hanging="286"/>
        <w:spacing w:after="0" w:line="238" w:lineRule="auto"/>
        <w:tabs>
          <w:tab w:leader="none" w:pos="1640" w:val="left"/>
        </w:tabs>
        <w:numPr>
          <w:ilvl w:val="0"/>
          <w:numId w:val="33"/>
        </w:numPr>
        <w:rPr>
          <w:rFonts w:ascii="Arial" w:cs="Arial" w:eastAsia="Arial" w:hAnsi="Arial"/>
          <w:sz w:val="18"/>
          <w:szCs w:val="18"/>
          <w:color w:val="58595B"/>
        </w:rPr>
      </w:pPr>
      <w:r>
        <w:rPr>
          <w:rFonts w:ascii="Arial" w:cs="Arial" w:eastAsia="Arial" w:hAnsi="Arial"/>
          <w:sz w:val="18"/>
          <w:szCs w:val="18"/>
          <w:color w:val="58595B"/>
        </w:rPr>
        <w:t>Setting salaries and approving incentive compensation and equity awards, as well as compensation policies, for all other officers who are designated as Section 16 officers by our board;</w:t>
      </w:r>
    </w:p>
    <w:p>
      <w:pPr>
        <w:spacing w:after="0" w:line="156" w:lineRule="exact"/>
        <w:rPr>
          <w:rFonts w:ascii="Arial" w:cs="Arial" w:eastAsia="Arial" w:hAnsi="Arial"/>
          <w:sz w:val="18"/>
          <w:szCs w:val="18"/>
          <w:color w:val="58595B"/>
        </w:rPr>
      </w:pPr>
    </w:p>
    <w:p>
      <w:pPr>
        <w:ind w:left="1640" w:right="125" w:hanging="286"/>
        <w:spacing w:after="0" w:line="266" w:lineRule="auto"/>
        <w:tabs>
          <w:tab w:leader="none" w:pos="1640" w:val="left"/>
        </w:tabs>
        <w:numPr>
          <w:ilvl w:val="0"/>
          <w:numId w:val="33"/>
        </w:numPr>
        <w:rPr>
          <w:rFonts w:ascii="Arial" w:cs="Arial" w:eastAsia="Arial" w:hAnsi="Arial"/>
          <w:sz w:val="18"/>
          <w:szCs w:val="18"/>
          <w:color w:val="58595B"/>
        </w:rPr>
      </w:pPr>
      <w:r>
        <w:rPr>
          <w:rFonts w:ascii="Arial" w:cs="Arial" w:eastAsia="Arial" w:hAnsi="Arial"/>
          <w:sz w:val="18"/>
          <w:szCs w:val="18"/>
          <w:color w:val="58595B"/>
        </w:rPr>
        <w:t>Administering and interpreting the Company's incentive-based recovery policy;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left="295" w:right="1060" w:hanging="295"/>
        <w:spacing w:after="0" w:line="247" w:lineRule="auto"/>
        <w:tabs>
          <w:tab w:leader="none" w:pos="295" w:val="left"/>
        </w:tabs>
        <w:numPr>
          <w:ilvl w:val="0"/>
          <w:numId w:val="34"/>
        </w:numPr>
        <w:rPr>
          <w:rFonts w:ascii="Arial" w:cs="Arial" w:eastAsia="Arial" w:hAnsi="Arial"/>
          <w:sz w:val="18"/>
          <w:szCs w:val="18"/>
          <w:color w:val="58595B"/>
        </w:rPr>
      </w:pPr>
      <w:r>
        <w:rPr>
          <w:rFonts w:ascii="Arial" w:cs="Arial" w:eastAsia="Arial" w:hAnsi="Arial"/>
          <w:sz w:val="18"/>
          <w:szCs w:val="18"/>
          <w:color w:val="58595B"/>
        </w:rPr>
        <w:t>Producing an annual report for inclusion in our proxy statement, in accordance with applicable rules and regulations;</w:t>
      </w:r>
    </w:p>
    <w:p>
      <w:pPr>
        <w:spacing w:after="0" w:line="149" w:lineRule="exact"/>
        <w:rPr>
          <w:rFonts w:ascii="Arial" w:cs="Arial" w:eastAsia="Arial" w:hAnsi="Arial"/>
          <w:sz w:val="18"/>
          <w:szCs w:val="18"/>
          <w:color w:val="58595B"/>
        </w:rPr>
      </w:pPr>
    </w:p>
    <w:p>
      <w:pPr>
        <w:ind w:left="295" w:right="900" w:hanging="295"/>
        <w:spacing w:after="0" w:line="241" w:lineRule="auto"/>
        <w:tabs>
          <w:tab w:leader="none" w:pos="295" w:val="left"/>
        </w:tabs>
        <w:numPr>
          <w:ilvl w:val="0"/>
          <w:numId w:val="34"/>
        </w:numPr>
        <w:rPr>
          <w:rFonts w:ascii="Arial" w:cs="Arial" w:eastAsia="Arial" w:hAnsi="Arial"/>
          <w:sz w:val="18"/>
          <w:szCs w:val="18"/>
          <w:color w:val="58595B"/>
        </w:rPr>
      </w:pPr>
      <w:r>
        <w:rPr>
          <w:rFonts w:ascii="Arial" w:cs="Arial" w:eastAsia="Arial" w:hAnsi="Arial"/>
          <w:sz w:val="18"/>
          <w:szCs w:val="18"/>
          <w:color w:val="58595B"/>
        </w:rPr>
        <w:t>Making recommendations to the board with respect to incentive compensation programs and equity-based plans that are subject to board approval;</w:t>
      </w:r>
    </w:p>
    <w:p>
      <w:pPr>
        <w:spacing w:after="0" w:line="142" w:lineRule="exact"/>
        <w:rPr>
          <w:rFonts w:ascii="Arial" w:cs="Arial" w:eastAsia="Arial" w:hAnsi="Arial"/>
          <w:sz w:val="18"/>
          <w:szCs w:val="18"/>
          <w:color w:val="58595B"/>
        </w:rPr>
      </w:pPr>
    </w:p>
    <w:p>
      <w:pPr>
        <w:ind w:left="295" w:right="920" w:hanging="295"/>
        <w:spacing w:after="0" w:line="241" w:lineRule="auto"/>
        <w:tabs>
          <w:tab w:leader="none" w:pos="295" w:val="left"/>
        </w:tabs>
        <w:numPr>
          <w:ilvl w:val="0"/>
          <w:numId w:val="34"/>
        </w:numPr>
        <w:rPr>
          <w:rFonts w:ascii="Arial" w:cs="Arial" w:eastAsia="Arial" w:hAnsi="Arial"/>
          <w:sz w:val="18"/>
          <w:szCs w:val="18"/>
          <w:color w:val="58595B"/>
        </w:rPr>
      </w:pPr>
      <w:r>
        <w:rPr>
          <w:rFonts w:ascii="Arial" w:cs="Arial" w:eastAsia="Arial" w:hAnsi="Arial"/>
          <w:sz w:val="18"/>
          <w:szCs w:val="18"/>
          <w:color w:val="58595B"/>
        </w:rPr>
        <w:t>Granting any awards under equity compensation plans and annual bonus plans to our Chief Executive Officer and other Section 16 Officers; and</w:t>
      </w:r>
    </w:p>
    <w:p>
      <w:pPr>
        <w:spacing w:after="0" w:line="142" w:lineRule="exact"/>
        <w:rPr>
          <w:rFonts w:ascii="Arial" w:cs="Arial" w:eastAsia="Arial" w:hAnsi="Arial"/>
          <w:sz w:val="18"/>
          <w:szCs w:val="18"/>
          <w:color w:val="58595B"/>
        </w:rPr>
      </w:pPr>
    </w:p>
    <w:p>
      <w:pPr>
        <w:ind w:left="295" w:hanging="295"/>
        <w:spacing w:after="0"/>
        <w:tabs>
          <w:tab w:leader="none" w:pos="295" w:val="left"/>
        </w:tabs>
        <w:numPr>
          <w:ilvl w:val="0"/>
          <w:numId w:val="34"/>
        </w:numPr>
        <w:rPr>
          <w:rFonts w:ascii="Arial" w:cs="Arial" w:eastAsia="Arial" w:hAnsi="Arial"/>
          <w:sz w:val="18"/>
          <w:szCs w:val="18"/>
          <w:color w:val="58595B"/>
        </w:rPr>
      </w:pPr>
      <w:r>
        <w:rPr>
          <w:rFonts w:ascii="Arial" w:cs="Arial" w:eastAsia="Arial" w:hAnsi="Arial"/>
          <w:sz w:val="18"/>
          <w:szCs w:val="18"/>
          <w:color w:val="58595B"/>
        </w:rPr>
        <w:t>Approving the compensation of our directors.</w:t>
      </w:r>
    </w:p>
    <w:p>
      <w:pPr>
        <w:spacing w:after="0" w:line="409" w:lineRule="exact"/>
        <w:rPr>
          <w:sz w:val="20"/>
          <w:szCs w:val="20"/>
          <w:color w:val="auto"/>
        </w:rPr>
      </w:pPr>
    </w:p>
    <w:p>
      <w:pPr>
        <w:sectPr>
          <w:pgSz w:w="11900" w:h="16838" w:orient="portrait"/>
          <w:cols w:equalWidth="0" w:num="2">
            <w:col w:w="5425" w:space="720"/>
            <w:col w:w="5095"/>
          </w:cols>
          <w:pgMar w:left="320" w:top="796" w:right="339" w:bottom="1440" w:gutter="0" w:footer="0" w:header="0"/>
          <w:type w:val="continuous"/>
        </w:sectPr>
      </w:pPr>
    </w:p>
    <w:p>
      <w:pPr>
        <w:jc w:val="both"/>
        <w:ind w:left="1180" w:right="1040"/>
        <w:spacing w:after="0" w:line="247" w:lineRule="auto"/>
        <w:rPr>
          <w:sz w:val="20"/>
          <w:szCs w:val="20"/>
          <w:color w:val="auto"/>
        </w:rPr>
      </w:pPr>
      <w:r>
        <w:rPr>
          <w:rFonts w:ascii="Arial" w:cs="Arial" w:eastAsia="Arial" w:hAnsi="Arial"/>
          <w:sz w:val="18"/>
          <w:szCs w:val="18"/>
          <w:color w:val="58595B"/>
        </w:rPr>
        <w:t>For more information regarding the responsibilities of the compensation committee, please refer to the section of this proxy statement entitled "Compensation Discussion and Analysis and Executive and Director Compensation"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18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type w:val="continuous"/>
        </w:sectPr>
      </w:pPr>
    </w:p>
    <w:bookmarkStart w:id="22" w:name="page23"/>
    <w:bookmarkEnd w:id="22"/>
    <w:p>
      <w:pPr>
        <w:ind w:left="820"/>
        <w:spacing w:after="0"/>
        <w:rPr>
          <w:sz w:val="20"/>
          <w:szCs w:val="20"/>
          <w:color w:val="auto"/>
        </w:rPr>
      </w:pPr>
      <w:r>
        <w:rPr>
          <w:rFonts w:ascii="Arial" w:cs="Arial" w:eastAsia="Arial" w:hAnsi="Arial"/>
          <w:sz w:val="23"/>
          <w:szCs w:val="23"/>
          <w:b w:val="1"/>
          <w:bCs w:val="1"/>
          <w:color w:val="5E779B"/>
        </w:rPr>
        <w:t>RELATED PERSON TRANSACTION COMMITTEE</w:t>
      </w:r>
    </w:p>
    <w:p>
      <w:pPr>
        <w:spacing w:after="0" w:line="193" w:lineRule="exact"/>
        <w:rPr>
          <w:sz w:val="20"/>
          <w:szCs w:val="20"/>
          <w:color w:val="auto"/>
        </w:rPr>
      </w:pPr>
    </w:p>
    <w:p>
      <w:pPr>
        <w:ind w:left="820" w:right="400"/>
        <w:spacing w:after="0" w:line="241" w:lineRule="auto"/>
        <w:rPr>
          <w:sz w:val="20"/>
          <w:szCs w:val="20"/>
          <w:color w:val="auto"/>
        </w:rPr>
      </w:pPr>
      <w:r>
        <w:rPr>
          <w:rFonts w:ascii="Arial" w:cs="Arial" w:eastAsia="Arial" w:hAnsi="Arial"/>
          <w:sz w:val="18"/>
          <w:szCs w:val="18"/>
          <w:color w:val="58595B"/>
        </w:rPr>
        <w:t>The members of the related person transaction committee are Halim Dhanidina (Chair) and Sandra D. Morgan. Each of Judge Dhanidina and Ms. Morgan was deemed to be independent by the board, as defined by the New York Stock Exchange. The related person transaction committee was established by our board in August 2022 and met two times in 2025. The functions of the related person transaction committee include the following:</w:t>
      </w:r>
    </w:p>
    <w:p>
      <w:pPr>
        <w:spacing w:after="0" w:line="142" w:lineRule="exact"/>
        <w:rPr>
          <w:sz w:val="20"/>
          <w:szCs w:val="20"/>
          <w:color w:val="auto"/>
        </w:rPr>
      </w:pPr>
    </w:p>
    <w:p>
      <w:pPr>
        <w:ind w:left="1280" w:right="340" w:hanging="286"/>
        <w:spacing w:after="0" w:line="266" w:lineRule="auto"/>
        <w:tabs>
          <w:tab w:leader="none" w:pos="1280" w:val="left"/>
        </w:tabs>
        <w:numPr>
          <w:ilvl w:val="0"/>
          <w:numId w:val="35"/>
        </w:numPr>
        <w:rPr>
          <w:rFonts w:ascii="Arial" w:cs="Arial" w:eastAsia="Arial" w:hAnsi="Arial"/>
          <w:sz w:val="18"/>
          <w:szCs w:val="18"/>
          <w:color w:val="58595B"/>
        </w:rPr>
      </w:pPr>
      <w:r>
        <w:rPr>
          <w:rFonts w:ascii="Arial" w:cs="Arial" w:eastAsia="Arial" w:hAnsi="Arial"/>
          <w:sz w:val="18"/>
          <w:szCs w:val="18"/>
          <w:color w:val="58595B"/>
        </w:rPr>
        <w:t xml:space="preserve">Reviewing and considering the approval or ratification of transactions that arise under the Company’s Related Person Transaction Policy (the </w:t>
      </w:r>
      <w:r>
        <w:rPr>
          <w:rFonts w:ascii="Arial" w:cs="Arial" w:eastAsia="Arial" w:hAnsi="Arial"/>
          <w:sz w:val="18"/>
          <w:szCs w:val="18"/>
          <w:i w:val="1"/>
          <w:iCs w:val="1"/>
          <w:color w:val="58595B"/>
        </w:rPr>
        <w:t>RPT Policy</w:t>
      </w:r>
      <w:r>
        <w:rPr>
          <w:rFonts w:ascii="Arial" w:cs="Arial" w:eastAsia="Arial" w:hAnsi="Arial"/>
          <w:sz w:val="18"/>
          <w:szCs w:val="18"/>
          <w:color w:val="58595B"/>
        </w:rPr>
        <w:t>);</w:t>
      </w:r>
    </w:p>
    <w:p>
      <w:pPr>
        <w:spacing w:after="0" w:line="120" w:lineRule="exact"/>
        <w:rPr>
          <w:rFonts w:ascii="Arial" w:cs="Arial" w:eastAsia="Arial" w:hAnsi="Arial"/>
          <w:sz w:val="18"/>
          <w:szCs w:val="18"/>
          <w:color w:val="58595B"/>
        </w:rPr>
      </w:pPr>
    </w:p>
    <w:p>
      <w:pPr>
        <w:ind w:left="1280" w:hanging="286"/>
        <w:spacing w:after="0"/>
        <w:tabs>
          <w:tab w:leader="none" w:pos="1280" w:val="left"/>
        </w:tabs>
        <w:numPr>
          <w:ilvl w:val="0"/>
          <w:numId w:val="35"/>
        </w:numPr>
        <w:rPr>
          <w:rFonts w:ascii="Arial" w:cs="Arial" w:eastAsia="Arial" w:hAnsi="Arial"/>
          <w:sz w:val="18"/>
          <w:szCs w:val="18"/>
          <w:color w:val="58595B"/>
        </w:rPr>
      </w:pPr>
      <w:r>
        <w:rPr>
          <w:rFonts w:ascii="Arial" w:cs="Arial" w:eastAsia="Arial" w:hAnsi="Arial"/>
          <w:sz w:val="18"/>
          <w:szCs w:val="18"/>
          <w:color w:val="58595B"/>
        </w:rPr>
        <w:t>Conducting an annual review of all Related Person Transactions (as defined in the RPT Policy); and</w:t>
      </w:r>
    </w:p>
    <w:p>
      <w:pPr>
        <w:spacing w:after="0" w:line="175" w:lineRule="exact"/>
        <w:rPr>
          <w:rFonts w:ascii="Arial" w:cs="Arial" w:eastAsia="Arial" w:hAnsi="Arial"/>
          <w:sz w:val="18"/>
          <w:szCs w:val="18"/>
          <w:color w:val="58595B"/>
        </w:rPr>
      </w:pPr>
    </w:p>
    <w:p>
      <w:pPr>
        <w:ind w:left="1280" w:hanging="286"/>
        <w:spacing w:after="0" w:line="266" w:lineRule="auto"/>
        <w:tabs>
          <w:tab w:leader="none" w:pos="1280" w:val="left"/>
        </w:tabs>
        <w:numPr>
          <w:ilvl w:val="0"/>
          <w:numId w:val="35"/>
        </w:numPr>
        <w:rPr>
          <w:rFonts w:ascii="Arial" w:cs="Arial" w:eastAsia="Arial" w:hAnsi="Arial"/>
          <w:sz w:val="18"/>
          <w:szCs w:val="18"/>
          <w:color w:val="58595B"/>
        </w:rPr>
      </w:pPr>
      <w:r>
        <w:rPr>
          <w:rFonts w:ascii="Arial" w:cs="Arial" w:eastAsia="Arial" w:hAnsi="Arial"/>
          <w:sz w:val="18"/>
          <w:szCs w:val="18"/>
          <w:color w:val="58595B"/>
        </w:rPr>
        <w:t>Performing any other duties or responsibilities expressly delegated to the related person transaction committee by the board from time to time.</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79B"/>
        </w:rPr>
        <w:t>BOARD LEADERSHIP STRUCTURE</w:t>
      </w:r>
    </w:p>
    <w:p>
      <w:pPr>
        <w:spacing w:after="0" w:line="193" w:lineRule="exact"/>
        <w:rPr>
          <w:sz w:val="20"/>
          <w:szCs w:val="20"/>
          <w:color w:val="auto"/>
        </w:rPr>
      </w:pPr>
    </w:p>
    <w:p>
      <w:pPr>
        <w:ind w:left="820" w:right="380"/>
        <w:spacing w:after="0" w:line="232" w:lineRule="auto"/>
        <w:rPr>
          <w:sz w:val="20"/>
          <w:szCs w:val="20"/>
          <w:color w:val="auto"/>
        </w:rPr>
      </w:pPr>
      <w:r>
        <w:rPr>
          <w:rFonts w:ascii="Arial" w:cs="Arial" w:eastAsia="Arial" w:hAnsi="Arial"/>
          <w:sz w:val="18"/>
          <w:szCs w:val="18"/>
          <w:color w:val="58595B"/>
        </w:rPr>
        <w:t>The Board believes that stockholders are best served by the Board having flexibility to consider and determine the best leadership structure for the Company based on current relevant facts and circumstances rather than by adhering to a formal standing policy on the subject. The Board periodically reviews its leadership structure to evaluate whether the structure remains appropriate to effectively address the specific needs of our business and the long-term interests of our stockholders. We have separated the positions of CEO and Chairman of the board of directors in recognition of the differences between the two roles. As our non-executive Chairman of the board, Mr. Foley, while no longer an executive or involved in the day-to-day operation of FNF, continues to be the driving force behind the development and execution of our strategic direction. Raymond R. Quirk serves as Executive Vice-Chairman of our board and Michael J. Nolan serves as our Chief Executive Officer. As Executive Vice-Chairman, Mr. Quirk promotes our real estate technology efforts, the expansion of our digital initiatives, and strategic investments in title insurance and technology related M&amp;A activities. Mr. Nolan leads all activities related to the growth and expansion of our title insurance related businesses and operations, overall financial performance, and investor relations.</w:t>
      </w:r>
    </w:p>
    <w:p>
      <w:pPr>
        <w:spacing w:after="0" w:line="147" w:lineRule="exact"/>
        <w:rPr>
          <w:sz w:val="20"/>
          <w:szCs w:val="20"/>
          <w:color w:val="auto"/>
        </w:rPr>
      </w:pPr>
    </w:p>
    <w:p>
      <w:pPr>
        <w:ind w:left="820" w:right="480"/>
        <w:spacing w:after="0" w:line="233" w:lineRule="auto"/>
        <w:rPr>
          <w:sz w:val="20"/>
          <w:szCs w:val="20"/>
          <w:color w:val="auto"/>
        </w:rPr>
      </w:pPr>
      <w:r>
        <w:rPr>
          <w:rFonts w:ascii="Arial" w:cs="Arial" w:eastAsia="Arial" w:hAnsi="Arial"/>
          <w:sz w:val="18"/>
          <w:szCs w:val="18"/>
          <w:color w:val="58595B"/>
        </w:rPr>
        <w:t>Douglas K. Ammerman, one of our independent directors, serves as our independent Lead Director. The board believes there are advantages to having an independent Lead Director and considers it to be useful and appropriate for the Lead Director to coordinate the activities of the other non-employee directors and to perform such other duties and responsibilities as the board may determine. Our Board believes that stockholders are best served by the Board's current leadership structure because it provides the Company with the benefits of the leadership roles of Chair and Chief Executive Officer, while at the same time featuring a strong and empowered independent Lead Director who provides an effective independent voice and further enhances the contributions of our independent directors. Mr. Ammerman has extensive board governance experience and has a deep understanding of the Company's business from serving on our board for over 16 years and serving as a partner of KPMG for 18 years. Since commencing service as our independent Lead Director, Mr. Ammerman has provided a clear and independent voice on the board that appropriately balances our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104775</wp:posOffset>
            </wp:positionV>
            <wp:extent cx="7144385" cy="297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4"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19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672465</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80"/>
          </w:cols>
          <w:pgMar w:left="680" w:top="795" w:right="839" w:bottom="1440" w:gutter="0" w:footer="0" w:header="0"/>
        </w:sectPr>
      </w:pPr>
    </w:p>
    <w:bookmarkStart w:id="23" w:name="page24"/>
    <w:bookmarkEnd w:id="23"/>
    <w:p>
      <w:pPr>
        <w:ind w:left="1180"/>
        <w:spacing w:after="0"/>
        <w:rPr>
          <w:sz w:val="20"/>
          <w:szCs w:val="20"/>
          <w:color w:val="auto"/>
        </w:rPr>
      </w:pPr>
      <w:r>
        <w:rPr>
          <w:rFonts w:ascii="Arial" w:cs="Arial" w:eastAsia="Arial" w:hAnsi="Arial"/>
          <w:sz w:val="18"/>
          <w:szCs w:val="18"/>
          <w:color w:val="58595B"/>
        </w:rPr>
        <w:t>Our Corporate Governance Guidelines define the responsibilities of the Lead Director, which include:</w:t>
      </w:r>
    </w:p>
    <w:p>
      <w:pPr>
        <w:sectPr>
          <w:pgSz w:w="11900" w:h="16838" w:orient="portrait"/>
          <w:cols w:equalWidth="0" w:num="1">
            <w:col w:w="11240"/>
          </w:cols>
          <w:pgMar w:left="320" w:top="796" w:right="339" w:bottom="1440" w:gutter="0" w:footer="0" w:header="0"/>
        </w:sectPr>
      </w:pPr>
    </w:p>
    <w:p>
      <w:pPr>
        <w:spacing w:after="0" w:line="175" w:lineRule="exact"/>
        <w:rPr>
          <w:sz w:val="20"/>
          <w:szCs w:val="20"/>
          <w:color w:val="auto"/>
        </w:rPr>
      </w:pPr>
    </w:p>
    <w:p>
      <w:pPr>
        <w:ind w:left="1640" w:right="25" w:hanging="286"/>
        <w:spacing w:after="0" w:line="247" w:lineRule="auto"/>
        <w:tabs>
          <w:tab w:leader="none" w:pos="1640" w:val="left"/>
        </w:tabs>
        <w:numPr>
          <w:ilvl w:val="0"/>
          <w:numId w:val="36"/>
        </w:numPr>
        <w:rPr>
          <w:rFonts w:ascii="Arial" w:cs="Arial" w:eastAsia="Arial" w:hAnsi="Arial"/>
          <w:sz w:val="18"/>
          <w:szCs w:val="18"/>
          <w:color w:val="58595B"/>
        </w:rPr>
      </w:pPr>
      <w:r>
        <w:rPr>
          <w:rFonts w:ascii="Arial" w:cs="Arial" w:eastAsia="Arial" w:hAnsi="Arial"/>
          <w:sz w:val="18"/>
          <w:szCs w:val="18"/>
          <w:color w:val="58595B"/>
        </w:rPr>
        <w:t>Preside at meetings of the board of directors in the absence of, or upon the request of, the Chairman;</w:t>
      </w:r>
    </w:p>
    <w:p>
      <w:pPr>
        <w:spacing w:after="0" w:line="137" w:lineRule="exact"/>
        <w:rPr>
          <w:rFonts w:ascii="Arial" w:cs="Arial" w:eastAsia="Arial" w:hAnsi="Arial"/>
          <w:sz w:val="18"/>
          <w:szCs w:val="18"/>
          <w:color w:val="58595B"/>
        </w:rPr>
      </w:pPr>
    </w:p>
    <w:p>
      <w:pPr>
        <w:ind w:left="1640" w:right="105" w:hanging="286"/>
        <w:spacing w:after="0" w:line="238" w:lineRule="auto"/>
        <w:tabs>
          <w:tab w:leader="none" w:pos="1640" w:val="left"/>
        </w:tabs>
        <w:numPr>
          <w:ilvl w:val="0"/>
          <w:numId w:val="36"/>
        </w:numPr>
        <w:rPr>
          <w:rFonts w:ascii="Arial" w:cs="Arial" w:eastAsia="Arial" w:hAnsi="Arial"/>
          <w:sz w:val="18"/>
          <w:szCs w:val="18"/>
          <w:color w:val="58595B"/>
        </w:rPr>
      </w:pPr>
      <w:r>
        <w:rPr>
          <w:rFonts w:ascii="Arial" w:cs="Arial" w:eastAsia="Arial" w:hAnsi="Arial"/>
          <w:sz w:val="18"/>
          <w:szCs w:val="18"/>
          <w:color w:val="58595B"/>
        </w:rPr>
        <w:t>Review board meeting agendas and schedules in collaboration with the Chairman and recommend matters for the board to consider and information to be provided to the board;</w:t>
      </w:r>
    </w:p>
    <w:p>
      <w:pPr>
        <w:spacing w:after="0" w:line="144" w:lineRule="exact"/>
        <w:rPr>
          <w:rFonts w:ascii="Arial" w:cs="Arial" w:eastAsia="Arial" w:hAnsi="Arial"/>
          <w:sz w:val="18"/>
          <w:szCs w:val="18"/>
          <w:color w:val="58595B"/>
        </w:rPr>
      </w:pPr>
    </w:p>
    <w:p>
      <w:pPr>
        <w:ind w:left="1640" w:right="185" w:hanging="286"/>
        <w:spacing w:after="0" w:line="238" w:lineRule="auto"/>
        <w:tabs>
          <w:tab w:leader="none" w:pos="1640" w:val="left"/>
        </w:tabs>
        <w:numPr>
          <w:ilvl w:val="0"/>
          <w:numId w:val="36"/>
        </w:numPr>
        <w:rPr>
          <w:rFonts w:ascii="Arial" w:cs="Arial" w:eastAsia="Arial" w:hAnsi="Arial"/>
          <w:sz w:val="18"/>
          <w:szCs w:val="18"/>
          <w:color w:val="58595B"/>
        </w:rPr>
      </w:pPr>
      <w:r>
        <w:rPr>
          <w:rFonts w:ascii="Arial" w:cs="Arial" w:eastAsia="Arial" w:hAnsi="Arial"/>
          <w:sz w:val="18"/>
          <w:szCs w:val="18"/>
          <w:color w:val="58595B"/>
        </w:rPr>
        <w:t>Serve as a liaison and supplemental channel of communication between non-employee/ independent directors and the Chairman without inhibiting direct communications between the Chairman and other 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95" w:right="1220" w:hanging="295"/>
        <w:spacing w:after="0" w:line="241" w:lineRule="auto"/>
        <w:tabs>
          <w:tab w:leader="none" w:pos="295" w:val="left"/>
        </w:tabs>
        <w:numPr>
          <w:ilvl w:val="0"/>
          <w:numId w:val="37"/>
        </w:numPr>
        <w:rPr>
          <w:rFonts w:ascii="Arial" w:cs="Arial" w:eastAsia="Arial" w:hAnsi="Arial"/>
          <w:sz w:val="18"/>
          <w:szCs w:val="18"/>
          <w:color w:val="58595B"/>
        </w:rPr>
      </w:pPr>
      <w:r>
        <w:rPr>
          <w:rFonts w:ascii="Arial" w:cs="Arial" w:eastAsia="Arial" w:hAnsi="Arial"/>
          <w:sz w:val="18"/>
          <w:szCs w:val="18"/>
          <w:color w:val="58595B"/>
        </w:rPr>
        <w:t>Serve as the principal liaison for consultation and communication between the non-employee/independent directors and shareholders;</w:t>
      </w:r>
    </w:p>
    <w:p>
      <w:pPr>
        <w:spacing w:after="0" w:line="142" w:lineRule="exact"/>
        <w:rPr>
          <w:rFonts w:ascii="Arial" w:cs="Arial" w:eastAsia="Arial" w:hAnsi="Arial"/>
          <w:sz w:val="18"/>
          <w:szCs w:val="18"/>
          <w:color w:val="58595B"/>
        </w:rPr>
      </w:pPr>
    </w:p>
    <w:p>
      <w:pPr>
        <w:ind w:left="295" w:right="940" w:hanging="295"/>
        <w:spacing w:after="0" w:line="247" w:lineRule="auto"/>
        <w:tabs>
          <w:tab w:leader="none" w:pos="295" w:val="left"/>
        </w:tabs>
        <w:numPr>
          <w:ilvl w:val="0"/>
          <w:numId w:val="37"/>
        </w:numPr>
        <w:rPr>
          <w:rFonts w:ascii="Arial" w:cs="Arial" w:eastAsia="Arial" w:hAnsi="Arial"/>
          <w:sz w:val="18"/>
          <w:szCs w:val="18"/>
          <w:color w:val="58595B"/>
        </w:rPr>
      </w:pPr>
      <w:r>
        <w:rPr>
          <w:rFonts w:ascii="Arial" w:cs="Arial" w:eastAsia="Arial" w:hAnsi="Arial"/>
          <w:sz w:val="18"/>
          <w:szCs w:val="18"/>
          <w:color w:val="58595B"/>
        </w:rPr>
        <w:t>Advise the Chairman concerning the retention of advisors and consultants who report directly to the board; and</w:t>
      </w:r>
    </w:p>
    <w:p>
      <w:pPr>
        <w:spacing w:after="0" w:line="137" w:lineRule="exact"/>
        <w:rPr>
          <w:rFonts w:ascii="Arial" w:cs="Arial" w:eastAsia="Arial" w:hAnsi="Arial"/>
          <w:sz w:val="18"/>
          <w:szCs w:val="18"/>
          <w:color w:val="58595B"/>
        </w:rPr>
      </w:pPr>
    </w:p>
    <w:p>
      <w:pPr>
        <w:ind w:left="295" w:right="1680" w:hanging="295"/>
        <w:spacing w:after="0" w:line="266" w:lineRule="auto"/>
        <w:tabs>
          <w:tab w:leader="none" w:pos="295" w:val="left"/>
        </w:tabs>
        <w:numPr>
          <w:ilvl w:val="0"/>
          <w:numId w:val="37"/>
        </w:numPr>
        <w:rPr>
          <w:rFonts w:ascii="Arial" w:cs="Arial" w:eastAsia="Arial" w:hAnsi="Arial"/>
          <w:sz w:val="18"/>
          <w:szCs w:val="18"/>
          <w:color w:val="58595B"/>
        </w:rPr>
      </w:pPr>
      <w:r>
        <w:rPr>
          <w:rFonts w:ascii="Arial" w:cs="Arial" w:eastAsia="Arial" w:hAnsi="Arial"/>
          <w:sz w:val="18"/>
          <w:szCs w:val="18"/>
          <w:color w:val="58595B"/>
        </w:rPr>
        <w:t>Be available to major shareholders for consultation and direct communication.</w:t>
      </w:r>
    </w:p>
    <w:p>
      <w:pPr>
        <w:spacing w:after="0" w:line="919" w:lineRule="exact"/>
        <w:rPr>
          <w:sz w:val="20"/>
          <w:szCs w:val="20"/>
          <w:color w:val="auto"/>
        </w:rPr>
      </w:pPr>
    </w:p>
    <w:p>
      <w:pPr>
        <w:sectPr>
          <w:pgSz w:w="11900" w:h="16838" w:orient="portrait"/>
          <w:cols w:equalWidth="0" w:num="2">
            <w:col w:w="5425" w:space="720"/>
            <w:col w:w="5095"/>
          </w:cols>
          <w:pgMar w:left="320" w:top="796" w:right="339" w:bottom="1440" w:gutter="0" w:footer="0" w:header="0"/>
          <w:type w:val="continuous"/>
        </w:sectPr>
      </w:pPr>
    </w:p>
    <w:p>
      <w:pPr>
        <w:ind w:left="1180"/>
        <w:spacing w:after="0"/>
        <w:rPr>
          <w:sz w:val="20"/>
          <w:szCs w:val="20"/>
          <w:color w:val="auto"/>
        </w:rPr>
      </w:pPr>
      <w:r>
        <w:rPr>
          <w:rFonts w:ascii="Arial" w:cs="Arial" w:eastAsia="Arial" w:hAnsi="Arial"/>
          <w:sz w:val="23"/>
          <w:szCs w:val="23"/>
          <w:b w:val="1"/>
          <w:bCs w:val="1"/>
          <w:color w:val="5E779B"/>
        </w:rPr>
        <w:t>BOARD ROLE IN RISK OVERSIGHT</w:t>
      </w:r>
    </w:p>
    <w:p>
      <w:pPr>
        <w:spacing w:after="0" w:line="193" w:lineRule="exact"/>
        <w:rPr>
          <w:sz w:val="20"/>
          <w:szCs w:val="20"/>
          <w:color w:val="auto"/>
        </w:rPr>
      </w:pPr>
    </w:p>
    <w:p>
      <w:pPr>
        <w:ind w:left="1180" w:right="900"/>
        <w:spacing w:after="0" w:line="236" w:lineRule="auto"/>
        <w:rPr>
          <w:sz w:val="20"/>
          <w:szCs w:val="20"/>
          <w:color w:val="auto"/>
        </w:rPr>
      </w:pPr>
      <w:r>
        <w:rPr>
          <w:rFonts w:ascii="Arial" w:cs="Arial" w:eastAsia="Arial" w:hAnsi="Arial"/>
          <w:sz w:val="18"/>
          <w:szCs w:val="18"/>
          <w:color w:val="58595B"/>
        </w:rPr>
        <w:t>The board of directors administers its risk oversight function directly and through committees. The audit committee oversees FNF's financial reporting process, risk management program, including information technology and cybersecurity risk, ESG risk, legal and regulatory compliance, performance of the independent auditor, the internal audit function, and financial and disclosure controls. Management also reports quarterly to the audit committee and the board of directors regarding claims, and the audit committee receives quarterly reports on compliance matters. Our audit committee oversees our environmental sustainability policies and programs.</w:t>
      </w:r>
    </w:p>
    <w:p>
      <w:pPr>
        <w:spacing w:after="0" w:line="147" w:lineRule="exact"/>
        <w:rPr>
          <w:sz w:val="20"/>
          <w:szCs w:val="20"/>
          <w:color w:val="auto"/>
        </w:rPr>
      </w:pPr>
    </w:p>
    <w:p>
      <w:pPr>
        <w:ind w:left="1180" w:right="900"/>
        <w:spacing w:after="0" w:line="233" w:lineRule="auto"/>
        <w:rPr>
          <w:sz w:val="20"/>
          <w:szCs w:val="20"/>
          <w:color w:val="auto"/>
        </w:rPr>
      </w:pPr>
      <w:r>
        <w:rPr>
          <w:rFonts w:ascii="Arial" w:cs="Arial" w:eastAsia="Arial" w:hAnsi="Arial"/>
          <w:sz w:val="18"/>
          <w:szCs w:val="18"/>
          <w:color w:val="58595B"/>
        </w:rPr>
        <w:t>Our board has a strong focus on cybersecurity. Our approach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Mr. Ammerman, Ms. Morgan and Mr. Rood have attended third-party director education courses on cybersecurity and privacy issues and trends. Ms. Morgan has also attended continuing education courses on corporate governance, artificial intelligence and, in her role as President of the Las Vegas Raiders football club, diversity, equity and inclusion. Judge Dhanidina holds a certificate in Board Governance from the UCLA Anderson School of Management and certain of our other directors have attended various director continuing education programs.</w:t>
      </w:r>
    </w:p>
    <w:p>
      <w:pPr>
        <w:spacing w:after="0" w:line="143" w:lineRule="exact"/>
        <w:rPr>
          <w:sz w:val="20"/>
          <w:szCs w:val="20"/>
          <w:color w:val="auto"/>
        </w:rPr>
      </w:pPr>
    </w:p>
    <w:p>
      <w:pPr>
        <w:ind w:left="1180" w:right="1040"/>
        <w:spacing w:after="0" w:line="236" w:lineRule="auto"/>
        <w:rPr>
          <w:sz w:val="20"/>
          <w:szCs w:val="20"/>
          <w:color w:val="auto"/>
        </w:rPr>
      </w:pPr>
      <w:r>
        <w:rPr>
          <w:rFonts w:ascii="Arial" w:cs="Arial" w:eastAsia="Arial" w:hAnsi="Arial"/>
          <w:sz w:val="18"/>
          <w:szCs w:val="18"/>
          <w:color w:val="58595B"/>
        </w:rPr>
        <w:t>The related person transaction committee reviews and considers all transactions that arise under the RPT Policy. The compensation committee reviews and approves FNF's compensation and other benefit plans, policies and programs and considers whether any of those plans, policies or programs creates risks that are likely to have a material adverse effect on FNF. The corporate governance and nominating committee considers the adequacy of FNF's governance structures and policies. Each committee provides reports on its activities to the full board of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20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type w:val="continuous"/>
        </w:sectPr>
      </w:pPr>
    </w:p>
    <w:bookmarkStart w:id="24" w:name="page25"/>
    <w:bookmarkEnd w:id="24"/>
    <w:p>
      <w:pPr>
        <w:ind w:left="820" w:right="340"/>
        <w:spacing w:after="0" w:line="236" w:lineRule="auto"/>
        <w:rPr>
          <w:sz w:val="20"/>
          <w:szCs w:val="20"/>
          <w:color w:val="auto"/>
        </w:rPr>
      </w:pPr>
      <w:r>
        <w:rPr>
          <w:rFonts w:ascii="Arial" w:cs="Arial" w:eastAsia="Arial" w:hAnsi="Arial"/>
          <w:sz w:val="18"/>
          <w:szCs w:val="18"/>
          <w:color w:val="58595B"/>
        </w:rPr>
        <w:t>On an ongoing basis management identifies our strategic risks and aligns both our disclosure controls and procedures and our annual audit plan with the identified and addressable risks. Risks are evaluated over all timeframes, however the focus of management's risk assessment is on risks to the long-term viability of FNF. Risks with the potential for an adverse impact to the Company in the near term are prioritized to the extent they present a risk to the viability of the Company. Management presents updates on the current year progress of the Company's risk management program to the audit committee quarterly.</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79B"/>
        </w:rPr>
        <w:t>CONTACTING THE BOARD</w:t>
      </w:r>
    </w:p>
    <w:p>
      <w:pPr>
        <w:spacing w:after="0" w:line="193" w:lineRule="exact"/>
        <w:rPr>
          <w:sz w:val="20"/>
          <w:szCs w:val="20"/>
          <w:color w:val="auto"/>
        </w:rPr>
      </w:pPr>
    </w:p>
    <w:p>
      <w:pPr>
        <w:ind w:left="820" w:right="960"/>
        <w:spacing w:after="0" w:line="241" w:lineRule="auto"/>
        <w:rPr>
          <w:sz w:val="20"/>
          <w:szCs w:val="20"/>
          <w:color w:val="auto"/>
        </w:rPr>
      </w:pPr>
      <w:r>
        <w:rPr>
          <w:rFonts w:ascii="Arial" w:cs="Arial" w:eastAsia="Arial" w:hAnsi="Arial"/>
          <w:sz w:val="18"/>
          <w:szCs w:val="18"/>
          <w:color w:val="58595B"/>
        </w:rPr>
        <w:t>Any shareholder or other interested person who desires to contact any member of the board or the non-management members of the board as a group may do so by writing to: Board of Directors, c/o Corporate Secretary, Fidelity National Financial, Inc., 601 Riverside Avenue, Jacksonville, FL 32204. Communications received are distributed by the Corporate Secretary to the appropriate member or members of the board.</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33"/>
          <w:szCs w:val="33"/>
          <w:b w:val="1"/>
          <w:bCs w:val="1"/>
          <w:color w:val="264F78"/>
        </w:rPr>
        <w:t>CERTAIN INFORMATION ABOUT OUR DIRECTORS</w:t>
      </w:r>
    </w:p>
    <w:p>
      <w:pPr>
        <w:spacing w:after="0" w:line="200" w:lineRule="exact"/>
        <w:rPr>
          <w:sz w:val="20"/>
          <w:szCs w:val="20"/>
          <w:color w:val="auto"/>
        </w:rPr>
      </w:pPr>
    </w:p>
    <w:p>
      <w:pPr>
        <w:ind w:left="820" w:right="340"/>
        <w:spacing w:after="0" w:line="294" w:lineRule="auto"/>
        <w:rPr>
          <w:sz w:val="20"/>
          <w:szCs w:val="20"/>
          <w:color w:val="auto"/>
        </w:rPr>
      </w:pPr>
      <w:r>
        <w:rPr>
          <w:rFonts w:ascii="Arial" w:cs="Arial" w:eastAsia="Arial" w:hAnsi="Arial"/>
          <w:sz w:val="23"/>
          <w:szCs w:val="23"/>
          <w:b w:val="1"/>
          <w:bCs w:val="1"/>
          <w:color w:val="5E779B"/>
        </w:rPr>
        <w:t>DIRECTOR CRITERIA, QUALIFICATIONS AND EXPERIENCE AND PROCESS FOR SELECTING DIRECTORS</w:t>
      </w:r>
    </w:p>
    <w:p>
      <w:pPr>
        <w:spacing w:after="0" w:line="80" w:lineRule="exact"/>
        <w:rPr>
          <w:sz w:val="20"/>
          <w:szCs w:val="20"/>
          <w:color w:val="auto"/>
        </w:rPr>
      </w:pPr>
    </w:p>
    <w:p>
      <w:pPr>
        <w:ind w:left="820" w:right="380"/>
        <w:spacing w:after="0" w:line="234" w:lineRule="auto"/>
        <w:rPr>
          <w:sz w:val="20"/>
          <w:szCs w:val="20"/>
          <w:color w:val="auto"/>
        </w:rPr>
      </w:pPr>
      <w:r>
        <w:rPr>
          <w:rFonts w:ascii="Arial" w:cs="Arial" w:eastAsia="Arial" w:hAnsi="Arial"/>
          <w:sz w:val="18"/>
          <w:szCs w:val="18"/>
          <w:color w:val="58595B"/>
        </w:rPr>
        <w:t>FNF is a leading provider of title insurance, escrow and other title-related services, including trust activities, trustee sales guarantees, recordings and reconveyances and home warranty products, as well as transaction services to the real estate and mortgage industries. 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As of February 2026, the MBA expected mortgage originations to increase in 2026 when compared to 2025 as a result of an increase in refinance activity, followed by relatively flat mortgage origination markets in 2027 and 2028.</w:t>
      </w:r>
    </w:p>
    <w:p>
      <w:pPr>
        <w:spacing w:after="0" w:line="148" w:lineRule="exact"/>
        <w:rPr>
          <w:sz w:val="20"/>
          <w:szCs w:val="20"/>
          <w:color w:val="auto"/>
        </w:rPr>
      </w:pPr>
    </w:p>
    <w:p>
      <w:pPr>
        <w:ind w:left="820" w:right="400"/>
        <w:spacing w:after="0" w:line="247" w:lineRule="auto"/>
        <w:rPr>
          <w:sz w:val="20"/>
          <w:szCs w:val="20"/>
          <w:color w:val="auto"/>
        </w:rPr>
      </w:pPr>
      <w:r>
        <w:rPr>
          <w:rFonts w:ascii="Arial" w:cs="Arial" w:eastAsia="Arial" w:hAnsi="Arial"/>
          <w:sz w:val="18"/>
          <w:szCs w:val="18"/>
          <w:color w:val="58595B"/>
        </w:rPr>
        <w:t>We continually monitor mortgage origination trends and believe that, based on our ability to produce industry-leading operating margins through all economic cycles, we are well-positioned to adjust our operations for adverse changes in real estate activity and to take advantage of increased volume when demand increases.</w:t>
      </w:r>
    </w:p>
    <w:p>
      <w:pPr>
        <w:spacing w:after="0" w:line="137" w:lineRule="exact"/>
        <w:rPr>
          <w:sz w:val="20"/>
          <w:szCs w:val="20"/>
          <w:color w:val="auto"/>
        </w:rPr>
      </w:pPr>
    </w:p>
    <w:p>
      <w:pPr>
        <w:ind w:left="820" w:right="420"/>
        <w:spacing w:after="0" w:line="238" w:lineRule="auto"/>
        <w:rPr>
          <w:sz w:val="20"/>
          <w:szCs w:val="20"/>
          <w:color w:val="auto"/>
        </w:rPr>
      </w:pPr>
      <w:r>
        <w:rPr>
          <w:rFonts w:ascii="Arial" w:cs="Arial" w:eastAsia="Arial" w:hAnsi="Arial"/>
          <w:sz w:val="18"/>
          <w:szCs w:val="18"/>
          <w:color w:val="58595B"/>
        </w:rPr>
        <w:t>We are also a provider of annuity and life insurance products through our majority-owned subsidiary F&amp;G. F&amp;G provides a diversification of our cash and income streams away from title insurance and is expected to provide predictable counter-cyclical income that performs best in a rising long-term interest rate environment through an attractive retirement insurance business with strong growth tailwinds as demand for retirement insurance products are propelled by an aging demographic.</w:t>
      </w:r>
    </w:p>
    <w:p>
      <w:pPr>
        <w:spacing w:after="0" w:line="144" w:lineRule="exact"/>
        <w:rPr>
          <w:sz w:val="20"/>
          <w:szCs w:val="20"/>
          <w:color w:val="auto"/>
        </w:rPr>
      </w:pPr>
    </w:p>
    <w:p>
      <w:pPr>
        <w:ind w:left="820" w:right="580"/>
        <w:spacing w:after="0" w:line="241" w:lineRule="auto"/>
        <w:rPr>
          <w:sz w:val="20"/>
          <w:szCs w:val="20"/>
          <w:color w:val="auto"/>
        </w:rPr>
      </w:pPr>
      <w:r>
        <w:rPr>
          <w:rFonts w:ascii="Arial" w:cs="Arial" w:eastAsia="Arial" w:hAnsi="Arial"/>
          <w:sz w:val="18"/>
          <w:szCs w:val="18"/>
          <w:color w:val="58595B"/>
        </w:rPr>
        <w:t>F&amp;G is a great example of our long history of making strategic investments and acquisitions in other companies, both within and outside of our core title business, and driving shareholder value creation through identifying cost savings, undertaking strategy shifts, eliminating siloed organizational structures and accelerating product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103505</wp:posOffset>
            </wp:positionV>
            <wp:extent cx="7144385" cy="297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21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672465</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25" w:name="page26"/>
    <w:bookmarkEnd w:id="25"/>
    <w:p>
      <w:pPr>
        <w:ind w:left="1180" w:right="1020"/>
        <w:spacing w:after="0" w:line="235" w:lineRule="auto"/>
        <w:rPr>
          <w:sz w:val="20"/>
          <w:szCs w:val="20"/>
          <w:color w:val="auto"/>
        </w:rPr>
      </w:pPr>
      <w:r>
        <w:rPr>
          <w:rFonts w:ascii="Arial" w:cs="Arial" w:eastAsia="Arial" w:hAnsi="Arial"/>
          <w:sz w:val="18"/>
          <w:szCs w:val="18"/>
          <w:color w:val="58595B"/>
        </w:rPr>
        <w:t>In 2026, our board and management team will continue to focus on the organic growth of our core title operations while carefully managing expenses to address any changes in the mortgage industry in the current economic and political environment, including impacts from the difficulty of predicting long-term title market and economic conditions, uncertainty related to geopolitical conflicts and unrest, an uncertain long-term regulatory environment and other factors that could impact our long-term growth and performance. The board and management team, especially Messrs. Foley, Ammerman, Nolan, Quirk and Rood who serve on the F&amp;G board, will also be focused on the successful execution of F&amp;G's strategic plan.</w:t>
      </w:r>
    </w:p>
    <w:p>
      <w:pPr>
        <w:spacing w:after="0" w:line="146" w:lineRule="exact"/>
        <w:rPr>
          <w:sz w:val="20"/>
          <w:szCs w:val="20"/>
          <w:color w:val="auto"/>
        </w:rPr>
      </w:pPr>
    </w:p>
    <w:p>
      <w:pPr>
        <w:ind w:left="1180" w:right="1000"/>
        <w:spacing w:after="0" w:line="236" w:lineRule="auto"/>
        <w:rPr>
          <w:sz w:val="20"/>
          <w:szCs w:val="20"/>
          <w:color w:val="auto"/>
        </w:rPr>
      </w:pPr>
      <w:r>
        <w:rPr>
          <w:rFonts w:ascii="Arial" w:cs="Arial" w:eastAsia="Arial" w:hAnsi="Arial"/>
          <w:sz w:val="18"/>
          <w:szCs w:val="18"/>
          <w:color w:val="58595B"/>
        </w:rPr>
        <w:t>Our board and the corporate governance and nominating committee are committed to including the best available candidates for nomination for election to our board based on merit. Certain of our directors have attended director continuing education programs on various matters including cybersecurity and corporate governance. Our board and our corporate governance and nominating committee periodically evaluate our board's composition with the goal of developing a board that meets our strategic goals, and one that includes diverse, experienced and highly qualified individuals.</w:t>
      </w:r>
    </w:p>
    <w:p>
      <w:pPr>
        <w:spacing w:after="0" w:line="147" w:lineRule="exact"/>
        <w:rPr>
          <w:sz w:val="20"/>
          <w:szCs w:val="20"/>
          <w:color w:val="auto"/>
        </w:rPr>
      </w:pPr>
    </w:p>
    <w:p>
      <w:pPr>
        <w:ind w:left="1180" w:right="980"/>
        <w:spacing w:after="0" w:line="236" w:lineRule="auto"/>
        <w:rPr>
          <w:sz w:val="20"/>
          <w:szCs w:val="20"/>
          <w:color w:val="auto"/>
        </w:rPr>
      </w:pPr>
      <w:r>
        <w:rPr>
          <w:rFonts w:ascii="Arial" w:cs="Arial" w:eastAsia="Arial" w:hAnsi="Arial"/>
          <w:sz w:val="18"/>
          <w:szCs w:val="18"/>
          <w:color w:val="58595B"/>
        </w:rPr>
        <w:t>The corporate governance and nominating committee does not set specific, minimum qualifications that nominees must meet for the committee to recommend them to the board, but rather believes that each nominee should be evaluated based on his or her individual merits, taking into account our needs and the overall composition of the board. In accordance with our Corporate Governance Guidelines, the corporate governance and nominating committee considers, among other things, the following criteria in fulfilling its duty to recommend nominees for election as directors:</w:t>
      </w:r>
    </w:p>
    <w:p>
      <w:pPr>
        <w:spacing w:after="0" w:line="147" w:lineRule="exact"/>
        <w:rPr>
          <w:sz w:val="20"/>
          <w:szCs w:val="20"/>
          <w:color w:val="auto"/>
        </w:rPr>
      </w:pPr>
    </w:p>
    <w:p>
      <w:pPr>
        <w:ind w:left="1640" w:hanging="286"/>
        <w:spacing w:after="0"/>
        <w:tabs>
          <w:tab w:leader="none" w:pos="1640" w:val="left"/>
        </w:tabs>
        <w:numPr>
          <w:ilvl w:val="0"/>
          <w:numId w:val="38"/>
        </w:numPr>
        <w:rPr>
          <w:rFonts w:ascii="Arial" w:cs="Arial" w:eastAsia="Arial" w:hAnsi="Arial"/>
          <w:sz w:val="18"/>
          <w:szCs w:val="18"/>
          <w:color w:val="58595B"/>
        </w:rPr>
      </w:pPr>
      <w:r>
        <w:rPr>
          <w:rFonts w:ascii="Arial" w:cs="Arial" w:eastAsia="Arial" w:hAnsi="Arial"/>
          <w:sz w:val="18"/>
          <w:szCs w:val="18"/>
          <w:color w:val="58595B"/>
        </w:rPr>
        <w:t>Personal qualities and characteristics, accomplishments and reputation in the business community;</w:t>
      </w:r>
    </w:p>
    <w:p>
      <w:pPr>
        <w:spacing w:after="0" w:line="175" w:lineRule="exact"/>
        <w:rPr>
          <w:rFonts w:ascii="Arial" w:cs="Arial" w:eastAsia="Arial" w:hAnsi="Arial"/>
          <w:sz w:val="18"/>
          <w:szCs w:val="18"/>
          <w:color w:val="58595B"/>
        </w:rPr>
      </w:pPr>
    </w:p>
    <w:p>
      <w:pPr>
        <w:ind w:left="1640" w:right="420" w:hanging="286"/>
        <w:spacing w:after="0" w:line="266" w:lineRule="auto"/>
        <w:tabs>
          <w:tab w:leader="none" w:pos="1640" w:val="left"/>
        </w:tabs>
        <w:numPr>
          <w:ilvl w:val="0"/>
          <w:numId w:val="38"/>
        </w:numPr>
        <w:rPr>
          <w:rFonts w:ascii="Arial" w:cs="Arial" w:eastAsia="Arial" w:hAnsi="Arial"/>
          <w:sz w:val="18"/>
          <w:szCs w:val="18"/>
          <w:color w:val="58595B"/>
        </w:rPr>
      </w:pPr>
      <w:r>
        <w:rPr>
          <w:rFonts w:ascii="Arial" w:cs="Arial" w:eastAsia="Arial" w:hAnsi="Arial"/>
          <w:sz w:val="18"/>
          <w:szCs w:val="18"/>
          <w:color w:val="58595B"/>
        </w:rPr>
        <w:t>Current knowledge and contacts in the communities in which we do business and in our industry or other industries relevant to our business;</w:t>
      </w:r>
    </w:p>
    <w:p>
      <w:pPr>
        <w:spacing w:after="0" w:line="120" w:lineRule="exact"/>
        <w:rPr>
          <w:rFonts w:ascii="Arial" w:cs="Arial" w:eastAsia="Arial" w:hAnsi="Arial"/>
          <w:sz w:val="18"/>
          <w:szCs w:val="18"/>
          <w:color w:val="58595B"/>
        </w:rPr>
      </w:pPr>
    </w:p>
    <w:p>
      <w:pPr>
        <w:ind w:left="1640" w:hanging="286"/>
        <w:spacing w:after="0"/>
        <w:tabs>
          <w:tab w:leader="none" w:pos="1640" w:val="left"/>
        </w:tabs>
        <w:numPr>
          <w:ilvl w:val="0"/>
          <w:numId w:val="38"/>
        </w:numPr>
        <w:rPr>
          <w:rFonts w:ascii="Arial" w:cs="Arial" w:eastAsia="Arial" w:hAnsi="Arial"/>
          <w:sz w:val="18"/>
          <w:szCs w:val="18"/>
          <w:color w:val="58595B"/>
        </w:rPr>
      </w:pPr>
      <w:r>
        <w:rPr>
          <w:rFonts w:ascii="Arial" w:cs="Arial" w:eastAsia="Arial" w:hAnsi="Arial"/>
          <w:sz w:val="18"/>
          <w:szCs w:val="18"/>
          <w:color w:val="58595B"/>
        </w:rPr>
        <w:t>Ability and willingness to commit adequate time to the board and committee matters;</w:t>
      </w:r>
    </w:p>
    <w:p>
      <w:pPr>
        <w:spacing w:after="0" w:line="175" w:lineRule="exact"/>
        <w:rPr>
          <w:rFonts w:ascii="Arial" w:cs="Arial" w:eastAsia="Arial" w:hAnsi="Arial"/>
          <w:sz w:val="18"/>
          <w:szCs w:val="18"/>
          <w:color w:val="58595B"/>
        </w:rPr>
      </w:pPr>
    </w:p>
    <w:p>
      <w:pPr>
        <w:ind w:left="1640" w:right="320" w:hanging="286"/>
        <w:spacing w:after="0" w:line="266" w:lineRule="auto"/>
        <w:tabs>
          <w:tab w:leader="none" w:pos="1640" w:val="left"/>
        </w:tabs>
        <w:numPr>
          <w:ilvl w:val="0"/>
          <w:numId w:val="38"/>
        </w:numPr>
        <w:rPr>
          <w:rFonts w:ascii="Arial" w:cs="Arial" w:eastAsia="Arial" w:hAnsi="Arial"/>
          <w:sz w:val="18"/>
          <w:szCs w:val="18"/>
          <w:color w:val="58595B"/>
        </w:rPr>
      </w:pPr>
      <w:r>
        <w:rPr>
          <w:rFonts w:ascii="Arial" w:cs="Arial" w:eastAsia="Arial" w:hAnsi="Arial"/>
          <w:sz w:val="18"/>
          <w:szCs w:val="18"/>
          <w:color w:val="58595B"/>
        </w:rPr>
        <w:t>The fit of the individual's skills and personality with those of other directors and potential directors in building a board that is effective, collegial and responsive to our needs; and</w:t>
      </w:r>
    </w:p>
    <w:p>
      <w:pPr>
        <w:spacing w:after="0" w:line="120" w:lineRule="exact"/>
        <w:rPr>
          <w:rFonts w:ascii="Arial" w:cs="Arial" w:eastAsia="Arial" w:hAnsi="Arial"/>
          <w:sz w:val="18"/>
          <w:szCs w:val="18"/>
          <w:color w:val="58595B"/>
        </w:rPr>
      </w:pPr>
    </w:p>
    <w:p>
      <w:pPr>
        <w:ind w:left="1640" w:right="420" w:hanging="286"/>
        <w:spacing w:after="0" w:line="266" w:lineRule="auto"/>
        <w:tabs>
          <w:tab w:leader="none" w:pos="1640" w:val="left"/>
        </w:tabs>
        <w:numPr>
          <w:ilvl w:val="0"/>
          <w:numId w:val="38"/>
        </w:numPr>
        <w:rPr>
          <w:rFonts w:ascii="Arial" w:cs="Arial" w:eastAsia="Arial" w:hAnsi="Arial"/>
          <w:sz w:val="18"/>
          <w:szCs w:val="18"/>
          <w:color w:val="58595B"/>
        </w:rPr>
      </w:pPr>
      <w:r>
        <w:rPr>
          <w:rFonts w:ascii="Arial" w:cs="Arial" w:eastAsia="Arial" w:hAnsi="Arial"/>
          <w:sz w:val="18"/>
          <w:szCs w:val="18"/>
          <w:color w:val="58595B"/>
        </w:rPr>
        <w:t>Diversity of viewpoints, background, experience, and other demographics, and all aspects of diversity to enable the Board to perform its duties and responsibilities effectively.</w:t>
      </w:r>
    </w:p>
    <w:p>
      <w:pPr>
        <w:spacing w:after="0" w:line="120" w:lineRule="exact"/>
        <w:rPr>
          <w:sz w:val="20"/>
          <w:szCs w:val="20"/>
          <w:color w:val="auto"/>
        </w:rPr>
      </w:pPr>
    </w:p>
    <w:p>
      <w:pPr>
        <w:ind w:left="1180" w:right="940"/>
        <w:spacing w:after="0" w:line="247" w:lineRule="auto"/>
        <w:rPr>
          <w:sz w:val="20"/>
          <w:szCs w:val="20"/>
          <w:color w:val="auto"/>
        </w:rPr>
      </w:pPr>
      <w:r>
        <w:rPr>
          <w:rFonts w:ascii="Arial" w:cs="Arial" w:eastAsia="Arial" w:hAnsi="Arial"/>
          <w:sz w:val="18"/>
          <w:szCs w:val="18"/>
          <w:color w:val="58595B"/>
        </w:rPr>
        <w:t>Each year in connection with the nomination of candidates for election to the board, the corporate governance and nominating committee evaluates the background of each candidate, including any candidates that may be submitted by shareholders.</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79B"/>
        </w:rPr>
        <w:t>BOARD COMPOSITION, TENURE AND RECENT REFRESHMENT</w:t>
      </w:r>
    </w:p>
    <w:p>
      <w:pPr>
        <w:spacing w:after="0" w:line="193" w:lineRule="exact"/>
        <w:rPr>
          <w:sz w:val="20"/>
          <w:szCs w:val="20"/>
          <w:color w:val="auto"/>
        </w:rPr>
      </w:pPr>
    </w:p>
    <w:p>
      <w:pPr>
        <w:ind w:left="1180" w:right="900"/>
        <w:spacing w:after="0" w:line="234" w:lineRule="auto"/>
        <w:rPr>
          <w:sz w:val="20"/>
          <w:szCs w:val="20"/>
          <w:color w:val="auto"/>
        </w:rPr>
      </w:pPr>
      <w:r>
        <w:rPr>
          <w:rFonts w:ascii="Arial" w:cs="Arial" w:eastAsia="Arial" w:hAnsi="Arial"/>
          <w:sz w:val="18"/>
          <w:szCs w:val="18"/>
          <w:color w:val="58595B"/>
        </w:rPr>
        <w:t>We believe that the current composition of our board serves us well and that our current directors possess relevant experience, skills and qualifications that contribute to a well-functioning board that effectively oversees our long-term strategy. As the need arises, we selectively add new board members who have important skill sets, experience or diversity of viewpoint. For example, in 2020, our board elected Sandra D. Morgan to serve as a director. Ms. Morgan brings to our board a strong legal and regulatory background as an attorney and former Chair of the Nevada Gaming Control Board. In 2021, we added the Honorable Halim Dhanidina, who has a strong legal background and understanding of the regulatory landscape and corporate governance. Both Ms. Morgan and Judge Dhanidina add to the diversity of our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22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6" w:name="page27"/>
    <w:bookmarkEnd w:id="26"/>
    <w:p>
      <w:pPr>
        <w:ind w:left="820" w:right="1040"/>
        <w:spacing w:after="0" w:line="235" w:lineRule="auto"/>
        <w:rPr>
          <w:sz w:val="20"/>
          <w:szCs w:val="20"/>
          <w:color w:val="auto"/>
        </w:rPr>
      </w:pPr>
      <w:r>
        <w:rPr>
          <w:rFonts w:ascii="Arial" w:cs="Arial" w:eastAsia="Arial" w:hAnsi="Arial"/>
          <w:sz w:val="18"/>
          <w:szCs w:val="18"/>
          <w:color w:val="58595B"/>
        </w:rPr>
        <w:t>board. Our board is composed of a mix of directors, some of whom have served on our board since our initial public offering and have a strong understanding of our business, operational and strategic goals, as well as our industry and the risks we face, and others who have joined our board in more recent years and bring new skills, experience and perspectives to our board. We recognize the importance of having directors with a longevity of service and deep understanding of our business to our ability to effectively execute on our long-term strategy as we selectively identify new highly talented directors to broaden the skills and experience of our board as a whole and add new and diverse viewpoints.</w:t>
      </w:r>
    </w:p>
    <w:p>
      <w:pPr>
        <w:spacing w:after="0" w:line="146" w:lineRule="exact"/>
        <w:rPr>
          <w:sz w:val="20"/>
          <w:szCs w:val="20"/>
          <w:color w:val="auto"/>
        </w:rPr>
      </w:pPr>
    </w:p>
    <w:p>
      <w:pPr>
        <w:ind w:left="820" w:right="820"/>
        <w:spacing w:after="0" w:line="236" w:lineRule="auto"/>
        <w:rPr>
          <w:sz w:val="20"/>
          <w:szCs w:val="20"/>
          <w:color w:val="auto"/>
        </w:rPr>
      </w:pPr>
      <w:r>
        <w:rPr>
          <w:rFonts w:ascii="Arial" w:cs="Arial" w:eastAsia="Arial" w:hAnsi="Arial"/>
          <w:sz w:val="18"/>
          <w:szCs w:val="18"/>
          <w:color w:val="58595B"/>
        </w:rPr>
        <w:t>Our corporate governance and nominating committee regularly examines ways that it can foster the diversity of our board across many dimensions to maintain its ability to operate at a high-functioning level and to reflect the board's commitment to inclusiveness. In connection with this examination, our corporate governance and nominating committee considers a variety of skills, qualifications and other factors, including age, gender, nationality, race, ethnicity, and sexual orientation as a part of the criteria the committee may consider when selecting nominees for election to the board, all in the context of the needs of our board at any given point in time.</w:t>
      </w:r>
    </w:p>
    <w:p>
      <w:pPr>
        <w:spacing w:after="0" w:line="147" w:lineRule="exact"/>
        <w:rPr>
          <w:sz w:val="20"/>
          <w:szCs w:val="20"/>
          <w:color w:val="auto"/>
        </w:rPr>
      </w:pPr>
    </w:p>
    <w:p>
      <w:pPr>
        <w:ind w:left="820" w:right="1500"/>
        <w:spacing w:after="0" w:line="266" w:lineRule="auto"/>
        <w:rPr>
          <w:sz w:val="20"/>
          <w:szCs w:val="20"/>
          <w:color w:val="auto"/>
        </w:rPr>
      </w:pPr>
      <w:r>
        <w:rPr>
          <w:rFonts w:ascii="Arial" w:cs="Arial" w:eastAsia="Arial" w:hAnsi="Arial"/>
          <w:sz w:val="18"/>
          <w:szCs w:val="18"/>
          <w:color w:val="58595B"/>
        </w:rPr>
        <w:t>As of January 1, 2026, two of our 11 directors are gender diverse and two of our 11 directors are of diverse race/ethnicity.</w:t>
      </w:r>
    </w:p>
    <w:p>
      <w:pPr>
        <w:spacing w:after="0" w:line="120" w:lineRule="exact"/>
        <w:rPr>
          <w:sz w:val="20"/>
          <w:szCs w:val="20"/>
          <w:color w:val="auto"/>
        </w:rPr>
      </w:pPr>
    </w:p>
    <w:p>
      <w:pPr>
        <w:jc w:val="both"/>
        <w:ind w:left="820" w:right="980"/>
        <w:spacing w:after="0" w:line="235" w:lineRule="auto"/>
        <w:rPr>
          <w:sz w:val="20"/>
          <w:szCs w:val="20"/>
          <w:color w:val="auto"/>
        </w:rPr>
      </w:pPr>
      <w:r>
        <w:rPr>
          <w:rFonts w:ascii="Arial" w:cs="Arial" w:eastAsia="Arial" w:hAnsi="Arial"/>
          <w:sz w:val="18"/>
          <w:szCs w:val="18"/>
          <w:color w:val="58595B"/>
        </w:rPr>
        <w:t>Our corporate governance and nominating committee also considers whether our directors have sufficient time to devote to service on our board. Mr. Foley, who also serves as Vice Chairman of Cannae and as Chairman of the boards of several other public companies, provides high-value added services to our Company and board. Mr.</w:t>
      </w:r>
    </w:p>
    <w:p>
      <w:pPr>
        <w:spacing w:after="0" w:line="1" w:lineRule="exact"/>
        <w:rPr>
          <w:sz w:val="20"/>
          <w:szCs w:val="20"/>
          <w:color w:val="auto"/>
        </w:rPr>
      </w:pPr>
    </w:p>
    <w:p>
      <w:pPr>
        <w:ind w:left="820" w:right="940"/>
        <w:spacing w:after="0" w:line="233" w:lineRule="auto"/>
        <w:rPr>
          <w:sz w:val="20"/>
          <w:szCs w:val="20"/>
          <w:color w:val="auto"/>
        </w:rPr>
      </w:pPr>
      <w:r>
        <w:rPr>
          <w:rFonts w:ascii="Arial" w:cs="Arial" w:eastAsia="Arial" w:hAnsi="Arial"/>
          <w:sz w:val="18"/>
          <w:szCs w:val="18"/>
          <w:color w:val="58595B"/>
        </w:rPr>
        <w:t>Foley is a founder of FNF and has served as Chairman of our board of directors since 1984. He served as our Chief Executive Officer until May 2007 and as President of FNF until December 1994. He has unparalleled knowledge of our business, industry and customers that is invaluable to our Company and our board as we continually evaluate, evolve and execute on our long-term strategy. Mr. Foley has a strong track record of building and maintaining shareholder value and successfully negotiating and executing mergers, acquisitions and other strategic transactions.</w:t>
      </w:r>
    </w:p>
    <w:p>
      <w:pPr>
        <w:spacing w:after="0" w:line="144" w:lineRule="exact"/>
        <w:rPr>
          <w:sz w:val="20"/>
          <w:szCs w:val="20"/>
          <w:color w:val="auto"/>
        </w:rPr>
      </w:pPr>
    </w:p>
    <w:p>
      <w:pPr>
        <w:ind w:left="820" w:right="820"/>
        <w:spacing w:after="0" w:line="238" w:lineRule="auto"/>
        <w:rPr>
          <w:sz w:val="20"/>
          <w:szCs w:val="20"/>
          <w:color w:val="auto"/>
        </w:rPr>
      </w:pPr>
      <w:r>
        <w:rPr>
          <w:rFonts w:ascii="Arial" w:cs="Arial" w:eastAsia="Arial" w:hAnsi="Arial"/>
          <w:sz w:val="18"/>
          <w:szCs w:val="18"/>
          <w:color w:val="58595B"/>
        </w:rPr>
        <w:t>Mr. Foley's service as Executive Chairman of F&amp;G is part of our board's strategy for the long-term success of F&amp;G as our majority-owned subsidiary and we believe his service in that role will drive long-term value for both our shareholders and F&amp;G shareholders. Based on these factors and Mr. Foley's unique skills and history with FNF, we believe he has sufficient time to devote to his service as non-executive Chairman of FNF and that his continued involvement in our strategy and execution is an important factor in our long-term and future success.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79B"/>
        </w:rPr>
        <w:t>PROXY ACCESS</w:t>
      </w:r>
    </w:p>
    <w:p>
      <w:pPr>
        <w:spacing w:after="0" w:line="193" w:lineRule="exact"/>
        <w:rPr>
          <w:sz w:val="20"/>
          <w:szCs w:val="20"/>
          <w:color w:val="auto"/>
        </w:rPr>
      </w:pPr>
    </w:p>
    <w:p>
      <w:pPr>
        <w:ind w:left="820" w:right="980"/>
        <w:spacing w:after="0" w:line="247" w:lineRule="auto"/>
        <w:rPr>
          <w:sz w:val="20"/>
          <w:szCs w:val="20"/>
          <w:color w:val="auto"/>
        </w:rPr>
      </w:pPr>
      <w:r>
        <w:rPr>
          <w:rFonts w:ascii="Arial" w:cs="Arial" w:eastAsia="Arial" w:hAnsi="Arial"/>
          <w:sz w:val="18"/>
          <w:szCs w:val="18"/>
          <w:color w:val="58595B"/>
        </w:rPr>
        <w:t>Our bylaws include a "proxy access" procedure for shareholder director nominations. Pursuant to Section 2.13(e) of our bylaws, a shareholder, or a group of up to 25 shareholders, may include in our proxy materials director nominees constituting up to two individuals or 20% of our board, whichever is greater, provided that:</w:t>
      </w:r>
    </w:p>
    <w:p>
      <w:pPr>
        <w:spacing w:after="0" w:line="137" w:lineRule="exact"/>
        <w:rPr>
          <w:sz w:val="20"/>
          <w:szCs w:val="20"/>
          <w:color w:val="auto"/>
        </w:rPr>
      </w:pPr>
    </w:p>
    <w:p>
      <w:pPr>
        <w:ind w:left="1280" w:hanging="286"/>
        <w:spacing w:after="0" w:line="266" w:lineRule="auto"/>
        <w:tabs>
          <w:tab w:leader="none" w:pos="1280" w:val="left"/>
        </w:tabs>
        <w:numPr>
          <w:ilvl w:val="0"/>
          <w:numId w:val="39"/>
        </w:numPr>
        <w:rPr>
          <w:rFonts w:ascii="Arial" w:cs="Arial" w:eastAsia="Arial" w:hAnsi="Arial"/>
          <w:sz w:val="18"/>
          <w:szCs w:val="18"/>
          <w:color w:val="58595B"/>
        </w:rPr>
      </w:pPr>
      <w:r>
        <w:rPr>
          <w:rFonts w:ascii="Arial" w:cs="Arial" w:eastAsia="Arial" w:hAnsi="Arial"/>
          <w:sz w:val="18"/>
          <w:szCs w:val="18"/>
          <w:color w:val="58595B"/>
        </w:rPr>
        <w:t>The nominating shareholder(s) own several shares representing 3% or more of the total voting power of the Company's outstanding shares of capital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90170</wp:posOffset>
            </wp:positionV>
            <wp:extent cx="7144385" cy="297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11"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23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695960</wp:posOffset>
            </wp:positionV>
            <wp:extent cx="7144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20"/>
          </w:cols>
          <w:pgMar w:left="680" w:top="796" w:right="399" w:bottom="1440" w:gutter="0" w:footer="0" w:header="0"/>
        </w:sectPr>
      </w:pPr>
    </w:p>
    <w:bookmarkStart w:id="27" w:name="page28"/>
    <w:bookmarkEnd w:id="27"/>
    <w:p>
      <w:pPr>
        <w:ind w:left="1640" w:hanging="286"/>
        <w:spacing w:after="0"/>
        <w:tabs>
          <w:tab w:leader="none" w:pos="1640" w:val="left"/>
        </w:tabs>
        <w:numPr>
          <w:ilvl w:val="0"/>
          <w:numId w:val="40"/>
        </w:numPr>
        <w:rPr>
          <w:rFonts w:ascii="Arial" w:cs="Arial" w:eastAsia="Arial" w:hAnsi="Arial"/>
          <w:sz w:val="18"/>
          <w:szCs w:val="18"/>
          <w:color w:val="58595B"/>
        </w:rPr>
      </w:pPr>
      <w:r>
        <w:rPr>
          <w:rFonts w:ascii="Arial" w:cs="Arial" w:eastAsia="Arial" w:hAnsi="Arial"/>
          <w:sz w:val="18"/>
          <w:szCs w:val="18"/>
          <w:color w:val="58595B"/>
        </w:rPr>
        <w:t>The nominating shareholder(s) have owned that number of shares continuously for at least three years; and</w:t>
      </w:r>
    </w:p>
    <w:p>
      <w:pPr>
        <w:spacing w:after="0" w:line="175" w:lineRule="exact"/>
        <w:rPr>
          <w:rFonts w:ascii="Arial" w:cs="Arial" w:eastAsia="Arial" w:hAnsi="Arial"/>
          <w:sz w:val="18"/>
          <w:szCs w:val="18"/>
          <w:color w:val="58595B"/>
        </w:rPr>
      </w:pPr>
    </w:p>
    <w:p>
      <w:pPr>
        <w:ind w:left="1640" w:right="260" w:hanging="286"/>
        <w:spacing w:after="0" w:line="266" w:lineRule="auto"/>
        <w:tabs>
          <w:tab w:leader="none" w:pos="1640" w:val="left"/>
        </w:tabs>
        <w:numPr>
          <w:ilvl w:val="0"/>
          <w:numId w:val="40"/>
        </w:numPr>
        <w:rPr>
          <w:rFonts w:ascii="Arial" w:cs="Arial" w:eastAsia="Arial" w:hAnsi="Arial"/>
          <w:sz w:val="18"/>
          <w:szCs w:val="18"/>
          <w:color w:val="58595B"/>
        </w:rPr>
      </w:pPr>
      <w:r>
        <w:rPr>
          <w:rFonts w:ascii="Arial" w:cs="Arial" w:eastAsia="Arial" w:hAnsi="Arial"/>
          <w:sz w:val="18"/>
          <w:szCs w:val="18"/>
          <w:color w:val="58595B"/>
        </w:rPr>
        <w:t>The nominating shareholder(s) and their director nominee(s) otherwise satisfy the applicable requirements of Section 2.13(e) of our bylaws.</w:t>
      </w:r>
    </w:p>
    <w:p>
      <w:pPr>
        <w:spacing w:after="0" w:line="120" w:lineRule="exact"/>
        <w:rPr>
          <w:sz w:val="20"/>
          <w:szCs w:val="20"/>
          <w:color w:val="auto"/>
        </w:rPr>
      </w:pPr>
    </w:p>
    <w:p>
      <w:pPr>
        <w:ind w:left="1180" w:right="880"/>
        <w:spacing w:after="0" w:line="235" w:lineRule="auto"/>
        <w:rPr>
          <w:sz w:val="20"/>
          <w:szCs w:val="20"/>
          <w:color w:val="auto"/>
        </w:rPr>
      </w:pPr>
      <w:r>
        <w:rPr>
          <w:rFonts w:ascii="Arial" w:cs="Arial" w:eastAsia="Arial" w:hAnsi="Arial"/>
          <w:sz w:val="18"/>
          <w:szCs w:val="18"/>
          <w:color w:val="58595B"/>
        </w:rPr>
        <w:t>The corporate governance and nominating committee considers qualified candidates suggested by current directors, management and our shareholders. A shareholder who wishes to suggest a qualified candidate for director to the corporate governance and nominating committee but does not meet the requirements described above may do so by writing to our Corporate Secretary at 601 Riverside Avenue, Jacksonville, Florida 32204. The submission must provide the information required by, and otherwise comply with the procedures set forth in, Section 3.1 of our bylaws. Section 3.1 also requires that the nomination notice be submitted by a prescribed time in advance of the meeting. See "Shareholder Proposals and Nominations" below.</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79B"/>
        </w:rPr>
        <w:t>INFORMATION ABOUT THE DIRECTOR NOMINEES AND CONTINUING DIRECTORS</w:t>
      </w:r>
    </w:p>
    <w:p>
      <w:pPr>
        <w:spacing w:after="0" w:line="193" w:lineRule="exact"/>
        <w:rPr>
          <w:sz w:val="20"/>
          <w:szCs w:val="20"/>
          <w:color w:val="auto"/>
        </w:rPr>
      </w:pPr>
    </w:p>
    <w:p>
      <w:pPr>
        <w:ind w:left="1180" w:right="920"/>
        <w:spacing w:after="0" w:line="241" w:lineRule="auto"/>
        <w:rPr>
          <w:sz w:val="20"/>
          <w:szCs w:val="20"/>
          <w:color w:val="auto"/>
        </w:rPr>
      </w:pPr>
      <w:r>
        <w:rPr>
          <w:rFonts w:ascii="Arial" w:cs="Arial" w:eastAsia="Arial" w:hAnsi="Arial"/>
          <w:sz w:val="18"/>
          <w:szCs w:val="18"/>
          <w:color w:val="58595B"/>
        </w:rPr>
        <w:t>The matrix on the next page lists the skills and experience that we consider most important for our directors in light of our current business and structure. In addition, biographical information concerning our nominees proposed for election at the annual meeting as Class III directors of the Company, as well as our continuing Class I and Class II directors, including each director's relevant experience, qualifications, skills and diversity, is included.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24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28" w:name="page29"/>
    <w:bookmarkEnd w:id="28"/>
    <w:p>
      <w:pPr>
        <w:spacing w:after="0" w:line="1" w:lineRule="exact"/>
        <w:rPr>
          <w:sz w:val="20"/>
          <w:szCs w:val="20"/>
          <w:color w:val="auto"/>
        </w:rPr>
      </w:pPr>
    </w:p>
    <w:tbl>
      <w:tblPr>
        <w:tblLayout w:type="fixed"/>
        <w:tblInd w:w="830" w:type="dxa"/>
        <w:tblCellMar>
          <w:top w:w="0" w:type="dxa"/>
          <w:left w:w="0" w:type="dxa"/>
          <w:bottom w:w="0" w:type="dxa"/>
          <w:right w:w="0" w:type="dxa"/>
        </w:tblCellMar>
      </w:tblPr>
      <w:tr>
        <w:trPr>
          <w:trHeight w:val="308"/>
        </w:trPr>
        <w:tc>
          <w:tcPr>
            <w:tcW w:w="1920" w:type="dxa"/>
            <w:vAlign w:val="bottom"/>
            <w:tcBorders>
              <w:right w:val="single" w:sz="8" w:color="58595B"/>
            </w:tcBorders>
          </w:tcPr>
          <w:p>
            <w:pPr>
              <w:spacing w:after="0"/>
              <w:rPr>
                <w:sz w:val="24"/>
                <w:szCs w:val="24"/>
                <w:color w:val="auto"/>
              </w:rPr>
            </w:pPr>
          </w:p>
        </w:tc>
        <w:tc>
          <w:tcPr>
            <w:tcW w:w="66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68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72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2200" w:type="dxa"/>
            <w:vAlign w:val="bottom"/>
            <w:tcBorders>
              <w:top w:val="single" w:sz="8" w:color="231F20"/>
              <w:bottom w:val="single" w:sz="8" w:color="274F78"/>
              <w:right w:val="single" w:sz="8" w:color="274F78"/>
            </w:tcBorders>
            <w:gridSpan w:val="4"/>
            <w:shd w:val="clear" w:color="auto" w:fill="274F78"/>
          </w:tcPr>
          <w:p>
            <w:pPr>
              <w:ind w:left="520"/>
              <w:spacing w:after="0"/>
              <w:rPr>
                <w:sz w:val="20"/>
                <w:szCs w:val="20"/>
                <w:color w:val="auto"/>
              </w:rPr>
            </w:pPr>
            <w:r>
              <w:rPr>
                <w:rFonts w:ascii="Arial" w:cs="Arial" w:eastAsia="Arial" w:hAnsi="Arial"/>
                <w:sz w:val="11"/>
                <w:szCs w:val="11"/>
                <w:b w:val="1"/>
                <w:bCs w:val="1"/>
                <w:color w:val="FFFFFF"/>
              </w:rPr>
              <w:t>BOARD OF DIRECTORS</w:t>
            </w:r>
          </w:p>
        </w:tc>
        <w:tc>
          <w:tcPr>
            <w:tcW w:w="54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44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580" w:type="dxa"/>
            <w:vAlign w:val="bottom"/>
            <w:tcBorders>
              <w:top w:val="single" w:sz="8" w:color="231F20"/>
              <w:bottom w:val="single" w:sz="8" w:color="274F78"/>
              <w:right w:val="single" w:sz="8" w:color="274F78"/>
            </w:tcBorders>
            <w:shd w:val="clear" w:color="auto" w:fill="274F78"/>
          </w:tcPr>
          <w:p>
            <w:pPr>
              <w:spacing w:after="0"/>
              <w:rPr>
                <w:sz w:val="24"/>
                <w:szCs w:val="24"/>
                <w:color w:val="auto"/>
              </w:rPr>
            </w:pPr>
          </w:p>
        </w:tc>
        <w:tc>
          <w:tcPr>
            <w:tcW w:w="700" w:type="dxa"/>
            <w:vAlign w:val="bottom"/>
            <w:tcBorders>
              <w:top w:val="single" w:sz="8" w:color="231F20"/>
              <w:bottom w:val="single" w:sz="8" w:color="274F78"/>
              <w:right w:val="single" w:sz="8" w:color="231F20"/>
            </w:tcBorders>
            <w:shd w:val="clear" w:color="auto" w:fill="274F78"/>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920" w:type="dxa"/>
            <w:vAlign w:val="bottom"/>
            <w:tcBorders>
              <w:right w:val="single" w:sz="8" w:color="58595B"/>
            </w:tcBorders>
          </w:tcPr>
          <w:p>
            <w:pPr>
              <w:spacing w:after="0"/>
              <w:rPr>
                <w:sz w:val="13"/>
                <w:szCs w:val="13"/>
                <w:color w:val="auto"/>
              </w:rPr>
            </w:pPr>
          </w:p>
        </w:tc>
        <w:tc>
          <w:tcPr>
            <w:tcW w:w="660" w:type="dxa"/>
            <w:vAlign w:val="bottom"/>
            <w:tcBorders>
              <w:top w:val="single" w:sz="8" w:color="58595B"/>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William P.</w:t>
            </w:r>
          </w:p>
        </w:tc>
        <w:tc>
          <w:tcPr>
            <w:tcW w:w="680" w:type="dxa"/>
            <w:vAlign w:val="bottom"/>
            <w:tcBorders>
              <w:top w:val="single" w:sz="8" w:color="58595B"/>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Raymond</w:t>
            </w:r>
          </w:p>
        </w:tc>
        <w:tc>
          <w:tcPr>
            <w:tcW w:w="720" w:type="dxa"/>
            <w:vAlign w:val="bottom"/>
            <w:tcBorders>
              <w:top w:val="single" w:sz="8" w:color="58595B"/>
              <w:right w:val="single" w:sz="8" w:color="58595B"/>
            </w:tcBorders>
            <w:shd w:val="clear" w:color="auto" w:fill="E6E7E8"/>
          </w:tcPr>
          <w:p>
            <w:pPr>
              <w:spacing w:after="0"/>
              <w:rPr>
                <w:sz w:val="13"/>
                <w:szCs w:val="13"/>
                <w:color w:val="auto"/>
              </w:rPr>
            </w:pPr>
          </w:p>
        </w:tc>
        <w:tc>
          <w:tcPr>
            <w:tcW w:w="660" w:type="dxa"/>
            <w:vAlign w:val="bottom"/>
            <w:tcBorders>
              <w:top w:val="single" w:sz="8" w:color="58595B"/>
              <w:right w:val="single" w:sz="8" w:color="58595B"/>
            </w:tcBorders>
            <w:shd w:val="clear" w:color="auto" w:fill="E6E7E8"/>
          </w:tcPr>
          <w:p>
            <w:pPr>
              <w:spacing w:after="0"/>
              <w:rPr>
                <w:sz w:val="13"/>
                <w:szCs w:val="13"/>
                <w:color w:val="auto"/>
              </w:rPr>
            </w:pPr>
          </w:p>
        </w:tc>
        <w:tc>
          <w:tcPr>
            <w:tcW w:w="540" w:type="dxa"/>
            <w:vAlign w:val="bottom"/>
            <w:tcBorders>
              <w:top w:val="single" w:sz="8" w:color="58595B"/>
              <w:right w:val="single" w:sz="8" w:color="58595B"/>
            </w:tcBorders>
            <w:shd w:val="clear" w:color="auto" w:fill="E6E7E8"/>
          </w:tcPr>
          <w:p>
            <w:pPr>
              <w:spacing w:after="0"/>
              <w:rPr>
                <w:sz w:val="13"/>
                <w:szCs w:val="13"/>
                <w:color w:val="auto"/>
              </w:rPr>
            </w:pPr>
          </w:p>
        </w:tc>
        <w:tc>
          <w:tcPr>
            <w:tcW w:w="480" w:type="dxa"/>
            <w:vAlign w:val="bottom"/>
            <w:tcBorders>
              <w:top w:val="single" w:sz="8" w:color="58595B"/>
              <w:right w:val="single" w:sz="8" w:color="58595B"/>
            </w:tcBorders>
            <w:shd w:val="clear" w:color="auto" w:fill="E6E7E8"/>
          </w:tcPr>
          <w:p>
            <w:pPr>
              <w:spacing w:after="0"/>
              <w:rPr>
                <w:sz w:val="13"/>
                <w:szCs w:val="13"/>
                <w:color w:val="auto"/>
              </w:rPr>
            </w:pPr>
          </w:p>
        </w:tc>
        <w:tc>
          <w:tcPr>
            <w:tcW w:w="520" w:type="dxa"/>
            <w:vAlign w:val="bottom"/>
            <w:tcBorders>
              <w:top w:val="single" w:sz="8" w:color="58595B"/>
              <w:right w:val="single" w:sz="8" w:color="58595B"/>
            </w:tcBorders>
            <w:shd w:val="clear" w:color="auto" w:fill="E6E7E8"/>
          </w:tcPr>
          <w:p>
            <w:pPr>
              <w:spacing w:after="0"/>
              <w:rPr>
                <w:sz w:val="13"/>
                <w:szCs w:val="13"/>
                <w:color w:val="auto"/>
              </w:rPr>
            </w:pPr>
          </w:p>
        </w:tc>
        <w:tc>
          <w:tcPr>
            <w:tcW w:w="540" w:type="dxa"/>
            <w:vAlign w:val="bottom"/>
            <w:tcBorders>
              <w:top w:val="single" w:sz="8" w:color="58595B"/>
              <w:right w:val="single" w:sz="8" w:color="58595B"/>
            </w:tcBorders>
            <w:shd w:val="clear" w:color="auto" w:fill="E6E7E8"/>
          </w:tcPr>
          <w:p>
            <w:pPr>
              <w:spacing w:after="0"/>
              <w:rPr>
                <w:sz w:val="13"/>
                <w:szCs w:val="13"/>
                <w:color w:val="auto"/>
              </w:rPr>
            </w:pPr>
          </w:p>
        </w:tc>
        <w:tc>
          <w:tcPr>
            <w:tcW w:w="440" w:type="dxa"/>
            <w:vAlign w:val="bottom"/>
            <w:tcBorders>
              <w:top w:val="single" w:sz="8" w:color="58595B"/>
              <w:right w:val="single" w:sz="8" w:color="58595B"/>
            </w:tcBorders>
            <w:shd w:val="clear" w:color="auto" w:fill="E6E7E8"/>
          </w:tcPr>
          <w:p>
            <w:pPr>
              <w:spacing w:after="0"/>
              <w:rPr>
                <w:sz w:val="13"/>
                <w:szCs w:val="13"/>
                <w:color w:val="auto"/>
              </w:rPr>
            </w:pPr>
          </w:p>
        </w:tc>
        <w:tc>
          <w:tcPr>
            <w:tcW w:w="580" w:type="dxa"/>
            <w:vAlign w:val="bottom"/>
            <w:tcBorders>
              <w:top w:val="single" w:sz="8" w:color="58595B"/>
              <w:right w:val="single" w:sz="8" w:color="58595B"/>
            </w:tcBorders>
            <w:shd w:val="clear" w:color="auto" w:fill="E6E7E8"/>
          </w:tcPr>
          <w:p>
            <w:pPr>
              <w:spacing w:after="0"/>
              <w:rPr>
                <w:sz w:val="13"/>
                <w:szCs w:val="13"/>
                <w:color w:val="auto"/>
              </w:rPr>
            </w:pPr>
          </w:p>
        </w:tc>
        <w:tc>
          <w:tcPr>
            <w:tcW w:w="700" w:type="dxa"/>
            <w:vAlign w:val="bottom"/>
            <w:tcBorders>
              <w:top w:val="single" w:sz="8" w:color="58595B"/>
              <w:right w:val="single" w:sz="8" w:color="58595B"/>
            </w:tcBorders>
            <w:shd w:val="clear" w:color="auto" w:fill="E6E7E8"/>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920" w:type="dxa"/>
            <w:vAlign w:val="bottom"/>
            <w:tcBorders>
              <w:right w:val="single" w:sz="8" w:color="58595B"/>
            </w:tcBorders>
          </w:tcPr>
          <w:p>
            <w:pPr>
              <w:spacing w:after="0"/>
              <w:rPr>
                <w:sz w:val="10"/>
                <w:szCs w:val="10"/>
                <w:color w:val="auto"/>
              </w:rPr>
            </w:pPr>
          </w:p>
        </w:tc>
        <w:tc>
          <w:tcPr>
            <w:tcW w:w="660" w:type="dxa"/>
            <w:vAlign w:val="bottom"/>
            <w:tcBorders>
              <w:right w:val="single" w:sz="8" w:color="58595B"/>
            </w:tcBorders>
            <w:vMerge w:val="continue"/>
            <w:shd w:val="clear" w:color="auto" w:fill="E6E7E8"/>
          </w:tcPr>
          <w:p>
            <w:pPr>
              <w:spacing w:after="0"/>
              <w:rPr>
                <w:sz w:val="10"/>
                <w:szCs w:val="10"/>
                <w:color w:val="auto"/>
              </w:rPr>
            </w:pPr>
          </w:p>
        </w:tc>
        <w:tc>
          <w:tcPr>
            <w:tcW w:w="68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R.</w:t>
            </w:r>
          </w:p>
        </w:tc>
        <w:tc>
          <w:tcPr>
            <w:tcW w:w="720" w:type="dxa"/>
            <w:vAlign w:val="bottom"/>
            <w:tcBorders>
              <w:right w:val="single" w:sz="8" w:color="58595B"/>
            </w:tcBorders>
            <w:shd w:val="clear" w:color="auto" w:fill="E6E7E8"/>
          </w:tcPr>
          <w:p>
            <w:pPr>
              <w:spacing w:after="0"/>
              <w:rPr>
                <w:sz w:val="10"/>
                <w:szCs w:val="10"/>
                <w:color w:val="auto"/>
              </w:rPr>
            </w:pPr>
          </w:p>
        </w:tc>
        <w:tc>
          <w:tcPr>
            <w:tcW w:w="660" w:type="dxa"/>
            <w:vAlign w:val="bottom"/>
            <w:tcBorders>
              <w:right w:val="single" w:sz="8" w:color="58595B"/>
            </w:tcBorders>
            <w:shd w:val="clear" w:color="auto" w:fill="E6E7E8"/>
          </w:tcPr>
          <w:p>
            <w:pPr>
              <w:spacing w:after="0"/>
              <w:rPr>
                <w:sz w:val="10"/>
                <w:szCs w:val="10"/>
                <w:color w:val="auto"/>
              </w:rPr>
            </w:pPr>
          </w:p>
        </w:tc>
        <w:tc>
          <w:tcPr>
            <w:tcW w:w="540" w:type="dxa"/>
            <w:vAlign w:val="bottom"/>
            <w:tcBorders>
              <w:right w:val="single" w:sz="8" w:color="58595B"/>
            </w:tcBorders>
            <w:shd w:val="clear" w:color="auto" w:fill="E6E7E8"/>
          </w:tcPr>
          <w:p>
            <w:pPr>
              <w:spacing w:after="0"/>
              <w:rPr>
                <w:sz w:val="10"/>
                <w:szCs w:val="10"/>
                <w:color w:val="auto"/>
              </w:rPr>
            </w:pPr>
          </w:p>
        </w:tc>
        <w:tc>
          <w:tcPr>
            <w:tcW w:w="480" w:type="dxa"/>
            <w:vAlign w:val="bottom"/>
            <w:tcBorders>
              <w:right w:val="single" w:sz="8" w:color="58595B"/>
            </w:tcBorders>
            <w:shd w:val="clear" w:color="auto" w:fill="E6E7E8"/>
          </w:tcPr>
          <w:p>
            <w:pPr>
              <w:spacing w:after="0"/>
              <w:rPr>
                <w:sz w:val="10"/>
                <w:szCs w:val="10"/>
                <w:color w:val="auto"/>
              </w:rPr>
            </w:pPr>
          </w:p>
        </w:tc>
        <w:tc>
          <w:tcPr>
            <w:tcW w:w="520" w:type="dxa"/>
            <w:vAlign w:val="bottom"/>
            <w:tcBorders>
              <w:right w:val="single" w:sz="8" w:color="58595B"/>
            </w:tcBorders>
            <w:shd w:val="clear" w:color="auto" w:fill="E6E7E8"/>
          </w:tcPr>
          <w:p>
            <w:pPr>
              <w:spacing w:after="0"/>
              <w:rPr>
                <w:sz w:val="10"/>
                <w:szCs w:val="10"/>
                <w:color w:val="auto"/>
              </w:rPr>
            </w:pPr>
          </w:p>
        </w:tc>
        <w:tc>
          <w:tcPr>
            <w:tcW w:w="540" w:type="dxa"/>
            <w:vAlign w:val="bottom"/>
            <w:tcBorders>
              <w:right w:val="single" w:sz="8" w:color="58595B"/>
            </w:tcBorders>
            <w:shd w:val="clear" w:color="auto" w:fill="E6E7E8"/>
          </w:tcPr>
          <w:p>
            <w:pPr>
              <w:spacing w:after="0"/>
              <w:rPr>
                <w:sz w:val="10"/>
                <w:szCs w:val="10"/>
                <w:color w:val="auto"/>
              </w:rPr>
            </w:pPr>
          </w:p>
        </w:tc>
        <w:tc>
          <w:tcPr>
            <w:tcW w:w="440" w:type="dxa"/>
            <w:vAlign w:val="bottom"/>
            <w:tcBorders>
              <w:right w:val="single" w:sz="8" w:color="58595B"/>
            </w:tcBorders>
            <w:shd w:val="clear" w:color="auto" w:fill="E6E7E8"/>
          </w:tcPr>
          <w:p>
            <w:pPr>
              <w:spacing w:after="0"/>
              <w:rPr>
                <w:sz w:val="10"/>
                <w:szCs w:val="10"/>
                <w:color w:val="auto"/>
              </w:rPr>
            </w:pPr>
          </w:p>
        </w:tc>
        <w:tc>
          <w:tcPr>
            <w:tcW w:w="580" w:type="dxa"/>
            <w:vAlign w:val="bottom"/>
            <w:tcBorders>
              <w:right w:val="single" w:sz="8" w:color="58595B"/>
            </w:tcBorders>
            <w:shd w:val="clear" w:color="auto" w:fill="E6E7E8"/>
          </w:tcPr>
          <w:p>
            <w:pPr>
              <w:spacing w:after="0"/>
              <w:rPr>
                <w:sz w:val="10"/>
                <w:szCs w:val="10"/>
                <w:color w:val="auto"/>
              </w:rPr>
            </w:pPr>
          </w:p>
        </w:tc>
        <w:tc>
          <w:tcPr>
            <w:tcW w:w="700" w:type="dxa"/>
            <w:vAlign w:val="bottom"/>
            <w:tcBorders>
              <w:right w:val="single" w:sz="8" w:color="58595B"/>
            </w:tcBorders>
            <w:shd w:val="clear" w:color="auto" w:fill="E6E7E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20" w:type="dxa"/>
            <w:vAlign w:val="bottom"/>
            <w:tcBorders>
              <w:right w:val="single" w:sz="8" w:color="58595B"/>
            </w:tcBorders>
          </w:tcPr>
          <w:p>
            <w:pPr>
              <w:spacing w:after="0"/>
              <w:rPr>
                <w:sz w:val="10"/>
                <w:szCs w:val="10"/>
                <w:color w:val="auto"/>
              </w:rPr>
            </w:pPr>
          </w:p>
        </w:tc>
        <w:tc>
          <w:tcPr>
            <w:tcW w:w="66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Foley, II</w:t>
            </w:r>
          </w:p>
        </w:tc>
        <w:tc>
          <w:tcPr>
            <w:tcW w:w="68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Quirk</w:t>
            </w:r>
          </w:p>
        </w:tc>
        <w:tc>
          <w:tcPr>
            <w:tcW w:w="720" w:type="dxa"/>
            <w:vAlign w:val="bottom"/>
            <w:tcBorders>
              <w:right w:val="single" w:sz="8" w:color="58595B"/>
            </w:tcBorders>
            <w:shd w:val="clear" w:color="auto" w:fill="E6E7E8"/>
          </w:tcPr>
          <w:p>
            <w:pPr>
              <w:spacing w:after="0"/>
              <w:rPr>
                <w:sz w:val="10"/>
                <w:szCs w:val="10"/>
                <w:color w:val="auto"/>
              </w:rPr>
            </w:pPr>
          </w:p>
        </w:tc>
        <w:tc>
          <w:tcPr>
            <w:tcW w:w="660" w:type="dxa"/>
            <w:vAlign w:val="bottom"/>
            <w:tcBorders>
              <w:right w:val="single" w:sz="8" w:color="58595B"/>
            </w:tcBorders>
            <w:shd w:val="clear" w:color="auto" w:fill="E6E7E8"/>
          </w:tcPr>
          <w:p>
            <w:pPr>
              <w:spacing w:after="0"/>
              <w:rPr>
                <w:sz w:val="10"/>
                <w:szCs w:val="10"/>
                <w:color w:val="auto"/>
              </w:rPr>
            </w:pPr>
          </w:p>
        </w:tc>
        <w:tc>
          <w:tcPr>
            <w:tcW w:w="54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Thomas</w:t>
            </w:r>
          </w:p>
        </w:tc>
        <w:tc>
          <w:tcPr>
            <w:tcW w:w="48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Daniel</w:t>
            </w:r>
          </w:p>
        </w:tc>
        <w:tc>
          <w:tcPr>
            <w:tcW w:w="52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Sandra</w:t>
            </w:r>
          </w:p>
        </w:tc>
        <w:tc>
          <w:tcPr>
            <w:tcW w:w="54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Heather</w:t>
            </w:r>
          </w:p>
        </w:tc>
        <w:tc>
          <w:tcPr>
            <w:tcW w:w="44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John</w:t>
            </w:r>
          </w:p>
        </w:tc>
        <w:tc>
          <w:tcPr>
            <w:tcW w:w="580" w:type="dxa"/>
            <w:vAlign w:val="bottom"/>
            <w:tcBorders>
              <w:right w:val="single" w:sz="8" w:color="58595B"/>
            </w:tcBorders>
            <w:shd w:val="clear" w:color="auto" w:fill="E6E7E8"/>
          </w:tcPr>
          <w:p>
            <w:pPr>
              <w:spacing w:after="0"/>
              <w:rPr>
                <w:sz w:val="10"/>
                <w:szCs w:val="10"/>
                <w:color w:val="auto"/>
              </w:rPr>
            </w:pPr>
          </w:p>
        </w:tc>
        <w:tc>
          <w:tcPr>
            <w:tcW w:w="700" w:type="dxa"/>
            <w:vAlign w:val="bottom"/>
            <w:tcBorders>
              <w:right w:val="single" w:sz="8" w:color="58595B"/>
            </w:tcBorders>
            <w:shd w:val="clear" w:color="auto" w:fill="E6E7E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20" w:type="dxa"/>
            <w:vAlign w:val="bottom"/>
            <w:tcBorders>
              <w:right w:val="single" w:sz="8" w:color="58595B"/>
            </w:tcBorders>
          </w:tcPr>
          <w:p>
            <w:pPr>
              <w:spacing w:after="0"/>
              <w:rPr>
                <w:sz w:val="10"/>
                <w:szCs w:val="10"/>
                <w:color w:val="auto"/>
              </w:rPr>
            </w:pPr>
          </w:p>
        </w:tc>
        <w:tc>
          <w:tcPr>
            <w:tcW w:w="66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(Non-</w:t>
            </w:r>
          </w:p>
        </w:tc>
        <w:tc>
          <w:tcPr>
            <w:tcW w:w="68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(Executive</w:t>
            </w:r>
          </w:p>
        </w:tc>
        <w:tc>
          <w:tcPr>
            <w:tcW w:w="72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Douglas K.</w:t>
            </w:r>
          </w:p>
        </w:tc>
        <w:tc>
          <w:tcPr>
            <w:tcW w:w="660" w:type="dxa"/>
            <w:vAlign w:val="bottom"/>
            <w:tcBorders>
              <w:right w:val="single" w:sz="8" w:color="58595B"/>
            </w:tcBorders>
            <w:vMerge w:val="restart"/>
            <w:shd w:val="clear" w:color="auto" w:fill="E6E7E8"/>
          </w:tcPr>
          <w:p>
            <w:pPr>
              <w:ind w:left="60"/>
              <w:spacing w:after="0"/>
              <w:rPr>
                <w:sz w:val="20"/>
                <w:szCs w:val="20"/>
                <w:color w:val="auto"/>
              </w:rPr>
            </w:pPr>
            <w:r>
              <w:rPr>
                <w:rFonts w:ascii="Arial" w:cs="Arial" w:eastAsia="Arial" w:hAnsi="Arial"/>
                <w:sz w:val="11"/>
                <w:szCs w:val="11"/>
                <w:b w:val="1"/>
                <w:bCs w:val="1"/>
                <w:color w:val="58595B"/>
              </w:rPr>
              <w:t>Halim</w:t>
            </w:r>
          </w:p>
        </w:tc>
        <w:tc>
          <w:tcPr>
            <w:tcW w:w="540" w:type="dxa"/>
            <w:vAlign w:val="bottom"/>
            <w:tcBorders>
              <w:right w:val="single" w:sz="8" w:color="58595B"/>
            </w:tcBorders>
            <w:vMerge w:val="continue"/>
            <w:shd w:val="clear" w:color="auto" w:fill="E6E7E8"/>
          </w:tcPr>
          <w:p>
            <w:pPr>
              <w:spacing w:after="0"/>
              <w:rPr>
                <w:sz w:val="10"/>
                <w:szCs w:val="10"/>
                <w:color w:val="auto"/>
              </w:rPr>
            </w:pPr>
          </w:p>
        </w:tc>
        <w:tc>
          <w:tcPr>
            <w:tcW w:w="480" w:type="dxa"/>
            <w:vAlign w:val="bottom"/>
            <w:tcBorders>
              <w:right w:val="single" w:sz="8" w:color="58595B"/>
            </w:tcBorders>
            <w:vMerge w:val="continue"/>
            <w:shd w:val="clear" w:color="auto" w:fill="E6E7E8"/>
          </w:tcPr>
          <w:p>
            <w:pPr>
              <w:spacing w:after="0"/>
              <w:rPr>
                <w:sz w:val="10"/>
                <w:szCs w:val="10"/>
                <w:color w:val="auto"/>
              </w:rPr>
            </w:pPr>
          </w:p>
        </w:tc>
        <w:tc>
          <w:tcPr>
            <w:tcW w:w="520" w:type="dxa"/>
            <w:vAlign w:val="bottom"/>
            <w:tcBorders>
              <w:right w:val="single" w:sz="8" w:color="58595B"/>
            </w:tcBorders>
            <w:vMerge w:val="continue"/>
            <w:shd w:val="clear" w:color="auto" w:fill="E6E7E8"/>
          </w:tcPr>
          <w:p>
            <w:pPr>
              <w:spacing w:after="0"/>
              <w:rPr>
                <w:sz w:val="10"/>
                <w:szCs w:val="10"/>
                <w:color w:val="auto"/>
              </w:rPr>
            </w:pPr>
          </w:p>
        </w:tc>
        <w:tc>
          <w:tcPr>
            <w:tcW w:w="540" w:type="dxa"/>
            <w:vAlign w:val="bottom"/>
            <w:tcBorders>
              <w:right w:val="single" w:sz="8" w:color="58595B"/>
            </w:tcBorders>
            <w:vMerge w:val="continue"/>
            <w:shd w:val="clear" w:color="auto" w:fill="E6E7E8"/>
          </w:tcPr>
          <w:p>
            <w:pPr>
              <w:spacing w:after="0"/>
              <w:rPr>
                <w:sz w:val="10"/>
                <w:szCs w:val="10"/>
                <w:color w:val="auto"/>
              </w:rPr>
            </w:pPr>
          </w:p>
        </w:tc>
        <w:tc>
          <w:tcPr>
            <w:tcW w:w="440" w:type="dxa"/>
            <w:vAlign w:val="bottom"/>
            <w:tcBorders>
              <w:right w:val="single" w:sz="8" w:color="58595B"/>
            </w:tcBorders>
            <w:vMerge w:val="continue"/>
            <w:shd w:val="clear" w:color="auto" w:fill="E6E7E8"/>
          </w:tcPr>
          <w:p>
            <w:pPr>
              <w:spacing w:after="0"/>
              <w:rPr>
                <w:sz w:val="10"/>
                <w:szCs w:val="10"/>
                <w:color w:val="auto"/>
              </w:rPr>
            </w:pPr>
          </w:p>
        </w:tc>
        <w:tc>
          <w:tcPr>
            <w:tcW w:w="580" w:type="dxa"/>
            <w:vAlign w:val="bottom"/>
            <w:tcBorders>
              <w:right w:val="single" w:sz="8" w:color="58595B"/>
            </w:tcBorders>
            <w:vMerge w:val="restart"/>
            <w:shd w:val="clear" w:color="auto" w:fill="E6E7E8"/>
          </w:tcPr>
          <w:p>
            <w:pPr>
              <w:ind w:left="60"/>
              <w:spacing w:after="0"/>
              <w:rPr>
                <w:sz w:val="20"/>
                <w:szCs w:val="20"/>
                <w:color w:val="auto"/>
              </w:rPr>
            </w:pPr>
            <w:r>
              <w:rPr>
                <w:rFonts w:ascii="Arial" w:cs="Arial" w:eastAsia="Arial" w:hAnsi="Arial"/>
                <w:sz w:val="11"/>
                <w:szCs w:val="11"/>
                <w:b w:val="1"/>
                <w:bCs w:val="1"/>
                <w:color w:val="58595B"/>
              </w:rPr>
              <w:t>Peter O.</w:t>
            </w:r>
          </w:p>
        </w:tc>
        <w:tc>
          <w:tcPr>
            <w:tcW w:w="700" w:type="dxa"/>
            <w:vAlign w:val="bottom"/>
            <w:tcBorders>
              <w:right w:val="single" w:sz="8" w:color="58595B"/>
            </w:tcBorders>
            <w:vMerge w:val="restart"/>
            <w:shd w:val="clear" w:color="auto" w:fill="E6E7E8"/>
          </w:tcPr>
          <w:p>
            <w:pPr>
              <w:ind w:left="40"/>
              <w:spacing w:after="0"/>
              <w:rPr>
                <w:sz w:val="20"/>
                <w:szCs w:val="20"/>
                <w:color w:val="auto"/>
              </w:rPr>
            </w:pPr>
            <w:r>
              <w:rPr>
                <w:rFonts w:ascii="Arial" w:cs="Arial" w:eastAsia="Arial" w:hAnsi="Arial"/>
                <w:sz w:val="11"/>
                <w:szCs w:val="11"/>
                <w:b w:val="1"/>
                <w:bCs w:val="1"/>
                <w:color w:val="58595B"/>
              </w:rPr>
              <w:t>Cary H.</w:t>
            </w:r>
          </w:p>
        </w:tc>
        <w:tc>
          <w:tcPr>
            <w:tcW w:w="0" w:type="dxa"/>
            <w:vAlign w:val="bottom"/>
          </w:tcPr>
          <w:p>
            <w:pPr>
              <w:spacing w:after="0"/>
              <w:rPr>
                <w:sz w:val="1"/>
                <w:szCs w:val="1"/>
                <w:color w:val="auto"/>
              </w:rPr>
            </w:pPr>
          </w:p>
        </w:tc>
      </w:tr>
      <w:tr>
        <w:trPr>
          <w:trHeight w:val="123"/>
        </w:trPr>
        <w:tc>
          <w:tcPr>
            <w:tcW w:w="1920" w:type="dxa"/>
            <w:vAlign w:val="bottom"/>
            <w:tcBorders>
              <w:right w:val="single" w:sz="8" w:color="58595B"/>
            </w:tcBorders>
            <w:vMerge w:val="restart"/>
          </w:tcPr>
          <w:p>
            <w:pPr>
              <w:ind w:left="60"/>
              <w:spacing w:after="0"/>
              <w:rPr>
                <w:sz w:val="20"/>
                <w:szCs w:val="20"/>
                <w:color w:val="auto"/>
              </w:rPr>
            </w:pPr>
            <w:r>
              <w:rPr>
                <w:rFonts w:ascii="Arial" w:cs="Arial" w:eastAsia="Arial" w:hAnsi="Arial"/>
                <w:sz w:val="11"/>
                <w:szCs w:val="11"/>
                <w:b w:val="1"/>
                <w:bCs w:val="1"/>
                <w:color w:val="49678E"/>
              </w:rPr>
              <w:t>Knowledge, Skills &amp; Experience:</w:t>
            </w:r>
          </w:p>
        </w:tc>
        <w:tc>
          <w:tcPr>
            <w:tcW w:w="66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Executive</w:t>
            </w:r>
          </w:p>
        </w:tc>
        <w:tc>
          <w:tcPr>
            <w:tcW w:w="68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Vice-</w:t>
            </w:r>
          </w:p>
        </w:tc>
        <w:tc>
          <w:tcPr>
            <w:tcW w:w="720" w:type="dxa"/>
            <w:vAlign w:val="bottom"/>
            <w:tcBorders>
              <w:right w:val="single" w:sz="8" w:color="58595B"/>
            </w:tcBorders>
            <w:vMerge w:val="continue"/>
            <w:shd w:val="clear" w:color="auto" w:fill="E6E7E8"/>
          </w:tcPr>
          <w:p>
            <w:pPr>
              <w:spacing w:after="0"/>
              <w:rPr>
                <w:sz w:val="10"/>
                <w:szCs w:val="10"/>
                <w:color w:val="auto"/>
              </w:rPr>
            </w:pPr>
          </w:p>
        </w:tc>
        <w:tc>
          <w:tcPr>
            <w:tcW w:w="660" w:type="dxa"/>
            <w:vAlign w:val="bottom"/>
            <w:tcBorders>
              <w:right w:val="single" w:sz="8" w:color="58595B"/>
            </w:tcBorders>
            <w:vMerge w:val="continue"/>
            <w:shd w:val="clear" w:color="auto" w:fill="E6E7E8"/>
          </w:tcPr>
          <w:p>
            <w:pPr>
              <w:spacing w:after="0"/>
              <w:rPr>
                <w:sz w:val="10"/>
                <w:szCs w:val="10"/>
                <w:color w:val="auto"/>
              </w:rPr>
            </w:pPr>
          </w:p>
        </w:tc>
        <w:tc>
          <w:tcPr>
            <w:tcW w:w="54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M.</w:t>
            </w:r>
          </w:p>
        </w:tc>
        <w:tc>
          <w:tcPr>
            <w:tcW w:w="48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D.</w:t>
            </w:r>
          </w:p>
        </w:tc>
        <w:tc>
          <w:tcPr>
            <w:tcW w:w="52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D.</w:t>
            </w:r>
          </w:p>
        </w:tc>
        <w:tc>
          <w:tcPr>
            <w:tcW w:w="54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H.</w:t>
            </w:r>
          </w:p>
        </w:tc>
        <w:tc>
          <w:tcPr>
            <w:tcW w:w="440" w:type="dxa"/>
            <w:vAlign w:val="bottom"/>
            <w:tcBorders>
              <w:right w:val="single" w:sz="8" w:color="58595B"/>
            </w:tcBorders>
            <w:shd w:val="clear" w:color="auto" w:fill="E6E7E8"/>
          </w:tcPr>
          <w:p>
            <w:pPr>
              <w:ind w:left="40"/>
              <w:spacing w:after="0" w:line="123" w:lineRule="exact"/>
              <w:rPr>
                <w:sz w:val="20"/>
                <w:szCs w:val="20"/>
                <w:color w:val="auto"/>
              </w:rPr>
            </w:pPr>
            <w:r>
              <w:rPr>
                <w:rFonts w:ascii="Arial" w:cs="Arial" w:eastAsia="Arial" w:hAnsi="Arial"/>
                <w:sz w:val="11"/>
                <w:szCs w:val="11"/>
                <w:b w:val="1"/>
                <w:bCs w:val="1"/>
                <w:color w:val="58595B"/>
              </w:rPr>
              <w:t>D.</w:t>
            </w:r>
          </w:p>
        </w:tc>
        <w:tc>
          <w:tcPr>
            <w:tcW w:w="580" w:type="dxa"/>
            <w:vAlign w:val="bottom"/>
            <w:tcBorders>
              <w:right w:val="single" w:sz="8" w:color="58595B"/>
            </w:tcBorders>
            <w:vMerge w:val="continue"/>
            <w:shd w:val="clear" w:color="auto" w:fill="E6E7E8"/>
          </w:tcPr>
          <w:p>
            <w:pPr>
              <w:spacing w:after="0"/>
              <w:rPr>
                <w:sz w:val="10"/>
                <w:szCs w:val="10"/>
                <w:color w:val="auto"/>
              </w:rPr>
            </w:pPr>
          </w:p>
        </w:tc>
        <w:tc>
          <w:tcPr>
            <w:tcW w:w="700" w:type="dxa"/>
            <w:vAlign w:val="bottom"/>
            <w:tcBorders>
              <w:right w:val="single" w:sz="8" w:color="58595B"/>
            </w:tcBorders>
            <w:vMerge w:val="continue"/>
            <w:shd w:val="clear" w:color="auto" w:fill="E6E7E8"/>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920" w:type="dxa"/>
            <w:vAlign w:val="bottom"/>
            <w:tcBorders>
              <w:right w:val="single" w:sz="8" w:color="58595B"/>
            </w:tcBorders>
            <w:vMerge w:val="continue"/>
          </w:tcPr>
          <w:p>
            <w:pPr>
              <w:spacing w:after="0"/>
              <w:rPr>
                <w:sz w:val="18"/>
                <w:szCs w:val="18"/>
                <w:color w:val="auto"/>
              </w:rPr>
            </w:pPr>
          </w:p>
        </w:tc>
        <w:tc>
          <w:tcPr>
            <w:tcW w:w="66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Chairman)</w:t>
            </w:r>
          </w:p>
        </w:tc>
        <w:tc>
          <w:tcPr>
            <w:tcW w:w="68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Chairman)</w:t>
            </w:r>
          </w:p>
        </w:tc>
        <w:tc>
          <w:tcPr>
            <w:tcW w:w="72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Ammerman</w:t>
            </w:r>
          </w:p>
        </w:tc>
        <w:tc>
          <w:tcPr>
            <w:tcW w:w="660" w:type="dxa"/>
            <w:vAlign w:val="bottom"/>
            <w:tcBorders>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Dhanidina</w:t>
            </w:r>
          </w:p>
        </w:tc>
        <w:tc>
          <w:tcPr>
            <w:tcW w:w="54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Hagerty</w:t>
            </w:r>
          </w:p>
        </w:tc>
        <w:tc>
          <w:tcPr>
            <w:tcW w:w="48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Lane</w:t>
            </w:r>
          </w:p>
        </w:tc>
        <w:tc>
          <w:tcPr>
            <w:tcW w:w="52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Morgan</w:t>
            </w:r>
          </w:p>
        </w:tc>
        <w:tc>
          <w:tcPr>
            <w:tcW w:w="54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Miller</w:t>
            </w:r>
          </w:p>
        </w:tc>
        <w:tc>
          <w:tcPr>
            <w:tcW w:w="44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Rood</w:t>
            </w:r>
          </w:p>
        </w:tc>
        <w:tc>
          <w:tcPr>
            <w:tcW w:w="580" w:type="dxa"/>
            <w:vAlign w:val="bottom"/>
            <w:tcBorders>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Shea, Jr.</w:t>
            </w:r>
          </w:p>
        </w:tc>
        <w:tc>
          <w:tcPr>
            <w:tcW w:w="700" w:type="dxa"/>
            <w:vAlign w:val="bottom"/>
            <w:tcBorders>
              <w:bottom w:val="single" w:sz="8" w:color="E6E7E8"/>
              <w:right w:val="single" w:sz="8" w:color="58595B"/>
            </w:tcBorders>
            <w:shd w:val="clear" w:color="auto" w:fill="E6E7E8"/>
          </w:tcPr>
          <w:p>
            <w:pPr>
              <w:ind w:left="40"/>
              <w:spacing w:after="0"/>
              <w:rPr>
                <w:sz w:val="20"/>
                <w:szCs w:val="20"/>
                <w:color w:val="auto"/>
              </w:rPr>
            </w:pPr>
            <w:r>
              <w:rPr>
                <w:rFonts w:ascii="Arial" w:cs="Arial" w:eastAsia="Arial" w:hAnsi="Arial"/>
                <w:sz w:val="11"/>
                <w:szCs w:val="11"/>
                <w:b w:val="1"/>
                <w:bCs w:val="1"/>
                <w:color w:val="58595B"/>
              </w:rPr>
              <w:t>Thompson</w:t>
            </w:r>
          </w:p>
        </w:tc>
        <w:tc>
          <w:tcPr>
            <w:tcW w:w="0" w:type="dxa"/>
            <w:vAlign w:val="bottom"/>
          </w:tcPr>
          <w:p>
            <w:pPr>
              <w:spacing w:after="0"/>
              <w:rPr>
                <w:sz w:val="1"/>
                <w:szCs w:val="1"/>
                <w:color w:val="auto"/>
              </w:rPr>
            </w:pPr>
          </w:p>
        </w:tc>
      </w:tr>
      <w:tr>
        <w:trPr>
          <w:trHeight w:val="263"/>
        </w:trPr>
        <w:tc>
          <w:tcPr>
            <w:tcW w:w="1920" w:type="dxa"/>
            <w:vAlign w:val="bottom"/>
            <w:tcBorders>
              <w:top w:val="single" w:sz="8" w:color="58595B"/>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Board of Directors Experience</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231"/>
        </w:trPr>
        <w:tc>
          <w:tcPr>
            <w:tcW w:w="1920" w:type="dxa"/>
            <w:vAlign w:val="bottom"/>
            <w:tcBorders>
              <w:top w:val="single" w:sz="8" w:color="58595B"/>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Industry Experience</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top w:val="single" w:sz="8" w:color="58595B"/>
              <w:right w:val="single" w:sz="8" w:color="58595B"/>
            </w:tcBorders>
          </w:tcPr>
          <w:p>
            <w:pPr>
              <w:spacing w:after="0"/>
              <w:rPr>
                <w:sz w:val="20"/>
                <w:szCs w:val="20"/>
                <w:color w:val="auto"/>
              </w:rPr>
            </w:pPr>
          </w:p>
        </w:tc>
        <w:tc>
          <w:tcPr>
            <w:tcW w:w="660" w:type="dxa"/>
            <w:vAlign w:val="bottom"/>
            <w:tcBorders>
              <w:top w:val="single" w:sz="8" w:color="58595B"/>
              <w:right w:val="single" w:sz="8" w:color="58595B"/>
            </w:tcBorders>
          </w:tcPr>
          <w:p>
            <w:pPr>
              <w:spacing w:after="0"/>
              <w:rPr>
                <w:sz w:val="20"/>
                <w:szCs w:val="20"/>
                <w:color w:val="auto"/>
              </w:rPr>
            </w:pPr>
          </w:p>
        </w:tc>
        <w:tc>
          <w:tcPr>
            <w:tcW w:w="540" w:type="dxa"/>
            <w:vAlign w:val="bottom"/>
            <w:tcBorders>
              <w:top w:val="single" w:sz="8" w:color="58595B"/>
              <w:right w:val="single" w:sz="8" w:color="58595B"/>
            </w:tcBorders>
          </w:tcPr>
          <w:p>
            <w:pPr>
              <w:spacing w:after="0"/>
              <w:rPr>
                <w:sz w:val="20"/>
                <w:szCs w:val="20"/>
                <w:color w:val="auto"/>
              </w:rPr>
            </w:pPr>
          </w:p>
        </w:tc>
        <w:tc>
          <w:tcPr>
            <w:tcW w:w="4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top w:val="single" w:sz="8" w:color="58595B"/>
              <w:right w:val="single" w:sz="8" w:color="58595B"/>
            </w:tcBorders>
          </w:tcPr>
          <w:p>
            <w:pPr>
              <w:spacing w:after="0"/>
              <w:rPr>
                <w:sz w:val="20"/>
                <w:szCs w:val="20"/>
                <w:color w:val="auto"/>
              </w:rPr>
            </w:pPr>
          </w:p>
        </w:tc>
        <w:tc>
          <w:tcPr>
            <w:tcW w:w="540" w:type="dxa"/>
            <w:vAlign w:val="bottom"/>
            <w:tcBorders>
              <w:top w:val="single" w:sz="8" w:color="58595B"/>
              <w:right w:val="single" w:sz="8" w:color="58595B"/>
            </w:tcBorders>
          </w:tcPr>
          <w:p>
            <w:pPr>
              <w:spacing w:after="0"/>
              <w:rPr>
                <w:sz w:val="20"/>
                <w:szCs w:val="20"/>
                <w:color w:val="auto"/>
              </w:rPr>
            </w:pPr>
          </w:p>
        </w:tc>
        <w:tc>
          <w:tcPr>
            <w:tcW w:w="4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top w:val="single" w:sz="8" w:color="58595B"/>
              <w:right w:val="single" w:sz="8" w:color="58595B"/>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CEO/Business Head/Leadership</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spacing w:after="0"/>
              <w:rPr>
                <w:sz w:val="20"/>
                <w:szCs w:val="20"/>
                <w:color w:val="auto"/>
              </w:rPr>
            </w:pP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right w:val="single" w:sz="8" w:color="58595B"/>
            </w:tcBorders>
          </w:tcPr>
          <w:p>
            <w:pPr>
              <w:spacing w:after="0"/>
              <w:rPr>
                <w:sz w:val="20"/>
                <w:szCs w:val="20"/>
                <w:color w:val="auto"/>
              </w:rPr>
            </w:pP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International</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spacing w:after="0"/>
              <w:rPr>
                <w:sz w:val="21"/>
                <w:szCs w:val="21"/>
                <w:color w:val="auto"/>
              </w:rPr>
            </w:pPr>
          </w:p>
        </w:tc>
        <w:tc>
          <w:tcPr>
            <w:tcW w:w="7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right w:val="single" w:sz="8" w:color="58595B"/>
            </w:tcBorders>
          </w:tcPr>
          <w:p>
            <w:pPr>
              <w:spacing w:after="0"/>
              <w:rPr>
                <w:sz w:val="21"/>
                <w:szCs w:val="21"/>
                <w:color w:val="auto"/>
              </w:rPr>
            </w:pP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right w:val="single" w:sz="8" w:color="58595B"/>
            </w:tcBorders>
          </w:tcPr>
          <w:p>
            <w:pPr>
              <w:spacing w:after="0"/>
              <w:rPr>
                <w:sz w:val="21"/>
                <w:szCs w:val="21"/>
                <w:color w:val="auto"/>
              </w:rPr>
            </w:pPr>
          </w:p>
        </w:tc>
        <w:tc>
          <w:tcPr>
            <w:tcW w:w="520" w:type="dxa"/>
            <w:vAlign w:val="bottom"/>
            <w:tcBorders>
              <w:right w:val="single" w:sz="8" w:color="58595B"/>
            </w:tcBorders>
          </w:tcPr>
          <w:p>
            <w:pPr>
              <w:spacing w:after="0"/>
              <w:rPr>
                <w:sz w:val="21"/>
                <w:szCs w:val="21"/>
                <w:color w:val="auto"/>
              </w:rPr>
            </w:pPr>
          </w:p>
        </w:tc>
        <w:tc>
          <w:tcPr>
            <w:tcW w:w="540" w:type="dxa"/>
            <w:vAlign w:val="bottom"/>
            <w:tcBorders>
              <w:right w:val="single" w:sz="8" w:color="58595B"/>
            </w:tcBorders>
          </w:tcPr>
          <w:p>
            <w:pPr>
              <w:spacing w:after="0"/>
              <w:rPr>
                <w:sz w:val="21"/>
                <w:szCs w:val="21"/>
                <w:color w:val="auto"/>
              </w:rPr>
            </w:pPr>
          </w:p>
        </w:tc>
        <w:tc>
          <w:tcPr>
            <w:tcW w:w="440" w:type="dxa"/>
            <w:vAlign w:val="bottom"/>
            <w:tcBorders>
              <w:right w:val="single" w:sz="8" w:color="58595B"/>
            </w:tcBorders>
          </w:tcPr>
          <w:p>
            <w:pPr>
              <w:spacing w:after="0"/>
              <w:rPr>
                <w:sz w:val="21"/>
                <w:szCs w:val="21"/>
                <w:color w:val="auto"/>
              </w:rPr>
            </w:pPr>
          </w:p>
        </w:tc>
        <w:tc>
          <w:tcPr>
            <w:tcW w:w="580" w:type="dxa"/>
            <w:vAlign w:val="bottom"/>
            <w:tcBorders>
              <w:right w:val="single" w:sz="8" w:color="58595B"/>
            </w:tcBorders>
          </w:tcPr>
          <w:p>
            <w:pPr>
              <w:ind w:left="280"/>
              <w:spacing w:after="0"/>
              <w:rPr>
                <w:sz w:val="20"/>
                <w:szCs w:val="20"/>
                <w:color w:val="auto"/>
              </w:rPr>
            </w:pPr>
            <w:r>
              <w:rPr>
                <w:rFonts w:ascii="Times New Roman" w:cs="Times New Roman" w:eastAsia="Times New Roman" w:hAnsi="Times New Roman"/>
                <w:sz w:val="11"/>
                <w:szCs w:val="11"/>
                <w:color w:val="58595B"/>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77"/>
        </w:trPr>
        <w:tc>
          <w:tcPr>
            <w:tcW w:w="1920" w:type="dxa"/>
            <w:vAlign w:val="bottom"/>
            <w:tcBorders>
              <w:left w:val="single" w:sz="8" w:color="58595B"/>
              <w:bottom w:val="single" w:sz="8" w:color="58595B"/>
              <w:right w:val="single" w:sz="8" w:color="58595B"/>
            </w:tcBorders>
            <w:shd w:val="clear" w:color="auto" w:fill="E6E7E8"/>
          </w:tcPr>
          <w:p>
            <w:pPr>
              <w:spacing w:after="0"/>
              <w:rPr>
                <w:sz w:val="6"/>
                <w:szCs w:val="6"/>
                <w:color w:val="auto"/>
              </w:rPr>
            </w:pPr>
          </w:p>
        </w:tc>
        <w:tc>
          <w:tcPr>
            <w:tcW w:w="660" w:type="dxa"/>
            <w:vAlign w:val="bottom"/>
            <w:tcBorders>
              <w:bottom w:val="single" w:sz="8" w:color="58595B"/>
              <w:right w:val="single" w:sz="8" w:color="58595B"/>
            </w:tcBorders>
          </w:tcPr>
          <w:p>
            <w:pPr>
              <w:spacing w:after="0"/>
              <w:rPr>
                <w:sz w:val="6"/>
                <w:szCs w:val="6"/>
                <w:color w:val="auto"/>
              </w:rPr>
            </w:pPr>
          </w:p>
        </w:tc>
        <w:tc>
          <w:tcPr>
            <w:tcW w:w="680" w:type="dxa"/>
            <w:vAlign w:val="bottom"/>
            <w:tcBorders>
              <w:bottom w:val="single" w:sz="8" w:color="58595B"/>
              <w:right w:val="single" w:sz="8" w:color="58595B"/>
            </w:tcBorders>
          </w:tcPr>
          <w:p>
            <w:pPr>
              <w:spacing w:after="0"/>
              <w:rPr>
                <w:sz w:val="6"/>
                <w:szCs w:val="6"/>
                <w:color w:val="auto"/>
              </w:rPr>
            </w:pPr>
          </w:p>
        </w:tc>
        <w:tc>
          <w:tcPr>
            <w:tcW w:w="720" w:type="dxa"/>
            <w:vAlign w:val="bottom"/>
            <w:tcBorders>
              <w:bottom w:val="single" w:sz="8" w:color="58595B"/>
              <w:right w:val="single" w:sz="8" w:color="58595B"/>
            </w:tcBorders>
          </w:tcPr>
          <w:p>
            <w:pPr>
              <w:spacing w:after="0"/>
              <w:rPr>
                <w:sz w:val="6"/>
                <w:szCs w:val="6"/>
                <w:color w:val="auto"/>
              </w:rPr>
            </w:pPr>
          </w:p>
        </w:tc>
        <w:tc>
          <w:tcPr>
            <w:tcW w:w="660" w:type="dxa"/>
            <w:vAlign w:val="bottom"/>
            <w:tcBorders>
              <w:bottom w:val="single" w:sz="8" w:color="58595B"/>
              <w:right w:val="single" w:sz="8" w:color="58595B"/>
            </w:tcBorders>
          </w:tcPr>
          <w:p>
            <w:pPr>
              <w:spacing w:after="0"/>
              <w:rPr>
                <w:sz w:val="6"/>
                <w:szCs w:val="6"/>
                <w:color w:val="auto"/>
              </w:rPr>
            </w:pPr>
          </w:p>
        </w:tc>
        <w:tc>
          <w:tcPr>
            <w:tcW w:w="540" w:type="dxa"/>
            <w:vAlign w:val="bottom"/>
            <w:tcBorders>
              <w:bottom w:val="single" w:sz="8" w:color="58595B"/>
              <w:right w:val="single" w:sz="8" w:color="58595B"/>
            </w:tcBorders>
          </w:tcPr>
          <w:p>
            <w:pPr>
              <w:spacing w:after="0"/>
              <w:rPr>
                <w:sz w:val="6"/>
                <w:szCs w:val="6"/>
                <w:color w:val="auto"/>
              </w:rPr>
            </w:pPr>
          </w:p>
        </w:tc>
        <w:tc>
          <w:tcPr>
            <w:tcW w:w="480" w:type="dxa"/>
            <w:vAlign w:val="bottom"/>
            <w:tcBorders>
              <w:bottom w:val="single" w:sz="8" w:color="58595B"/>
              <w:right w:val="single" w:sz="8" w:color="58595B"/>
            </w:tcBorders>
          </w:tcPr>
          <w:p>
            <w:pPr>
              <w:spacing w:after="0"/>
              <w:rPr>
                <w:sz w:val="6"/>
                <w:szCs w:val="6"/>
                <w:color w:val="auto"/>
              </w:rPr>
            </w:pPr>
          </w:p>
        </w:tc>
        <w:tc>
          <w:tcPr>
            <w:tcW w:w="520" w:type="dxa"/>
            <w:vAlign w:val="bottom"/>
            <w:tcBorders>
              <w:bottom w:val="single" w:sz="8" w:color="58595B"/>
              <w:right w:val="single" w:sz="8" w:color="58595B"/>
            </w:tcBorders>
          </w:tcPr>
          <w:p>
            <w:pPr>
              <w:spacing w:after="0"/>
              <w:rPr>
                <w:sz w:val="6"/>
                <w:szCs w:val="6"/>
                <w:color w:val="auto"/>
              </w:rPr>
            </w:pPr>
          </w:p>
        </w:tc>
        <w:tc>
          <w:tcPr>
            <w:tcW w:w="540" w:type="dxa"/>
            <w:vAlign w:val="bottom"/>
            <w:tcBorders>
              <w:bottom w:val="single" w:sz="8" w:color="58595B"/>
              <w:right w:val="single" w:sz="8" w:color="58595B"/>
            </w:tcBorders>
          </w:tcPr>
          <w:p>
            <w:pPr>
              <w:spacing w:after="0"/>
              <w:rPr>
                <w:sz w:val="6"/>
                <w:szCs w:val="6"/>
                <w:color w:val="auto"/>
              </w:rPr>
            </w:pPr>
          </w:p>
        </w:tc>
        <w:tc>
          <w:tcPr>
            <w:tcW w:w="440" w:type="dxa"/>
            <w:vAlign w:val="bottom"/>
            <w:tcBorders>
              <w:bottom w:val="single" w:sz="8" w:color="58595B"/>
              <w:right w:val="single" w:sz="8" w:color="58595B"/>
            </w:tcBorders>
          </w:tcPr>
          <w:p>
            <w:pPr>
              <w:spacing w:after="0"/>
              <w:rPr>
                <w:sz w:val="6"/>
                <w:szCs w:val="6"/>
                <w:color w:val="auto"/>
              </w:rPr>
            </w:pPr>
          </w:p>
        </w:tc>
        <w:tc>
          <w:tcPr>
            <w:tcW w:w="580" w:type="dxa"/>
            <w:vAlign w:val="bottom"/>
            <w:tcBorders>
              <w:bottom w:val="single" w:sz="8" w:color="58595B"/>
              <w:right w:val="single" w:sz="8" w:color="58595B"/>
            </w:tcBorders>
          </w:tcPr>
          <w:p>
            <w:pPr>
              <w:spacing w:after="0"/>
              <w:rPr>
                <w:sz w:val="6"/>
                <w:szCs w:val="6"/>
                <w:color w:val="auto"/>
              </w:rPr>
            </w:pPr>
          </w:p>
        </w:tc>
        <w:tc>
          <w:tcPr>
            <w:tcW w:w="700" w:type="dxa"/>
            <w:vAlign w:val="bottom"/>
            <w:tcBorders>
              <w:bottom w:val="single" w:sz="8" w:color="58595B"/>
              <w:right w:val="single" w:sz="8" w:color="58595B"/>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Human Capital Management/</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spacing w:after="0"/>
              <w:rPr>
                <w:sz w:val="14"/>
                <w:szCs w:val="14"/>
                <w:color w:val="auto"/>
              </w:rPr>
            </w:pPr>
          </w:p>
        </w:tc>
        <w:tc>
          <w:tcPr>
            <w:tcW w:w="660" w:type="dxa"/>
            <w:vAlign w:val="bottom"/>
            <w:tcBorders>
              <w:right w:val="single" w:sz="8" w:color="58595B"/>
            </w:tcBorders>
          </w:tcPr>
          <w:p>
            <w:pPr>
              <w:spacing w:after="0"/>
              <w:rPr>
                <w:sz w:val="14"/>
                <w:szCs w:val="14"/>
                <w:color w:val="auto"/>
              </w:rPr>
            </w:pP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spacing w:after="0"/>
              <w:rPr>
                <w:sz w:val="14"/>
                <w:szCs w:val="14"/>
                <w:color w:val="auto"/>
              </w:rPr>
            </w:pP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215"/>
        </w:trPr>
        <w:tc>
          <w:tcPr>
            <w:tcW w:w="1920" w:type="dxa"/>
            <w:vAlign w:val="bottom"/>
            <w:tcBorders>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Compensation</w:t>
            </w:r>
          </w:p>
        </w:tc>
        <w:tc>
          <w:tcPr>
            <w:tcW w:w="660" w:type="dxa"/>
            <w:vAlign w:val="bottom"/>
            <w:tcBorders>
              <w:right w:val="single" w:sz="8" w:color="58595B"/>
            </w:tcBorders>
          </w:tcPr>
          <w:p>
            <w:pPr>
              <w:spacing w:after="0"/>
              <w:rPr>
                <w:sz w:val="18"/>
                <w:szCs w:val="18"/>
                <w:color w:val="auto"/>
              </w:rPr>
            </w:pPr>
          </w:p>
        </w:tc>
        <w:tc>
          <w:tcPr>
            <w:tcW w:w="680" w:type="dxa"/>
            <w:vAlign w:val="bottom"/>
            <w:tcBorders>
              <w:right w:val="single" w:sz="8" w:color="58595B"/>
            </w:tcBorders>
          </w:tcPr>
          <w:p>
            <w:pPr>
              <w:spacing w:after="0"/>
              <w:rPr>
                <w:sz w:val="18"/>
                <w:szCs w:val="18"/>
                <w:color w:val="auto"/>
              </w:rPr>
            </w:pPr>
          </w:p>
        </w:tc>
        <w:tc>
          <w:tcPr>
            <w:tcW w:w="720" w:type="dxa"/>
            <w:vAlign w:val="bottom"/>
            <w:tcBorders>
              <w:right w:val="single" w:sz="8" w:color="58595B"/>
            </w:tcBorders>
          </w:tcPr>
          <w:p>
            <w:pPr>
              <w:spacing w:after="0"/>
              <w:rPr>
                <w:sz w:val="18"/>
                <w:szCs w:val="18"/>
                <w:color w:val="auto"/>
              </w:rPr>
            </w:pPr>
          </w:p>
        </w:tc>
        <w:tc>
          <w:tcPr>
            <w:tcW w:w="660" w:type="dxa"/>
            <w:vAlign w:val="bottom"/>
            <w:tcBorders>
              <w:right w:val="single" w:sz="8" w:color="58595B"/>
            </w:tcBorders>
          </w:tcPr>
          <w:p>
            <w:pPr>
              <w:spacing w:after="0"/>
              <w:rPr>
                <w:sz w:val="18"/>
                <w:szCs w:val="18"/>
                <w:color w:val="auto"/>
              </w:rPr>
            </w:pPr>
          </w:p>
        </w:tc>
        <w:tc>
          <w:tcPr>
            <w:tcW w:w="540" w:type="dxa"/>
            <w:vAlign w:val="bottom"/>
            <w:tcBorders>
              <w:right w:val="single" w:sz="8" w:color="58595B"/>
            </w:tcBorders>
          </w:tcPr>
          <w:p>
            <w:pPr>
              <w:spacing w:after="0"/>
              <w:rPr>
                <w:sz w:val="18"/>
                <w:szCs w:val="18"/>
                <w:color w:val="auto"/>
              </w:rPr>
            </w:pPr>
          </w:p>
        </w:tc>
        <w:tc>
          <w:tcPr>
            <w:tcW w:w="480" w:type="dxa"/>
            <w:vAlign w:val="bottom"/>
            <w:tcBorders>
              <w:right w:val="single" w:sz="8" w:color="58595B"/>
            </w:tcBorders>
          </w:tcPr>
          <w:p>
            <w:pPr>
              <w:spacing w:after="0"/>
              <w:rPr>
                <w:sz w:val="18"/>
                <w:szCs w:val="18"/>
                <w:color w:val="auto"/>
              </w:rPr>
            </w:pPr>
          </w:p>
        </w:tc>
        <w:tc>
          <w:tcPr>
            <w:tcW w:w="520" w:type="dxa"/>
            <w:vAlign w:val="bottom"/>
            <w:tcBorders>
              <w:right w:val="single" w:sz="8" w:color="58595B"/>
            </w:tcBorders>
          </w:tcPr>
          <w:p>
            <w:pPr>
              <w:spacing w:after="0"/>
              <w:rPr>
                <w:sz w:val="18"/>
                <w:szCs w:val="18"/>
                <w:color w:val="auto"/>
              </w:rPr>
            </w:pPr>
          </w:p>
        </w:tc>
        <w:tc>
          <w:tcPr>
            <w:tcW w:w="540" w:type="dxa"/>
            <w:vAlign w:val="bottom"/>
            <w:tcBorders>
              <w:right w:val="single" w:sz="8" w:color="58595B"/>
            </w:tcBorders>
          </w:tcPr>
          <w:p>
            <w:pPr>
              <w:spacing w:after="0"/>
              <w:rPr>
                <w:sz w:val="18"/>
                <w:szCs w:val="18"/>
                <w:color w:val="auto"/>
              </w:rPr>
            </w:pPr>
          </w:p>
        </w:tc>
        <w:tc>
          <w:tcPr>
            <w:tcW w:w="440" w:type="dxa"/>
            <w:vAlign w:val="bottom"/>
            <w:tcBorders>
              <w:right w:val="single" w:sz="8" w:color="58595B"/>
            </w:tcBorders>
          </w:tcPr>
          <w:p>
            <w:pPr>
              <w:spacing w:after="0"/>
              <w:rPr>
                <w:sz w:val="18"/>
                <w:szCs w:val="18"/>
                <w:color w:val="auto"/>
              </w:rPr>
            </w:pPr>
          </w:p>
        </w:tc>
        <w:tc>
          <w:tcPr>
            <w:tcW w:w="580" w:type="dxa"/>
            <w:vAlign w:val="bottom"/>
            <w:tcBorders>
              <w:right w:val="single" w:sz="8" w:color="58595B"/>
            </w:tcBorders>
          </w:tcPr>
          <w:p>
            <w:pPr>
              <w:spacing w:after="0"/>
              <w:rPr>
                <w:sz w:val="18"/>
                <w:szCs w:val="18"/>
                <w:color w:val="auto"/>
              </w:rPr>
            </w:pPr>
          </w:p>
        </w:tc>
        <w:tc>
          <w:tcPr>
            <w:tcW w:w="700" w:type="dxa"/>
            <w:vAlign w:val="bottom"/>
            <w:tcBorders>
              <w:right w:val="single" w:sz="8" w:color="58595B"/>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20" w:type="dxa"/>
            <w:vAlign w:val="bottom"/>
            <w:tcBorders>
              <w:top w:val="single" w:sz="8" w:color="58595B"/>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Finance/Capital Allocation</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top w:val="single" w:sz="8" w:color="58595B"/>
              <w:right w:val="single" w:sz="8" w:color="58595B"/>
            </w:tcBorders>
          </w:tcPr>
          <w:p>
            <w:pPr>
              <w:spacing w:after="0"/>
              <w:rPr>
                <w:sz w:val="20"/>
                <w:szCs w:val="20"/>
                <w:color w:val="auto"/>
              </w:rPr>
            </w:pP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Financial Literacy</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right w:val="single" w:sz="8" w:color="58595B"/>
            </w:tcBorders>
          </w:tcPr>
          <w:p>
            <w:pPr>
              <w:spacing w:after="0"/>
              <w:rPr>
                <w:sz w:val="20"/>
                <w:szCs w:val="20"/>
                <w:color w:val="auto"/>
              </w:rPr>
            </w:pP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Regulatory</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right w:val="single" w:sz="8" w:color="58595B"/>
            </w:tcBorders>
          </w:tcPr>
          <w:p>
            <w:pPr>
              <w:spacing w:after="0"/>
              <w:rPr>
                <w:sz w:val="20"/>
                <w:szCs w:val="20"/>
                <w:color w:val="auto"/>
              </w:rPr>
            </w:pPr>
          </w:p>
        </w:tc>
        <w:tc>
          <w:tcPr>
            <w:tcW w:w="480" w:type="dxa"/>
            <w:vAlign w:val="bottom"/>
            <w:tcBorders>
              <w:right w:val="single" w:sz="8" w:color="58595B"/>
            </w:tcBorders>
          </w:tcPr>
          <w:p>
            <w:pPr>
              <w:spacing w:after="0"/>
              <w:rPr>
                <w:sz w:val="20"/>
                <w:szCs w:val="20"/>
                <w:color w:val="auto"/>
              </w:rPr>
            </w:pP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Real Estate</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spacing w:after="0"/>
              <w:rPr>
                <w:sz w:val="20"/>
                <w:szCs w:val="20"/>
                <w:color w:val="auto"/>
              </w:rPr>
            </w:pPr>
          </w:p>
        </w:tc>
        <w:tc>
          <w:tcPr>
            <w:tcW w:w="660" w:type="dxa"/>
            <w:vAlign w:val="bottom"/>
            <w:tcBorders>
              <w:right w:val="single" w:sz="8" w:color="58595B"/>
            </w:tcBorders>
          </w:tcPr>
          <w:p>
            <w:pPr>
              <w:spacing w:after="0"/>
              <w:rPr>
                <w:sz w:val="20"/>
                <w:szCs w:val="20"/>
                <w:color w:val="auto"/>
              </w:rPr>
            </w:pPr>
          </w:p>
        </w:tc>
        <w:tc>
          <w:tcPr>
            <w:tcW w:w="540" w:type="dxa"/>
            <w:vAlign w:val="bottom"/>
            <w:tcBorders>
              <w:right w:val="single" w:sz="8" w:color="58595B"/>
            </w:tcBorders>
          </w:tcPr>
          <w:p>
            <w:pPr>
              <w:spacing w:after="0"/>
              <w:rPr>
                <w:sz w:val="20"/>
                <w:szCs w:val="20"/>
                <w:color w:val="auto"/>
              </w:rPr>
            </w:pP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spacing w:after="0"/>
              <w:rPr>
                <w:sz w:val="20"/>
                <w:szCs w:val="20"/>
                <w:color w:val="auto"/>
              </w:rPr>
            </w:pPr>
          </w:p>
        </w:tc>
        <w:tc>
          <w:tcPr>
            <w:tcW w:w="540" w:type="dxa"/>
            <w:vAlign w:val="bottom"/>
            <w:tcBorders>
              <w:right w:val="single" w:sz="8" w:color="58595B"/>
            </w:tcBorders>
          </w:tcPr>
          <w:p>
            <w:pPr>
              <w:spacing w:after="0"/>
              <w:rPr>
                <w:sz w:val="20"/>
                <w:szCs w:val="20"/>
                <w:color w:val="auto"/>
              </w:rPr>
            </w:pP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20" w:type="dxa"/>
            <w:vAlign w:val="bottom"/>
            <w:tcBorders>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Risk Management</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58595B"/>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Corporate Governance</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231"/>
        </w:trPr>
        <w:tc>
          <w:tcPr>
            <w:tcW w:w="1920" w:type="dxa"/>
            <w:vAlign w:val="bottom"/>
            <w:tcBorders>
              <w:top w:val="single" w:sz="8" w:color="58595B"/>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Technology/Systems</w:t>
            </w:r>
          </w:p>
        </w:tc>
        <w:tc>
          <w:tcPr>
            <w:tcW w:w="66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top w:val="single" w:sz="8" w:color="58595B"/>
              <w:right w:val="single" w:sz="8" w:color="58595B"/>
            </w:tcBorders>
          </w:tcPr>
          <w:p>
            <w:pPr>
              <w:spacing w:after="0"/>
              <w:rPr>
                <w:sz w:val="20"/>
                <w:szCs w:val="20"/>
                <w:color w:val="auto"/>
              </w:rPr>
            </w:pPr>
          </w:p>
        </w:tc>
        <w:tc>
          <w:tcPr>
            <w:tcW w:w="660" w:type="dxa"/>
            <w:vAlign w:val="bottom"/>
            <w:tcBorders>
              <w:top w:val="single" w:sz="8" w:color="58595B"/>
              <w:right w:val="single" w:sz="8" w:color="58595B"/>
            </w:tcBorders>
          </w:tcPr>
          <w:p>
            <w:pPr>
              <w:spacing w:after="0"/>
              <w:rPr>
                <w:sz w:val="20"/>
                <w:szCs w:val="20"/>
                <w:color w:val="auto"/>
              </w:rPr>
            </w:pP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top w:val="single" w:sz="8" w:color="58595B"/>
              <w:right w:val="single" w:sz="8" w:color="58595B"/>
            </w:tcBorders>
          </w:tcPr>
          <w:p>
            <w:pPr>
              <w:spacing w:after="0"/>
              <w:rPr>
                <w:sz w:val="20"/>
                <w:szCs w:val="20"/>
                <w:color w:val="auto"/>
              </w:rPr>
            </w:pPr>
          </w:p>
        </w:tc>
        <w:tc>
          <w:tcPr>
            <w:tcW w:w="520" w:type="dxa"/>
            <w:vAlign w:val="bottom"/>
            <w:tcBorders>
              <w:top w:val="single" w:sz="8" w:color="58595B"/>
              <w:right w:val="single" w:sz="8" w:color="58595B"/>
            </w:tcBorders>
          </w:tcPr>
          <w:p>
            <w:pPr>
              <w:spacing w:after="0"/>
              <w:rPr>
                <w:sz w:val="20"/>
                <w:szCs w:val="20"/>
                <w:color w:val="auto"/>
              </w:rPr>
            </w:pPr>
          </w:p>
        </w:tc>
        <w:tc>
          <w:tcPr>
            <w:tcW w:w="5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top w:val="single" w:sz="8" w:color="58595B"/>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top w:val="single" w:sz="8" w:color="58595B"/>
              <w:right w:val="single" w:sz="8" w:color="58595B"/>
            </w:tcBorders>
          </w:tcPr>
          <w:p>
            <w:pPr>
              <w:spacing w:after="0"/>
              <w:rPr>
                <w:sz w:val="20"/>
                <w:szCs w:val="20"/>
                <w:color w:val="auto"/>
              </w:rPr>
            </w:pPr>
          </w:p>
        </w:tc>
        <w:tc>
          <w:tcPr>
            <w:tcW w:w="700" w:type="dxa"/>
            <w:vAlign w:val="bottom"/>
            <w:tcBorders>
              <w:top w:val="single" w:sz="8" w:color="58595B"/>
              <w:right w:val="single" w:sz="8" w:color="58595B"/>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Legal</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spacing w:after="0"/>
              <w:rPr>
                <w:sz w:val="20"/>
                <w:szCs w:val="20"/>
                <w:color w:val="auto"/>
              </w:rPr>
            </w:pPr>
          </w:p>
        </w:tc>
        <w:tc>
          <w:tcPr>
            <w:tcW w:w="720" w:type="dxa"/>
            <w:vAlign w:val="bottom"/>
            <w:tcBorders>
              <w:right w:val="single" w:sz="8" w:color="58595B"/>
            </w:tcBorders>
          </w:tcPr>
          <w:p>
            <w:pPr>
              <w:spacing w:after="0"/>
              <w:rPr>
                <w:sz w:val="20"/>
                <w:szCs w:val="20"/>
                <w:color w:val="auto"/>
              </w:rPr>
            </w:pP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540" w:type="dxa"/>
            <w:vAlign w:val="bottom"/>
            <w:tcBorders>
              <w:right w:val="single" w:sz="8" w:color="58595B"/>
            </w:tcBorders>
          </w:tcPr>
          <w:p>
            <w:pPr>
              <w:spacing w:after="0"/>
              <w:rPr>
                <w:sz w:val="20"/>
                <w:szCs w:val="20"/>
                <w:color w:val="auto"/>
              </w:rPr>
            </w:pPr>
          </w:p>
        </w:tc>
        <w:tc>
          <w:tcPr>
            <w:tcW w:w="480" w:type="dxa"/>
            <w:vAlign w:val="bottom"/>
            <w:tcBorders>
              <w:right w:val="single" w:sz="8" w:color="58595B"/>
            </w:tcBorders>
          </w:tcPr>
          <w:p>
            <w:pPr>
              <w:spacing w:after="0"/>
              <w:rPr>
                <w:sz w:val="20"/>
                <w:szCs w:val="20"/>
                <w:color w:val="auto"/>
              </w:rPr>
            </w:pPr>
          </w:p>
        </w:tc>
        <w:tc>
          <w:tcPr>
            <w:tcW w:w="5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40" w:type="dxa"/>
            <w:vAlign w:val="bottom"/>
            <w:tcBorders>
              <w:right w:val="single" w:sz="8" w:color="58595B"/>
            </w:tcBorders>
          </w:tcPr>
          <w:p>
            <w:pPr>
              <w:spacing w:after="0"/>
              <w:rPr>
                <w:sz w:val="20"/>
                <w:szCs w:val="20"/>
                <w:color w:val="auto"/>
              </w:rPr>
            </w:pPr>
          </w:p>
        </w:tc>
        <w:tc>
          <w:tcPr>
            <w:tcW w:w="440" w:type="dxa"/>
            <w:vAlign w:val="bottom"/>
            <w:tcBorders>
              <w:right w:val="single" w:sz="8" w:color="58595B"/>
            </w:tcBorders>
          </w:tcPr>
          <w:p>
            <w:pPr>
              <w:spacing w:after="0"/>
              <w:rPr>
                <w:sz w:val="20"/>
                <w:szCs w:val="20"/>
                <w:color w:val="auto"/>
              </w:rPr>
            </w:pPr>
          </w:p>
        </w:tc>
        <w:tc>
          <w:tcPr>
            <w:tcW w:w="580" w:type="dxa"/>
            <w:vAlign w:val="bottom"/>
            <w:tcBorders>
              <w:right w:val="single" w:sz="8" w:color="58595B"/>
            </w:tcBorders>
          </w:tcPr>
          <w:p>
            <w:pPr>
              <w:spacing w:after="0"/>
              <w:rPr>
                <w:sz w:val="20"/>
                <w:szCs w:val="20"/>
                <w:color w:val="auto"/>
              </w:rPr>
            </w:pP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920" w:type="dxa"/>
            <w:vAlign w:val="bottom"/>
            <w:tcBorders>
              <w:left w:val="single" w:sz="8" w:color="58595B"/>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Marketing/Sales</w:t>
            </w:r>
          </w:p>
        </w:tc>
        <w:tc>
          <w:tcPr>
            <w:tcW w:w="66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6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2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660" w:type="dxa"/>
            <w:vAlign w:val="bottom"/>
            <w:tcBorders>
              <w:right w:val="single" w:sz="8" w:color="58595B"/>
            </w:tcBorders>
          </w:tcPr>
          <w:p>
            <w:pPr>
              <w:spacing w:after="0"/>
              <w:rPr>
                <w:sz w:val="20"/>
                <w:szCs w:val="20"/>
                <w:color w:val="auto"/>
              </w:rPr>
            </w:pP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4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20" w:type="dxa"/>
            <w:vAlign w:val="bottom"/>
            <w:tcBorders>
              <w:right w:val="single" w:sz="8" w:color="58595B"/>
            </w:tcBorders>
          </w:tcPr>
          <w:p>
            <w:pPr>
              <w:spacing w:after="0"/>
              <w:rPr>
                <w:sz w:val="20"/>
                <w:szCs w:val="20"/>
                <w:color w:val="auto"/>
              </w:rPr>
            </w:pPr>
          </w:p>
        </w:tc>
        <w:tc>
          <w:tcPr>
            <w:tcW w:w="5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44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58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w w:val="89"/>
              </w:rPr>
              <w:t>●</w:t>
            </w:r>
          </w:p>
        </w:tc>
        <w:tc>
          <w:tcPr>
            <w:tcW w:w="700" w:type="dxa"/>
            <w:vAlign w:val="bottom"/>
            <w:tcBorders>
              <w:right w:val="single" w:sz="8" w:color="58595B"/>
            </w:tcBorders>
          </w:tcPr>
          <w:p>
            <w:pPr>
              <w:jc w:val="center"/>
              <w:spacing w:after="0"/>
              <w:rPr>
                <w:sz w:val="20"/>
                <w:szCs w:val="20"/>
                <w:color w:val="auto"/>
              </w:rPr>
            </w:pPr>
            <w:r>
              <w:rPr>
                <w:rFonts w:ascii="Times New Roman" w:cs="Times New Roman" w:eastAsia="Times New Roman" w:hAnsi="Times New Roman"/>
                <w:sz w:val="11"/>
                <w:szCs w:val="11"/>
                <w:color w:val="58595B"/>
              </w:rPr>
              <w:t>●</w:t>
            </w:r>
          </w:p>
        </w:tc>
        <w:tc>
          <w:tcPr>
            <w:tcW w:w="0" w:type="dxa"/>
            <w:vAlign w:val="bottom"/>
          </w:tcPr>
          <w:p>
            <w:pPr>
              <w:spacing w:after="0"/>
              <w:rPr>
                <w:sz w:val="1"/>
                <w:szCs w:val="1"/>
                <w:color w:val="auto"/>
              </w:rPr>
            </w:pPr>
          </w:p>
        </w:tc>
      </w:tr>
      <w:tr>
        <w:trPr>
          <w:trHeight w:val="94"/>
        </w:trPr>
        <w:tc>
          <w:tcPr>
            <w:tcW w:w="1920" w:type="dxa"/>
            <w:vAlign w:val="bottom"/>
            <w:tcBorders>
              <w:left w:val="single" w:sz="8" w:color="58595B"/>
              <w:bottom w:val="single" w:sz="8" w:color="58595B"/>
              <w:right w:val="single" w:sz="8" w:color="58595B"/>
            </w:tcBorders>
            <w:shd w:val="clear" w:color="auto" w:fill="E6E7E8"/>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680" w:type="dxa"/>
            <w:vAlign w:val="bottom"/>
            <w:tcBorders>
              <w:bottom w:val="single" w:sz="8" w:color="58595B"/>
              <w:right w:val="single" w:sz="8" w:color="58595B"/>
            </w:tcBorders>
          </w:tcPr>
          <w:p>
            <w:pPr>
              <w:spacing w:after="0"/>
              <w:rPr>
                <w:sz w:val="8"/>
                <w:szCs w:val="8"/>
                <w:color w:val="auto"/>
              </w:rPr>
            </w:pPr>
          </w:p>
        </w:tc>
        <w:tc>
          <w:tcPr>
            <w:tcW w:w="720" w:type="dxa"/>
            <w:vAlign w:val="bottom"/>
            <w:tcBorders>
              <w:bottom w:val="single" w:sz="8" w:color="58595B"/>
              <w:right w:val="single" w:sz="8" w:color="58595B"/>
            </w:tcBorders>
          </w:tcPr>
          <w:p>
            <w:pPr>
              <w:spacing w:after="0"/>
              <w:rPr>
                <w:sz w:val="8"/>
                <w:szCs w:val="8"/>
                <w:color w:val="auto"/>
              </w:rPr>
            </w:pPr>
          </w:p>
        </w:tc>
        <w:tc>
          <w:tcPr>
            <w:tcW w:w="66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80" w:type="dxa"/>
            <w:vAlign w:val="bottom"/>
            <w:tcBorders>
              <w:bottom w:val="single" w:sz="8" w:color="58595B"/>
              <w:right w:val="single" w:sz="8" w:color="58595B"/>
            </w:tcBorders>
          </w:tcPr>
          <w:p>
            <w:pPr>
              <w:spacing w:after="0"/>
              <w:rPr>
                <w:sz w:val="8"/>
                <w:szCs w:val="8"/>
                <w:color w:val="auto"/>
              </w:rPr>
            </w:pPr>
          </w:p>
        </w:tc>
        <w:tc>
          <w:tcPr>
            <w:tcW w:w="520" w:type="dxa"/>
            <w:vAlign w:val="bottom"/>
            <w:tcBorders>
              <w:bottom w:val="single" w:sz="8" w:color="58595B"/>
              <w:right w:val="single" w:sz="8" w:color="58595B"/>
            </w:tcBorders>
          </w:tcPr>
          <w:p>
            <w:pPr>
              <w:spacing w:after="0"/>
              <w:rPr>
                <w:sz w:val="8"/>
                <w:szCs w:val="8"/>
                <w:color w:val="auto"/>
              </w:rPr>
            </w:pPr>
          </w:p>
        </w:tc>
        <w:tc>
          <w:tcPr>
            <w:tcW w:w="540" w:type="dxa"/>
            <w:vAlign w:val="bottom"/>
            <w:tcBorders>
              <w:bottom w:val="single" w:sz="8" w:color="58595B"/>
              <w:right w:val="single" w:sz="8" w:color="58595B"/>
            </w:tcBorders>
          </w:tcPr>
          <w:p>
            <w:pPr>
              <w:spacing w:after="0"/>
              <w:rPr>
                <w:sz w:val="8"/>
                <w:szCs w:val="8"/>
                <w:color w:val="auto"/>
              </w:rPr>
            </w:pPr>
          </w:p>
        </w:tc>
        <w:tc>
          <w:tcPr>
            <w:tcW w:w="440" w:type="dxa"/>
            <w:vAlign w:val="bottom"/>
            <w:tcBorders>
              <w:bottom w:val="single" w:sz="8" w:color="58595B"/>
              <w:right w:val="single" w:sz="8" w:color="58595B"/>
            </w:tcBorders>
          </w:tcPr>
          <w:p>
            <w:pPr>
              <w:spacing w:after="0"/>
              <w:rPr>
                <w:sz w:val="8"/>
                <w:szCs w:val="8"/>
                <w:color w:val="auto"/>
              </w:rPr>
            </w:pPr>
          </w:p>
        </w:tc>
        <w:tc>
          <w:tcPr>
            <w:tcW w:w="580" w:type="dxa"/>
            <w:vAlign w:val="bottom"/>
            <w:tcBorders>
              <w:bottom w:val="single" w:sz="8" w:color="58595B"/>
              <w:right w:val="single" w:sz="8" w:color="58595B"/>
            </w:tcBorders>
          </w:tcPr>
          <w:p>
            <w:pPr>
              <w:spacing w:after="0"/>
              <w:rPr>
                <w:sz w:val="8"/>
                <w:szCs w:val="8"/>
                <w:color w:val="auto"/>
              </w:rPr>
            </w:pPr>
          </w:p>
        </w:tc>
        <w:tc>
          <w:tcPr>
            <w:tcW w:w="7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20" w:type="dxa"/>
            <w:vAlign w:val="bottom"/>
            <w:tcBorders>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Board Tenure</w:t>
            </w: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20</w:t>
            </w:r>
          </w:p>
        </w:tc>
        <w:tc>
          <w:tcPr>
            <w:tcW w:w="68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9</w:t>
            </w:r>
          </w:p>
        </w:tc>
        <w:tc>
          <w:tcPr>
            <w:tcW w:w="72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rPr>
              <w:t>20</w:t>
            </w: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5</w:t>
            </w:r>
          </w:p>
        </w:tc>
        <w:tc>
          <w:tcPr>
            <w:tcW w:w="54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20</w:t>
            </w:r>
          </w:p>
        </w:tc>
        <w:tc>
          <w:tcPr>
            <w:tcW w:w="48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rPr>
              <w:t>20</w:t>
            </w:r>
          </w:p>
        </w:tc>
        <w:tc>
          <w:tcPr>
            <w:tcW w:w="52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6</w:t>
            </w:r>
          </w:p>
        </w:tc>
        <w:tc>
          <w:tcPr>
            <w:tcW w:w="54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9</w:t>
            </w:r>
          </w:p>
        </w:tc>
        <w:tc>
          <w:tcPr>
            <w:tcW w:w="44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rPr>
              <w:t>12</w:t>
            </w:r>
          </w:p>
        </w:tc>
        <w:tc>
          <w:tcPr>
            <w:tcW w:w="58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19</w:t>
            </w:r>
          </w:p>
        </w:tc>
        <w:tc>
          <w:tcPr>
            <w:tcW w:w="700" w:type="dxa"/>
            <w:vAlign w:val="bottom"/>
            <w:tcBorders>
              <w:right w:val="single" w:sz="8" w:color="58595B"/>
            </w:tcBorders>
          </w:tcPr>
          <w:p>
            <w:pPr>
              <w:jc w:val="center"/>
              <w:spacing w:after="0"/>
              <w:rPr>
                <w:sz w:val="20"/>
                <w:szCs w:val="20"/>
                <w:color w:val="auto"/>
              </w:rPr>
            </w:pPr>
            <w:r>
              <w:rPr>
                <w:rFonts w:ascii="Arial" w:cs="Arial" w:eastAsia="Arial" w:hAnsi="Arial"/>
                <w:sz w:val="11"/>
                <w:szCs w:val="11"/>
                <w:color w:val="211E1F"/>
                <w:w w:val="97"/>
              </w:rPr>
              <w:t>20</w:t>
            </w:r>
          </w:p>
        </w:tc>
        <w:tc>
          <w:tcPr>
            <w:tcW w:w="0" w:type="dxa"/>
            <w:vAlign w:val="bottom"/>
          </w:tcPr>
          <w:p>
            <w:pPr>
              <w:spacing w:after="0"/>
              <w:rPr>
                <w:sz w:val="1"/>
                <w:szCs w:val="1"/>
                <w:color w:val="auto"/>
              </w:rPr>
            </w:pPr>
          </w:p>
        </w:tc>
      </w:tr>
      <w:tr>
        <w:trPr>
          <w:trHeight w:val="243"/>
        </w:trPr>
        <w:tc>
          <w:tcPr>
            <w:tcW w:w="1920" w:type="dxa"/>
            <w:vAlign w:val="bottom"/>
            <w:tcBorders>
              <w:top w:val="single" w:sz="8" w:color="58595B"/>
              <w:left w:val="single" w:sz="8" w:color="58595B"/>
              <w:bottom w:val="single" w:sz="8" w:color="E6E7E8"/>
              <w:right w:val="single" w:sz="8" w:color="58595B"/>
            </w:tcBorders>
            <w:shd w:val="clear" w:color="auto" w:fill="E6E7E8"/>
          </w:tcPr>
          <w:p>
            <w:pPr>
              <w:ind w:left="60"/>
              <w:spacing w:after="0"/>
              <w:rPr>
                <w:sz w:val="20"/>
                <w:szCs w:val="20"/>
                <w:color w:val="auto"/>
              </w:rPr>
            </w:pPr>
            <w:r>
              <w:rPr>
                <w:rFonts w:ascii="Arial" w:cs="Arial" w:eastAsia="Arial" w:hAnsi="Arial"/>
                <w:sz w:val="11"/>
                <w:szCs w:val="11"/>
                <w:b w:val="1"/>
                <w:bCs w:val="1"/>
                <w:color w:val="58595B"/>
              </w:rPr>
              <w:t>Age</w:t>
            </w:r>
          </w:p>
        </w:tc>
        <w:tc>
          <w:tcPr>
            <w:tcW w:w="66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81</w:t>
            </w:r>
          </w:p>
        </w:tc>
        <w:tc>
          <w:tcPr>
            <w:tcW w:w="68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rPr>
              <w:t>79</w:t>
            </w:r>
          </w:p>
        </w:tc>
        <w:tc>
          <w:tcPr>
            <w:tcW w:w="72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rPr>
              <w:t>74</w:t>
            </w:r>
          </w:p>
        </w:tc>
        <w:tc>
          <w:tcPr>
            <w:tcW w:w="66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53</w:t>
            </w:r>
          </w:p>
        </w:tc>
        <w:tc>
          <w:tcPr>
            <w:tcW w:w="54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63</w:t>
            </w:r>
          </w:p>
        </w:tc>
        <w:tc>
          <w:tcPr>
            <w:tcW w:w="48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rPr>
              <w:t>91</w:t>
            </w:r>
          </w:p>
        </w:tc>
        <w:tc>
          <w:tcPr>
            <w:tcW w:w="52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rPr>
              <w:t>48</w:t>
            </w:r>
          </w:p>
        </w:tc>
        <w:tc>
          <w:tcPr>
            <w:tcW w:w="54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59</w:t>
            </w:r>
          </w:p>
        </w:tc>
        <w:tc>
          <w:tcPr>
            <w:tcW w:w="44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rPr>
              <w:t>71</w:t>
            </w:r>
          </w:p>
        </w:tc>
        <w:tc>
          <w:tcPr>
            <w:tcW w:w="58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59</w:t>
            </w:r>
          </w:p>
        </w:tc>
        <w:tc>
          <w:tcPr>
            <w:tcW w:w="7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1"/>
                <w:szCs w:val="11"/>
                <w:color w:val="211E1F"/>
                <w:w w:val="97"/>
              </w:rPr>
              <w:t>68</w:t>
            </w:r>
          </w:p>
        </w:tc>
        <w:tc>
          <w:tcPr>
            <w:tcW w:w="0" w:type="dxa"/>
            <w:vAlign w:val="bottom"/>
          </w:tcPr>
          <w:p>
            <w:pPr>
              <w:spacing w:after="0"/>
              <w:rPr>
                <w:sz w:val="1"/>
                <w:szCs w:val="1"/>
                <w:color w:val="auto"/>
              </w:rPr>
            </w:pPr>
          </w:p>
        </w:tc>
      </w:tr>
      <w:tr>
        <w:trPr>
          <w:trHeight w:val="20"/>
        </w:trPr>
        <w:tc>
          <w:tcPr>
            <w:tcW w:w="1920" w:type="dxa"/>
            <w:vAlign w:val="bottom"/>
            <w:tcBorders>
              <w:left w:val="single" w:sz="8" w:color="58595B"/>
              <w:right w:val="single" w:sz="8" w:color="58595B"/>
            </w:tcBorders>
            <w:shd w:val="clear" w:color="auto" w:fill="58595B"/>
          </w:tcPr>
          <w:p>
            <w:pPr>
              <w:spacing w:after="0" w:line="20" w:lineRule="exact"/>
              <w:rPr>
                <w:sz w:val="1"/>
                <w:szCs w:val="1"/>
                <w:color w:val="auto"/>
              </w:rPr>
            </w:pPr>
          </w:p>
        </w:tc>
        <w:tc>
          <w:tcPr>
            <w:tcW w:w="660" w:type="dxa"/>
            <w:vAlign w:val="bottom"/>
            <w:tcBorders>
              <w:right w:val="single" w:sz="8" w:color="58595B"/>
            </w:tcBorders>
            <w:shd w:val="clear" w:color="auto" w:fill="58595B"/>
          </w:tcPr>
          <w:p>
            <w:pPr>
              <w:spacing w:after="0" w:line="20" w:lineRule="exact"/>
              <w:rPr>
                <w:sz w:val="1"/>
                <w:szCs w:val="1"/>
                <w:color w:val="auto"/>
              </w:rPr>
            </w:pPr>
          </w:p>
        </w:tc>
        <w:tc>
          <w:tcPr>
            <w:tcW w:w="680" w:type="dxa"/>
            <w:vAlign w:val="bottom"/>
            <w:tcBorders>
              <w:right w:val="single" w:sz="8" w:color="58595B"/>
            </w:tcBorders>
            <w:shd w:val="clear" w:color="auto" w:fill="58595B"/>
          </w:tcPr>
          <w:p>
            <w:pPr>
              <w:spacing w:after="0" w:line="20" w:lineRule="exact"/>
              <w:rPr>
                <w:sz w:val="1"/>
                <w:szCs w:val="1"/>
                <w:color w:val="auto"/>
              </w:rPr>
            </w:pPr>
          </w:p>
        </w:tc>
        <w:tc>
          <w:tcPr>
            <w:tcW w:w="720" w:type="dxa"/>
            <w:vAlign w:val="bottom"/>
            <w:tcBorders>
              <w:right w:val="single" w:sz="8" w:color="58595B"/>
            </w:tcBorders>
            <w:shd w:val="clear" w:color="auto" w:fill="58595B"/>
          </w:tcPr>
          <w:p>
            <w:pPr>
              <w:spacing w:after="0" w:line="20" w:lineRule="exact"/>
              <w:rPr>
                <w:sz w:val="1"/>
                <w:szCs w:val="1"/>
                <w:color w:val="auto"/>
              </w:rPr>
            </w:pPr>
          </w:p>
        </w:tc>
        <w:tc>
          <w:tcPr>
            <w:tcW w:w="660" w:type="dxa"/>
            <w:vAlign w:val="bottom"/>
            <w:tcBorders>
              <w:right w:val="single" w:sz="8" w:color="58595B"/>
            </w:tcBorders>
            <w:shd w:val="clear" w:color="auto" w:fill="58595B"/>
          </w:tcPr>
          <w:p>
            <w:pPr>
              <w:spacing w:after="0" w:line="20" w:lineRule="exact"/>
              <w:rPr>
                <w:sz w:val="1"/>
                <w:szCs w:val="1"/>
                <w:color w:val="auto"/>
              </w:rPr>
            </w:pPr>
          </w:p>
        </w:tc>
        <w:tc>
          <w:tcPr>
            <w:tcW w:w="540" w:type="dxa"/>
            <w:vAlign w:val="bottom"/>
            <w:tcBorders>
              <w:right w:val="single" w:sz="8" w:color="58595B"/>
            </w:tcBorders>
            <w:shd w:val="clear" w:color="auto" w:fill="58595B"/>
          </w:tcPr>
          <w:p>
            <w:pPr>
              <w:spacing w:after="0" w:line="20" w:lineRule="exact"/>
              <w:rPr>
                <w:sz w:val="1"/>
                <w:szCs w:val="1"/>
                <w:color w:val="auto"/>
              </w:rPr>
            </w:pPr>
          </w:p>
        </w:tc>
        <w:tc>
          <w:tcPr>
            <w:tcW w:w="480" w:type="dxa"/>
            <w:vAlign w:val="bottom"/>
            <w:tcBorders>
              <w:right w:val="single" w:sz="8" w:color="58595B"/>
            </w:tcBorders>
            <w:shd w:val="clear" w:color="auto" w:fill="58595B"/>
          </w:tcPr>
          <w:p>
            <w:pPr>
              <w:spacing w:after="0" w:line="20" w:lineRule="exact"/>
              <w:rPr>
                <w:sz w:val="1"/>
                <w:szCs w:val="1"/>
                <w:color w:val="auto"/>
              </w:rPr>
            </w:pPr>
          </w:p>
        </w:tc>
        <w:tc>
          <w:tcPr>
            <w:tcW w:w="520" w:type="dxa"/>
            <w:vAlign w:val="bottom"/>
            <w:tcBorders>
              <w:right w:val="single" w:sz="8" w:color="58595B"/>
            </w:tcBorders>
            <w:shd w:val="clear" w:color="auto" w:fill="58595B"/>
          </w:tcPr>
          <w:p>
            <w:pPr>
              <w:spacing w:after="0" w:line="20" w:lineRule="exact"/>
              <w:rPr>
                <w:sz w:val="1"/>
                <w:szCs w:val="1"/>
                <w:color w:val="auto"/>
              </w:rPr>
            </w:pPr>
          </w:p>
        </w:tc>
        <w:tc>
          <w:tcPr>
            <w:tcW w:w="540" w:type="dxa"/>
            <w:vAlign w:val="bottom"/>
            <w:tcBorders>
              <w:right w:val="single" w:sz="8" w:color="58595B"/>
            </w:tcBorders>
            <w:shd w:val="clear" w:color="auto" w:fill="58595B"/>
          </w:tcPr>
          <w:p>
            <w:pPr>
              <w:spacing w:after="0" w:line="20" w:lineRule="exact"/>
              <w:rPr>
                <w:sz w:val="1"/>
                <w:szCs w:val="1"/>
                <w:color w:val="auto"/>
              </w:rPr>
            </w:pPr>
          </w:p>
        </w:tc>
        <w:tc>
          <w:tcPr>
            <w:tcW w:w="440" w:type="dxa"/>
            <w:vAlign w:val="bottom"/>
            <w:tcBorders>
              <w:right w:val="single" w:sz="8" w:color="58595B"/>
            </w:tcBorders>
            <w:shd w:val="clear" w:color="auto" w:fill="58595B"/>
          </w:tcPr>
          <w:p>
            <w:pPr>
              <w:spacing w:after="0" w:line="20" w:lineRule="exact"/>
              <w:rPr>
                <w:sz w:val="1"/>
                <w:szCs w:val="1"/>
                <w:color w:val="auto"/>
              </w:rPr>
            </w:pPr>
          </w:p>
        </w:tc>
        <w:tc>
          <w:tcPr>
            <w:tcW w:w="580" w:type="dxa"/>
            <w:vAlign w:val="bottom"/>
            <w:tcBorders>
              <w:right w:val="single" w:sz="8" w:color="58595B"/>
            </w:tcBorders>
            <w:shd w:val="clear" w:color="auto" w:fill="58595B"/>
          </w:tcPr>
          <w:p>
            <w:pPr>
              <w:spacing w:after="0" w:line="20" w:lineRule="exact"/>
              <w:rPr>
                <w:sz w:val="1"/>
                <w:szCs w:val="1"/>
                <w:color w:val="auto"/>
              </w:rPr>
            </w:pPr>
          </w:p>
        </w:tc>
        <w:tc>
          <w:tcPr>
            <w:tcW w:w="700" w:type="dxa"/>
            <w:vAlign w:val="bottom"/>
            <w:tcBorders>
              <w:right w:val="single" w:sz="8" w:color="58595B"/>
            </w:tcBorders>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125095</wp:posOffset>
            </wp:positionV>
            <wp:extent cx="5352415" cy="14865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2415" cy="1486535"/>
                    </a:xfrm>
                    <a:prstGeom prst="rect">
                      <a:avLst/>
                    </a:prstGeom>
                    <a:noFill/>
                  </pic:spPr>
                </pic:pic>
              </a:graphicData>
            </a:graphic>
          </wp:anchor>
        </w:drawing>
      </w:r>
    </w:p>
    <w:p>
      <w:pPr>
        <w:spacing w:after="0" w:line="27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Class III Directors – Term Expiring 2029 (if Re-elected)</w:t>
      </w:r>
    </w:p>
    <w:p>
      <w:pPr>
        <w:spacing w:after="0" w:line="72" w:lineRule="exact"/>
        <w:rPr>
          <w:sz w:val="20"/>
          <w:szCs w:val="20"/>
          <w:color w:val="auto"/>
        </w:rPr>
      </w:pPr>
    </w:p>
    <w:tbl>
      <w:tblPr>
        <w:tblLayout w:type="fixed"/>
        <w:tblInd w:w="820" w:type="dxa"/>
        <w:tblCellMar>
          <w:top w:w="0" w:type="dxa"/>
          <w:left w:w="0" w:type="dxa"/>
          <w:bottom w:w="0" w:type="dxa"/>
          <w:right w:w="0" w:type="dxa"/>
        </w:tblCellMar>
      </w:tblPr>
      <w:tr>
        <w:trPr>
          <w:trHeight w:val="357"/>
        </w:trPr>
        <w:tc>
          <w:tcPr>
            <w:tcW w:w="2880" w:type="dxa"/>
            <w:vAlign w:val="bottom"/>
            <w:tcBorders>
              <w:top w:val="single" w:sz="8" w:color="58595B"/>
              <w:bottom w:val="single" w:sz="8" w:color="E6E7E8"/>
              <w:right w:val="single" w:sz="8" w:color="58595B"/>
            </w:tcBorders>
            <w:shd w:val="clear" w:color="auto" w:fill="E6E7E8"/>
          </w:tcPr>
          <w:p>
            <w:pPr>
              <w:ind w:left="160"/>
              <w:spacing w:after="0"/>
              <w:rPr>
                <w:sz w:val="20"/>
                <w:szCs w:val="20"/>
                <w:color w:val="auto"/>
              </w:rPr>
            </w:pPr>
            <w:r>
              <w:rPr>
                <w:rFonts w:ascii="Arial" w:cs="Arial" w:eastAsia="Arial" w:hAnsi="Arial"/>
                <w:sz w:val="15"/>
                <w:szCs w:val="15"/>
                <w:b w:val="1"/>
                <w:bCs w:val="1"/>
                <w:color w:val="58595B"/>
              </w:rPr>
              <w:t>Name</w:t>
            </w:r>
          </w:p>
        </w:tc>
        <w:tc>
          <w:tcPr>
            <w:tcW w:w="5540" w:type="dxa"/>
            <w:vAlign w:val="bottom"/>
            <w:tcBorders>
              <w:top w:val="single" w:sz="8" w:color="58595B"/>
              <w:bottom w:val="single" w:sz="8" w:color="E6E7E8"/>
            </w:tcBorders>
            <w:shd w:val="clear" w:color="auto" w:fill="E6E7E8"/>
          </w:tcPr>
          <w:p>
            <w:pPr>
              <w:ind w:left="140"/>
              <w:spacing w:after="0"/>
              <w:rPr>
                <w:sz w:val="20"/>
                <w:szCs w:val="20"/>
                <w:color w:val="auto"/>
              </w:rPr>
            </w:pPr>
            <w:r>
              <w:rPr>
                <w:rFonts w:ascii="Arial" w:cs="Arial" w:eastAsia="Arial" w:hAnsi="Arial"/>
                <w:sz w:val="15"/>
                <w:szCs w:val="15"/>
                <w:b w:val="1"/>
                <w:bCs w:val="1"/>
                <w:color w:val="58595B"/>
              </w:rPr>
              <w:t>Position</w:t>
            </w:r>
          </w:p>
        </w:tc>
        <w:tc>
          <w:tcPr>
            <w:tcW w:w="20" w:type="dxa"/>
            <w:vAlign w:val="bottom"/>
            <w:tcBorders>
              <w:top w:val="single" w:sz="8" w:color="58595B"/>
            </w:tcBorders>
          </w:tcPr>
          <w:p>
            <w:pPr>
              <w:spacing w:after="0"/>
              <w:rPr>
                <w:sz w:val="24"/>
                <w:szCs w:val="24"/>
                <w:color w:val="auto"/>
              </w:rPr>
            </w:pPr>
          </w:p>
        </w:tc>
      </w:tr>
      <w:tr>
        <w:trPr>
          <w:trHeight w:val="272"/>
        </w:trPr>
        <w:tc>
          <w:tcPr>
            <w:tcW w:w="2880" w:type="dxa"/>
            <w:vAlign w:val="bottom"/>
            <w:tcBorders>
              <w:top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rPr>
              <w:t>William P. Foley, II</w:t>
            </w:r>
          </w:p>
        </w:tc>
        <w:tc>
          <w:tcPr>
            <w:tcW w:w="5540" w:type="dxa"/>
            <w:vAlign w:val="bottom"/>
            <w:tcBorders>
              <w:top w:val="single" w:sz="8" w:color="58595B"/>
            </w:tcBorders>
          </w:tcPr>
          <w:p>
            <w:pPr>
              <w:ind w:left="140"/>
              <w:spacing w:after="0"/>
              <w:rPr>
                <w:sz w:val="20"/>
                <w:szCs w:val="20"/>
                <w:color w:val="auto"/>
              </w:rPr>
            </w:pPr>
            <w:r>
              <w:rPr>
                <w:rFonts w:ascii="Arial" w:cs="Arial" w:eastAsia="Arial" w:hAnsi="Arial"/>
                <w:sz w:val="15"/>
                <w:szCs w:val="15"/>
                <w:color w:val="58595B"/>
              </w:rPr>
              <w:t>Chairman of the Board</w:t>
            </w:r>
          </w:p>
        </w:tc>
        <w:tc>
          <w:tcPr>
            <w:tcW w:w="20" w:type="dxa"/>
            <w:vAlign w:val="bottom"/>
            <w:tcBorders>
              <w:top w:val="single" w:sz="8" w:color="58595B"/>
            </w:tcBorders>
          </w:tcPr>
          <w:p>
            <w:pPr>
              <w:spacing w:after="0"/>
              <w:rPr>
                <w:sz w:val="23"/>
                <w:szCs w:val="23"/>
                <w:color w:val="auto"/>
              </w:rPr>
            </w:pPr>
          </w:p>
        </w:tc>
      </w:tr>
      <w:tr>
        <w:trPr>
          <w:trHeight w:val="65"/>
        </w:trPr>
        <w:tc>
          <w:tcPr>
            <w:tcW w:w="2880" w:type="dxa"/>
            <w:vAlign w:val="bottom"/>
            <w:tcBorders>
              <w:bottom w:val="single" w:sz="8" w:color="58595B"/>
              <w:right w:val="single" w:sz="8" w:color="58595B"/>
            </w:tcBorders>
          </w:tcPr>
          <w:p>
            <w:pPr>
              <w:spacing w:after="0"/>
              <w:rPr>
                <w:sz w:val="5"/>
                <w:szCs w:val="5"/>
                <w:color w:val="auto"/>
              </w:rPr>
            </w:pPr>
          </w:p>
        </w:tc>
        <w:tc>
          <w:tcPr>
            <w:tcW w:w="554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tcPr>
          <w:p>
            <w:pPr>
              <w:spacing w:after="0"/>
              <w:rPr>
                <w:sz w:val="5"/>
                <w:szCs w:val="5"/>
                <w:color w:val="auto"/>
              </w:rPr>
            </w:pPr>
          </w:p>
        </w:tc>
      </w:tr>
      <w:tr>
        <w:trPr>
          <w:trHeight w:val="272"/>
        </w:trPr>
        <w:tc>
          <w:tcPr>
            <w:tcW w:w="288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Douglas K. Ammerman</w:t>
            </w:r>
          </w:p>
        </w:tc>
        <w:tc>
          <w:tcPr>
            <w:tcW w:w="5540" w:type="dxa"/>
            <w:vAlign w:val="bottom"/>
          </w:tcPr>
          <w:p>
            <w:pPr>
              <w:ind w:left="140"/>
              <w:spacing w:after="0"/>
              <w:rPr>
                <w:sz w:val="20"/>
                <w:szCs w:val="20"/>
                <w:color w:val="auto"/>
              </w:rPr>
            </w:pPr>
            <w:r>
              <w:rPr>
                <w:rFonts w:ascii="Arial" w:cs="Arial" w:eastAsia="Arial" w:hAnsi="Arial"/>
                <w:sz w:val="15"/>
                <w:szCs w:val="15"/>
                <w:color w:val="58595B"/>
              </w:rPr>
              <w:t>Lead Independent Director and Chairman of the Audit Committee</w:t>
            </w:r>
          </w:p>
        </w:tc>
        <w:tc>
          <w:tcPr>
            <w:tcW w:w="20" w:type="dxa"/>
            <w:vAlign w:val="bottom"/>
          </w:tcPr>
          <w:p>
            <w:pPr>
              <w:spacing w:after="0"/>
              <w:rPr>
                <w:sz w:val="23"/>
                <w:szCs w:val="23"/>
                <w:color w:val="auto"/>
              </w:rPr>
            </w:pPr>
          </w:p>
        </w:tc>
      </w:tr>
      <w:tr>
        <w:trPr>
          <w:trHeight w:val="65"/>
        </w:trPr>
        <w:tc>
          <w:tcPr>
            <w:tcW w:w="2880" w:type="dxa"/>
            <w:vAlign w:val="bottom"/>
            <w:tcBorders>
              <w:bottom w:val="single" w:sz="8" w:color="58595B"/>
              <w:right w:val="single" w:sz="8" w:color="58595B"/>
            </w:tcBorders>
          </w:tcPr>
          <w:p>
            <w:pPr>
              <w:spacing w:after="0"/>
              <w:rPr>
                <w:sz w:val="5"/>
                <w:szCs w:val="5"/>
                <w:color w:val="auto"/>
              </w:rPr>
            </w:pPr>
          </w:p>
        </w:tc>
        <w:tc>
          <w:tcPr>
            <w:tcW w:w="554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tcPr>
          <w:p>
            <w:pPr>
              <w:spacing w:after="0"/>
              <w:rPr>
                <w:sz w:val="5"/>
                <w:szCs w:val="5"/>
                <w:color w:val="auto"/>
              </w:rPr>
            </w:pPr>
          </w:p>
        </w:tc>
      </w:tr>
      <w:tr>
        <w:trPr>
          <w:trHeight w:val="272"/>
        </w:trPr>
        <w:tc>
          <w:tcPr>
            <w:tcW w:w="288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Thomas M. Hagerty</w:t>
            </w:r>
          </w:p>
        </w:tc>
        <w:tc>
          <w:tcPr>
            <w:tcW w:w="5540" w:type="dxa"/>
            <w:vAlign w:val="bottom"/>
          </w:tcPr>
          <w:p>
            <w:pPr>
              <w:ind w:left="140"/>
              <w:spacing w:after="0"/>
              <w:rPr>
                <w:sz w:val="20"/>
                <w:szCs w:val="20"/>
                <w:color w:val="auto"/>
              </w:rPr>
            </w:pPr>
            <w:r>
              <w:rPr>
                <w:rFonts w:ascii="Arial" w:cs="Arial" w:eastAsia="Arial" w:hAnsi="Arial"/>
                <w:sz w:val="15"/>
                <w:szCs w:val="15"/>
                <w:color w:val="58595B"/>
              </w:rPr>
              <w:t>Chairman of the Compensation Committee</w:t>
            </w:r>
          </w:p>
        </w:tc>
        <w:tc>
          <w:tcPr>
            <w:tcW w:w="20" w:type="dxa"/>
            <w:vAlign w:val="bottom"/>
          </w:tcPr>
          <w:p>
            <w:pPr>
              <w:spacing w:after="0"/>
              <w:rPr>
                <w:sz w:val="23"/>
                <w:szCs w:val="23"/>
                <w:color w:val="auto"/>
              </w:rPr>
            </w:pPr>
          </w:p>
        </w:tc>
      </w:tr>
      <w:tr>
        <w:trPr>
          <w:trHeight w:val="65"/>
        </w:trPr>
        <w:tc>
          <w:tcPr>
            <w:tcW w:w="2880" w:type="dxa"/>
            <w:vAlign w:val="bottom"/>
            <w:tcBorders>
              <w:bottom w:val="single" w:sz="8" w:color="58595B"/>
              <w:right w:val="single" w:sz="8" w:color="58595B"/>
            </w:tcBorders>
          </w:tcPr>
          <w:p>
            <w:pPr>
              <w:spacing w:after="0"/>
              <w:rPr>
                <w:sz w:val="5"/>
                <w:szCs w:val="5"/>
                <w:color w:val="auto"/>
              </w:rPr>
            </w:pPr>
          </w:p>
        </w:tc>
        <w:tc>
          <w:tcPr>
            <w:tcW w:w="554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tcPr>
          <w:p>
            <w:pPr>
              <w:spacing w:after="0"/>
              <w:rPr>
                <w:sz w:val="5"/>
                <w:szCs w:val="5"/>
                <w:color w:val="auto"/>
              </w:rPr>
            </w:pPr>
          </w:p>
        </w:tc>
      </w:tr>
      <w:tr>
        <w:trPr>
          <w:trHeight w:val="251"/>
        </w:trPr>
        <w:tc>
          <w:tcPr>
            <w:tcW w:w="288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Peter O. Shea, Jr</w:t>
            </w:r>
          </w:p>
        </w:tc>
        <w:tc>
          <w:tcPr>
            <w:tcW w:w="5540" w:type="dxa"/>
            <w:vAlign w:val="bottom"/>
          </w:tcPr>
          <w:p>
            <w:pPr>
              <w:ind w:left="140"/>
              <w:spacing w:after="0"/>
              <w:rPr>
                <w:sz w:val="20"/>
                <w:szCs w:val="20"/>
                <w:color w:val="auto"/>
              </w:rPr>
            </w:pPr>
            <w:r>
              <w:rPr>
                <w:rFonts w:ascii="Arial" w:cs="Arial" w:eastAsia="Arial" w:hAnsi="Arial"/>
                <w:sz w:val="15"/>
                <w:szCs w:val="15"/>
                <w:color w:val="58595B"/>
              </w:rPr>
              <w:t>Chairman of the Corporate Governance and Nominating Committee Member of</w:t>
            </w:r>
          </w:p>
        </w:tc>
        <w:tc>
          <w:tcPr>
            <w:tcW w:w="20" w:type="dxa"/>
            <w:vAlign w:val="bottom"/>
          </w:tcPr>
          <w:p>
            <w:pPr>
              <w:spacing w:after="0"/>
              <w:rPr>
                <w:sz w:val="21"/>
                <w:szCs w:val="21"/>
                <w:color w:val="auto"/>
              </w:rPr>
            </w:pPr>
          </w:p>
        </w:tc>
      </w:tr>
      <w:tr>
        <w:trPr>
          <w:trHeight w:val="194"/>
        </w:trPr>
        <w:tc>
          <w:tcPr>
            <w:tcW w:w="2880" w:type="dxa"/>
            <w:vAlign w:val="bottom"/>
            <w:tcBorders>
              <w:right w:val="single" w:sz="8" w:color="58595B"/>
            </w:tcBorders>
          </w:tcPr>
          <w:p>
            <w:pPr>
              <w:spacing w:after="0"/>
              <w:rPr>
                <w:sz w:val="16"/>
                <w:szCs w:val="16"/>
                <w:color w:val="auto"/>
              </w:rPr>
            </w:pPr>
          </w:p>
        </w:tc>
        <w:tc>
          <w:tcPr>
            <w:tcW w:w="5540" w:type="dxa"/>
            <w:vAlign w:val="bottom"/>
          </w:tcPr>
          <w:p>
            <w:pPr>
              <w:ind w:left="140"/>
              <w:spacing w:after="0"/>
              <w:rPr>
                <w:sz w:val="20"/>
                <w:szCs w:val="20"/>
                <w:color w:val="auto"/>
              </w:rPr>
            </w:pPr>
            <w:r>
              <w:rPr>
                <w:rFonts w:ascii="Arial" w:cs="Arial" w:eastAsia="Arial" w:hAnsi="Arial"/>
                <w:sz w:val="15"/>
                <w:szCs w:val="15"/>
                <w:color w:val="58595B"/>
              </w:rPr>
              <w:t>the Audit Committee</w:t>
            </w:r>
          </w:p>
        </w:tc>
        <w:tc>
          <w:tcPr>
            <w:tcW w:w="20" w:type="dxa"/>
            <w:vAlign w:val="bottom"/>
          </w:tcPr>
          <w:p>
            <w:pPr>
              <w:spacing w:after="0"/>
              <w:rPr>
                <w:sz w:val="16"/>
                <w:szCs w:val="16"/>
                <w:color w:val="auto"/>
              </w:rPr>
            </w:pPr>
          </w:p>
        </w:tc>
      </w:tr>
      <w:tr>
        <w:trPr>
          <w:trHeight w:val="65"/>
        </w:trPr>
        <w:tc>
          <w:tcPr>
            <w:tcW w:w="2880" w:type="dxa"/>
            <w:vAlign w:val="bottom"/>
            <w:tcBorders>
              <w:bottom w:val="single" w:sz="8" w:color="58595B"/>
              <w:right w:val="single" w:sz="8" w:color="58595B"/>
            </w:tcBorders>
          </w:tcPr>
          <w:p>
            <w:pPr>
              <w:spacing w:after="0"/>
              <w:rPr>
                <w:sz w:val="5"/>
                <w:szCs w:val="5"/>
                <w:color w:val="auto"/>
              </w:rPr>
            </w:pPr>
          </w:p>
        </w:tc>
        <w:tc>
          <w:tcPr>
            <w:tcW w:w="554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tcPr>
          <w:p>
            <w:pPr>
              <w:spacing w:after="0"/>
              <w:rPr>
                <w:sz w:val="5"/>
                <w:szCs w:val="5"/>
                <w:color w:val="auto"/>
              </w:rPr>
            </w:pPr>
          </w:p>
        </w:tc>
      </w:tr>
    </w:tbl>
    <w:p>
      <w:pPr>
        <w:spacing w:after="0" w:line="176" w:lineRule="exact"/>
        <w:rPr>
          <w:sz w:val="20"/>
          <w:szCs w:val="20"/>
          <w:color w:val="auto"/>
        </w:rPr>
      </w:pPr>
    </w:p>
    <w:p>
      <w:pPr>
        <w:ind w:left="820" w:right="580"/>
        <w:spacing w:after="0" w:line="247" w:lineRule="auto"/>
        <w:rPr>
          <w:sz w:val="20"/>
          <w:szCs w:val="20"/>
          <w:color w:val="auto"/>
        </w:rPr>
      </w:pPr>
      <w:r>
        <w:rPr>
          <w:rFonts w:ascii="Arial" w:cs="Arial" w:eastAsia="Arial" w:hAnsi="Arial"/>
          <w:sz w:val="18"/>
          <w:szCs w:val="18"/>
          <w:b w:val="1"/>
          <w:bCs w:val="1"/>
          <w:color w:val="49678E"/>
        </w:rPr>
        <w:t xml:space="preserve">William P. Foley, II. </w:t>
      </w:r>
      <w:r>
        <w:rPr>
          <w:rFonts w:ascii="Arial" w:cs="Arial" w:eastAsia="Arial" w:hAnsi="Arial"/>
          <w:sz w:val="18"/>
          <w:szCs w:val="18"/>
          <w:color w:val="58595B"/>
        </w:rPr>
        <w:t>Mr. Foley is a founder of Fidelity National Financial, Inc. and has served as Chairman of the</w:t>
      </w:r>
      <w:r>
        <w:rPr>
          <w:rFonts w:ascii="Arial" w:cs="Arial" w:eastAsia="Arial" w:hAnsi="Arial"/>
          <w:sz w:val="18"/>
          <w:szCs w:val="18"/>
          <w:b w:val="1"/>
          <w:bCs w:val="1"/>
          <w:color w:val="49678E"/>
        </w:rPr>
        <w:t xml:space="preserve"> </w:t>
      </w:r>
      <w:r>
        <w:rPr>
          <w:rFonts w:ascii="Arial" w:cs="Arial" w:eastAsia="Arial" w:hAnsi="Arial"/>
          <w:sz w:val="18"/>
          <w:szCs w:val="18"/>
          <w:color w:val="58595B"/>
        </w:rPr>
        <w:t>board of directors of FNF since 1984. He served as Chief Executive Officer of FNF until May 2007 and as President of FNF until December 1994. Mr. Foley has served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108585</wp:posOffset>
            </wp:positionV>
            <wp:extent cx="7144385" cy="297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41"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25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680085</wp:posOffset>
            </wp:positionV>
            <wp:extent cx="7144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7" w:right="879" w:bottom="1440" w:gutter="0" w:footer="0" w:header="0"/>
        </w:sectPr>
      </w:pPr>
    </w:p>
    <w:bookmarkStart w:id="29" w:name="page30"/>
    <w:bookmarkEnd w:id="29"/>
    <w:p>
      <w:pPr>
        <w:ind w:left="1180"/>
        <w:spacing w:after="0"/>
        <w:rPr>
          <w:sz w:val="20"/>
          <w:szCs w:val="20"/>
          <w:color w:val="auto"/>
        </w:rPr>
      </w:pPr>
      <w:r>
        <w:rPr>
          <w:rFonts w:ascii="Arial" w:cs="Arial" w:eastAsia="Arial" w:hAnsi="Arial"/>
          <w:sz w:val="18"/>
          <w:szCs w:val="18"/>
          <w:color w:val="58595B"/>
        </w:rPr>
        <w:t>non-executive Vice Chairman of Cannae Holdings, Inc. (</w:t>
      </w:r>
      <w:r>
        <w:rPr>
          <w:rFonts w:ascii="Arial" w:cs="Arial" w:eastAsia="Arial" w:hAnsi="Arial"/>
          <w:sz w:val="18"/>
          <w:szCs w:val="18"/>
          <w:i w:val="1"/>
          <w:iCs w:val="1"/>
          <w:color w:val="58595B"/>
        </w:rPr>
        <w:t>Cannae</w:t>
      </w:r>
      <w:r>
        <w:rPr>
          <w:rFonts w:ascii="Arial" w:cs="Arial" w:eastAsia="Arial" w:hAnsi="Arial"/>
          <w:sz w:val="18"/>
          <w:szCs w:val="18"/>
          <w:color w:val="58595B"/>
        </w:rPr>
        <w:t>) since May 2025. He previously served as</w:t>
      </w:r>
    </w:p>
    <w:p>
      <w:pPr>
        <w:ind w:left="1180"/>
        <w:spacing w:after="0" w:line="238" w:lineRule="auto"/>
        <w:rPr>
          <w:sz w:val="20"/>
          <w:szCs w:val="20"/>
          <w:color w:val="auto"/>
        </w:rPr>
      </w:pPr>
      <w:r>
        <w:rPr>
          <w:rFonts w:ascii="Arial" w:cs="Arial" w:eastAsia="Arial" w:hAnsi="Arial"/>
          <w:sz w:val="18"/>
          <w:szCs w:val="18"/>
          <w:color w:val="58595B"/>
        </w:rPr>
        <w:t>Chairman, Chief Executive Officer and Chief Investment Officer of Cannae from February 2024 until May 2025,</w:t>
      </w:r>
    </w:p>
    <w:p>
      <w:pPr>
        <w:ind w:left="1180"/>
        <w:spacing w:after="0" w:line="228" w:lineRule="auto"/>
        <w:rPr>
          <w:sz w:val="20"/>
          <w:szCs w:val="20"/>
          <w:color w:val="auto"/>
        </w:rPr>
      </w:pPr>
      <w:r>
        <w:rPr>
          <w:rFonts w:ascii="Arial" w:cs="Arial" w:eastAsia="Arial" w:hAnsi="Arial"/>
          <w:sz w:val="18"/>
          <w:szCs w:val="18"/>
          <w:color w:val="58595B"/>
        </w:rPr>
        <w:t>and as Chairman of Cannae from July 2017 until May 2025. Mr. Foley has served as Executive Chairman of F&amp;G</w:t>
      </w:r>
    </w:p>
    <w:p>
      <w:pPr>
        <w:ind w:left="1180"/>
        <w:spacing w:after="0" w:line="229" w:lineRule="auto"/>
        <w:rPr>
          <w:sz w:val="20"/>
          <w:szCs w:val="20"/>
          <w:color w:val="auto"/>
        </w:rPr>
      </w:pPr>
      <w:r>
        <w:rPr>
          <w:rFonts w:ascii="Arial" w:cs="Arial" w:eastAsia="Arial" w:hAnsi="Arial"/>
          <w:sz w:val="18"/>
          <w:szCs w:val="18"/>
          <w:color w:val="58595B"/>
        </w:rPr>
        <w:t>since November 2022. Mr. Foley also serves as a director of Jena Acquisition Corporation II, a blank check</w:t>
      </w:r>
    </w:p>
    <w:p>
      <w:pPr>
        <w:ind w:left="1180"/>
        <w:spacing w:after="0" w:line="228" w:lineRule="auto"/>
        <w:rPr>
          <w:sz w:val="20"/>
          <w:szCs w:val="20"/>
          <w:color w:val="auto"/>
        </w:rPr>
      </w:pPr>
      <w:r>
        <w:rPr>
          <w:rFonts w:ascii="Arial" w:cs="Arial" w:eastAsia="Arial" w:hAnsi="Arial"/>
          <w:sz w:val="18"/>
          <w:szCs w:val="18"/>
          <w:color w:val="58595B"/>
        </w:rPr>
        <w:t>company, since May 2025, and as a non-executive director of Foley Wines Ltd., a New Zealand company, since</w:t>
      </w:r>
    </w:p>
    <w:p>
      <w:pPr>
        <w:ind w:left="1180"/>
        <w:spacing w:after="0" w:line="229" w:lineRule="auto"/>
        <w:rPr>
          <w:sz w:val="20"/>
          <w:szCs w:val="20"/>
          <w:color w:val="auto"/>
        </w:rPr>
      </w:pPr>
      <w:r>
        <w:rPr>
          <w:rFonts w:ascii="Arial" w:cs="Arial" w:eastAsia="Arial" w:hAnsi="Arial"/>
          <w:sz w:val="18"/>
          <w:szCs w:val="18"/>
          <w:color w:val="58595B"/>
        </w:rPr>
        <w:t>January 2025. Mr. Foley served as a director of Alight Inc., and predecessor, Foley Trasimene Acquisition</w:t>
      </w:r>
    </w:p>
    <w:p>
      <w:pPr>
        <w:ind w:left="1180"/>
        <w:spacing w:after="0" w:line="229" w:lineRule="auto"/>
        <w:rPr>
          <w:sz w:val="20"/>
          <w:szCs w:val="20"/>
          <w:color w:val="auto"/>
        </w:rPr>
      </w:pPr>
      <w:r>
        <w:rPr>
          <w:rFonts w:ascii="Arial" w:cs="Arial" w:eastAsia="Arial" w:hAnsi="Arial"/>
          <w:sz w:val="18"/>
          <w:szCs w:val="18"/>
          <w:color w:val="58595B"/>
        </w:rPr>
        <w:t>Corporation (</w:t>
      </w:r>
      <w:r>
        <w:rPr>
          <w:rFonts w:ascii="Arial" w:cs="Arial" w:eastAsia="Arial" w:hAnsi="Arial"/>
          <w:sz w:val="18"/>
          <w:szCs w:val="18"/>
          <w:i w:val="1"/>
          <w:iCs w:val="1"/>
          <w:color w:val="58595B"/>
        </w:rPr>
        <w:t>FTAC</w:t>
      </w:r>
      <w:r>
        <w:rPr>
          <w:rFonts w:ascii="Arial" w:cs="Arial" w:eastAsia="Arial" w:hAnsi="Arial"/>
          <w:sz w:val="18"/>
          <w:szCs w:val="18"/>
          <w:color w:val="58595B"/>
        </w:rPr>
        <w:t>) from April 2021 until April 2026, where he served as non-executive Chairman from April 2021</w:t>
      </w:r>
    </w:p>
    <w:p>
      <w:pPr>
        <w:ind w:left="1180"/>
        <w:spacing w:after="0" w:line="228" w:lineRule="auto"/>
        <w:rPr>
          <w:sz w:val="20"/>
          <w:szCs w:val="20"/>
          <w:color w:val="auto"/>
        </w:rPr>
      </w:pPr>
      <w:r>
        <w:rPr>
          <w:rFonts w:ascii="Arial" w:cs="Arial" w:eastAsia="Arial" w:hAnsi="Arial"/>
          <w:sz w:val="18"/>
          <w:szCs w:val="18"/>
          <w:color w:val="58595B"/>
        </w:rPr>
        <w:t>until February 2025. Mr. Foley served as Chairman of the board of directors of Dun &amp; Bradstreet Holdings, Inc.</w:t>
      </w:r>
    </w:p>
    <w:p>
      <w:pPr>
        <w:ind w:left="1180"/>
        <w:spacing w:after="0" w:line="229" w:lineRule="auto"/>
        <w:rPr>
          <w:sz w:val="20"/>
          <w:szCs w:val="20"/>
          <w:color w:val="auto"/>
        </w:rPr>
      </w:pPr>
      <w:r>
        <w:rPr>
          <w:rFonts w:ascii="Arial" w:cs="Arial" w:eastAsia="Arial" w:hAnsi="Arial"/>
          <w:sz w:val="18"/>
          <w:szCs w:val="18"/>
          <w:color w:val="58595B"/>
        </w:rPr>
        <w:t>(</w:t>
      </w:r>
      <w:r>
        <w:rPr>
          <w:rFonts w:ascii="Arial" w:cs="Arial" w:eastAsia="Arial" w:hAnsi="Arial"/>
          <w:sz w:val="18"/>
          <w:szCs w:val="18"/>
          <w:i w:val="1"/>
          <w:iCs w:val="1"/>
          <w:color w:val="58595B"/>
        </w:rPr>
        <w:t>Dun &amp; Bradstreet</w:t>
      </w:r>
      <w:r>
        <w:rPr>
          <w:rFonts w:ascii="Arial" w:cs="Arial" w:eastAsia="Arial" w:hAnsi="Arial"/>
          <w:sz w:val="18"/>
          <w:szCs w:val="18"/>
          <w:color w:val="58595B"/>
        </w:rPr>
        <w:t>) from February 2019 until its acquisition by Clearlake Capital Group in August 2025. Mr. Foley</w:t>
      </w:r>
    </w:p>
    <w:p>
      <w:pPr>
        <w:ind w:left="1180"/>
        <w:spacing w:after="0" w:line="229" w:lineRule="auto"/>
        <w:rPr>
          <w:sz w:val="20"/>
          <w:szCs w:val="20"/>
          <w:color w:val="auto"/>
        </w:rPr>
      </w:pPr>
      <w:r>
        <w:rPr>
          <w:rFonts w:ascii="Arial" w:cs="Arial" w:eastAsia="Arial" w:hAnsi="Arial"/>
          <w:sz w:val="18"/>
          <w:szCs w:val="18"/>
          <w:color w:val="58595B"/>
        </w:rPr>
        <w:t>served as a director of System1 from January 2022 to March 2023. From January 2014 to June 2021, Mr. Foley</w:t>
      </w:r>
    </w:p>
    <w:p>
      <w:pPr>
        <w:ind w:left="1180"/>
        <w:spacing w:after="0" w:line="228" w:lineRule="auto"/>
        <w:rPr>
          <w:sz w:val="20"/>
          <w:szCs w:val="20"/>
          <w:color w:val="auto"/>
        </w:rPr>
      </w:pPr>
      <w:r>
        <w:rPr>
          <w:rFonts w:ascii="Arial" w:cs="Arial" w:eastAsia="Arial" w:hAnsi="Arial"/>
          <w:sz w:val="18"/>
          <w:szCs w:val="18"/>
          <w:color w:val="58595B"/>
        </w:rPr>
        <w:t>served as Chairman of the Board of Black Knight and its predecessors. He served as non-executive Chairman of</w:t>
      </w:r>
    </w:p>
    <w:p>
      <w:pPr>
        <w:ind w:left="1180"/>
        <w:spacing w:after="0" w:line="229" w:lineRule="auto"/>
        <w:rPr>
          <w:sz w:val="20"/>
          <w:szCs w:val="20"/>
          <w:color w:val="auto"/>
        </w:rPr>
      </w:pPr>
      <w:r>
        <w:rPr>
          <w:rFonts w:ascii="Arial" w:cs="Arial" w:eastAsia="Arial" w:hAnsi="Arial"/>
          <w:sz w:val="18"/>
          <w:szCs w:val="18"/>
          <w:color w:val="58595B"/>
        </w:rPr>
        <w:t>the board of directors of Paysafe Limited and its predecessor, Foley Trasimene Acquisition Corp. II (</w:t>
      </w:r>
      <w:r>
        <w:rPr>
          <w:rFonts w:ascii="Arial" w:cs="Arial" w:eastAsia="Arial" w:hAnsi="Arial"/>
          <w:sz w:val="18"/>
          <w:szCs w:val="18"/>
          <w:i w:val="1"/>
          <w:iCs w:val="1"/>
          <w:color w:val="58595B"/>
        </w:rPr>
        <w:t>FTAC II</w:t>
      </w:r>
      <w:r>
        <w:rPr>
          <w:rFonts w:ascii="Arial" w:cs="Arial" w:eastAsia="Arial" w:hAnsi="Arial"/>
          <w:sz w:val="18"/>
          <w:szCs w:val="18"/>
          <w:color w:val="58595B"/>
        </w:rPr>
        <w:t>) ffrom</w:t>
      </w:r>
    </w:p>
    <w:p>
      <w:pPr>
        <w:ind w:left="1180"/>
        <w:spacing w:after="0" w:line="228" w:lineRule="auto"/>
        <w:rPr>
          <w:sz w:val="20"/>
          <w:szCs w:val="20"/>
          <w:color w:val="auto"/>
        </w:rPr>
      </w:pPr>
      <w:r>
        <w:rPr>
          <w:rFonts w:ascii="Arial" w:cs="Arial" w:eastAsia="Arial" w:hAnsi="Arial"/>
          <w:sz w:val="18"/>
          <w:szCs w:val="18"/>
          <w:color w:val="58595B"/>
        </w:rPr>
        <w:t>March 2020 until March 2022. Mr. Foley formerly served as Co-Chairman of FGL Holdings, as a director of</w:t>
      </w:r>
    </w:p>
    <w:p>
      <w:pPr>
        <w:ind w:left="1180"/>
        <w:spacing w:after="0" w:line="229" w:lineRule="auto"/>
        <w:rPr>
          <w:sz w:val="20"/>
          <w:szCs w:val="20"/>
          <w:color w:val="auto"/>
        </w:rPr>
      </w:pPr>
      <w:r>
        <w:rPr>
          <w:rFonts w:ascii="Arial" w:cs="Arial" w:eastAsia="Arial" w:hAnsi="Arial"/>
          <w:sz w:val="18"/>
          <w:szCs w:val="18"/>
          <w:color w:val="58595B"/>
        </w:rPr>
        <w:t xml:space="preserve">Ceridian HCM Holding, Inc. (now known as </w:t>
      </w:r>
      <w:r>
        <w:rPr>
          <w:rFonts w:ascii="Arial" w:cs="Arial" w:eastAsia="Arial" w:hAnsi="Arial"/>
          <w:sz w:val="18"/>
          <w:szCs w:val="18"/>
          <w:i w:val="1"/>
          <w:iCs w:val="1"/>
          <w:color w:val="58595B"/>
        </w:rPr>
        <w:t>Dayforce, Inc.</w:t>
      </w:r>
      <w:r>
        <w:rPr>
          <w:rFonts w:ascii="Arial" w:cs="Arial" w:eastAsia="Arial" w:hAnsi="Arial"/>
          <w:sz w:val="18"/>
          <w:szCs w:val="18"/>
          <w:color w:val="58595B"/>
        </w:rPr>
        <w:t>) and as Vice Chairman of Fidelity National Information</w:t>
      </w:r>
    </w:p>
    <w:p>
      <w:pPr>
        <w:ind w:left="1180"/>
        <w:spacing w:after="0" w:line="229" w:lineRule="auto"/>
        <w:rPr>
          <w:sz w:val="20"/>
          <w:szCs w:val="20"/>
          <w:color w:val="auto"/>
        </w:rPr>
      </w:pPr>
      <w:r>
        <w:rPr>
          <w:rFonts w:ascii="Arial" w:cs="Arial" w:eastAsia="Arial" w:hAnsi="Arial"/>
          <w:sz w:val="18"/>
          <w:szCs w:val="18"/>
          <w:color w:val="58595B"/>
        </w:rPr>
        <w:t>Services, Inc. (</w:t>
      </w:r>
      <w:r>
        <w:rPr>
          <w:rFonts w:ascii="Arial" w:cs="Arial" w:eastAsia="Arial" w:hAnsi="Arial"/>
          <w:sz w:val="18"/>
          <w:szCs w:val="18"/>
          <w:i w:val="1"/>
          <w:iCs w:val="1"/>
          <w:color w:val="58595B"/>
        </w:rPr>
        <w:t>FIS</w:t>
      </w:r>
      <w:r>
        <w:rPr>
          <w:rFonts w:ascii="Arial" w:cs="Arial" w:eastAsia="Arial" w:hAnsi="Arial"/>
          <w:sz w:val="18"/>
          <w:szCs w:val="18"/>
          <w:color w:val="58595B"/>
        </w:rPr>
        <w:t>). Mr. Foley formerly served on the boards of Austerlitz Acquisition Corporation I (</w:t>
      </w:r>
      <w:r>
        <w:rPr>
          <w:rFonts w:ascii="Arial" w:cs="Arial" w:eastAsia="Arial" w:hAnsi="Arial"/>
          <w:sz w:val="18"/>
          <w:szCs w:val="18"/>
          <w:i w:val="1"/>
          <w:iCs w:val="1"/>
          <w:color w:val="58595B"/>
        </w:rPr>
        <w:t>AUS</w:t>
      </w:r>
      <w:r>
        <w:rPr>
          <w:rFonts w:ascii="Arial" w:cs="Arial" w:eastAsia="Arial" w:hAnsi="Arial"/>
          <w:sz w:val="18"/>
          <w:szCs w:val="18"/>
          <w:color w:val="58595B"/>
        </w:rPr>
        <w:t>) and</w:t>
      </w:r>
    </w:p>
    <w:p>
      <w:pPr>
        <w:ind w:left="1180"/>
        <w:spacing w:after="0" w:line="228" w:lineRule="auto"/>
        <w:rPr>
          <w:sz w:val="20"/>
          <w:szCs w:val="20"/>
          <w:color w:val="auto"/>
        </w:rPr>
      </w:pPr>
      <w:r>
        <w:rPr>
          <w:rFonts w:ascii="Arial" w:cs="Arial" w:eastAsia="Arial" w:hAnsi="Arial"/>
          <w:sz w:val="18"/>
          <w:szCs w:val="18"/>
          <w:color w:val="58595B"/>
        </w:rPr>
        <w:t>Austerlitz Acquisition Corporation II (</w:t>
      </w:r>
      <w:r>
        <w:rPr>
          <w:rFonts w:ascii="Arial" w:cs="Arial" w:eastAsia="Arial" w:hAnsi="Arial"/>
          <w:sz w:val="18"/>
          <w:szCs w:val="18"/>
          <w:i w:val="1"/>
          <w:iCs w:val="1"/>
          <w:color w:val="58595B"/>
        </w:rPr>
        <w:t>ASZ</w:t>
      </w:r>
      <w:r>
        <w:rPr>
          <w:rFonts w:ascii="Arial" w:cs="Arial" w:eastAsia="Arial" w:hAnsi="Arial"/>
          <w:sz w:val="18"/>
          <w:szCs w:val="18"/>
          <w:color w:val="58595B"/>
        </w:rPr>
        <w:t>) and Trebia Acquisition Corp., which were blank check companies, but</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resigned from those boards in April 2021.</w:t>
      </w:r>
    </w:p>
    <w:p>
      <w:pPr>
        <w:spacing w:after="0" w:line="157" w:lineRule="exact"/>
        <w:rPr>
          <w:sz w:val="20"/>
          <w:szCs w:val="20"/>
          <w:color w:val="auto"/>
        </w:rPr>
      </w:pPr>
    </w:p>
    <w:p>
      <w:pPr>
        <w:ind w:left="1180" w:right="980"/>
        <w:spacing w:after="0" w:line="241" w:lineRule="auto"/>
        <w:rPr>
          <w:sz w:val="20"/>
          <w:szCs w:val="20"/>
          <w:color w:val="auto"/>
        </w:rPr>
      </w:pPr>
      <w:r>
        <w:rPr>
          <w:rFonts w:ascii="Arial" w:cs="Arial" w:eastAsia="Arial" w:hAnsi="Arial"/>
          <w:sz w:val="18"/>
          <w:szCs w:val="18"/>
          <w:color w:val="58595B"/>
        </w:rPr>
        <w:t>After receiving his B.S. degree in engineering from the United States Military Academy at West Point, Mr. Foley served in the U.S. Air Force, where he attained the rank of captain. Mr. Foley received his Master of Business Administration from Seattle University and his Juris Doctor from the University of Washington. Mr. Foley serves on the boards of various foundations and charitable organizations.</w:t>
      </w:r>
    </w:p>
    <w:p>
      <w:pPr>
        <w:spacing w:after="0" w:line="142" w:lineRule="exact"/>
        <w:rPr>
          <w:sz w:val="20"/>
          <w:szCs w:val="20"/>
          <w:color w:val="auto"/>
        </w:rPr>
      </w:pPr>
    </w:p>
    <w:p>
      <w:pPr>
        <w:ind w:left="1180" w:right="1060"/>
        <w:spacing w:after="0" w:line="235" w:lineRule="auto"/>
        <w:rPr>
          <w:sz w:val="20"/>
          <w:szCs w:val="20"/>
          <w:color w:val="auto"/>
        </w:rPr>
      </w:pPr>
      <w:r>
        <w:rPr>
          <w:rFonts w:ascii="Arial" w:cs="Arial" w:eastAsia="Arial" w:hAnsi="Arial"/>
          <w:sz w:val="18"/>
          <w:szCs w:val="18"/>
          <w:color w:val="58595B"/>
        </w:rPr>
        <w:t>Mr. Foley provides high-value added services to our Company and board. He is a founder of FNF and his qualifications to serve on the FNF board include 40 years as a director and executive officer of FNF, his strategic vision, his experience as a board member and executive officer of public and private companies in a wide variety of industries, and his strong track record of building and maintaining shareholder value and successfully negotiating and executing mergers, acquisitions and other strategic transactions. He has unparalleled knowledge of our business, industry and customers that is invaluable to our Company and our board as we continually evaluate, evolve and execute on our long-term strategy.</w:t>
      </w:r>
    </w:p>
    <w:p>
      <w:pPr>
        <w:spacing w:after="0" w:line="146" w:lineRule="exact"/>
        <w:rPr>
          <w:sz w:val="20"/>
          <w:szCs w:val="20"/>
          <w:color w:val="auto"/>
        </w:rPr>
      </w:pPr>
    </w:p>
    <w:p>
      <w:pPr>
        <w:ind w:left="1180" w:right="880"/>
        <w:spacing w:after="0" w:line="234" w:lineRule="auto"/>
        <w:rPr>
          <w:sz w:val="20"/>
          <w:szCs w:val="20"/>
          <w:color w:val="auto"/>
        </w:rPr>
      </w:pPr>
      <w:r>
        <w:rPr>
          <w:rFonts w:ascii="Arial" w:cs="Arial" w:eastAsia="Arial" w:hAnsi="Arial"/>
          <w:sz w:val="18"/>
          <w:szCs w:val="18"/>
          <w:color w:val="58595B"/>
        </w:rPr>
        <w:t>We believe that Mr. Foley is able to fulfill his role and devote sufficient time to FNF while serving on other boards. Several of Mr. Foley's directorships, including Alight, and Jena Acquisition Corp. are related to his role at Cannae. Cannae is a holding company engaged in managing and operating a group of companies and investments, as well as making additional majority and minority equity portfolio investments in businesses. Additionally, Mr. Foley's service as Executive Chairman of F&amp;G is part of our board's strategy for the long-term success of F&amp;G as our majority-owned subsidiary and we believe his service in that role will drive long-term value for both our shareholders and F&amp;G shareholders. Based on these factors and Mr. Foley's unique skills and history with FNF, we believe he has sufficient time to devote to his service as non-executive Chairman of FNF and that his continued involvement in our strategy and execution is an important factor in our long-term and future success.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26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5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0" w:name="page31"/>
    <w:bookmarkEnd w:id="30"/>
    <w:p>
      <w:pPr>
        <w:ind w:left="820" w:right="380"/>
        <w:spacing w:after="0" w:line="238" w:lineRule="auto"/>
        <w:rPr>
          <w:sz w:val="20"/>
          <w:szCs w:val="20"/>
          <w:color w:val="auto"/>
        </w:rPr>
      </w:pPr>
      <w:r>
        <w:rPr>
          <w:rFonts w:ascii="Arial" w:cs="Arial" w:eastAsia="Arial" w:hAnsi="Arial"/>
          <w:sz w:val="18"/>
          <w:szCs w:val="18"/>
          <w:b w:val="1"/>
          <w:bCs w:val="1"/>
          <w:color w:val="49678E"/>
        </w:rPr>
        <w:t xml:space="preserve">Douglas K. Ammerman. </w:t>
      </w:r>
      <w:r>
        <w:rPr>
          <w:rFonts w:ascii="Arial" w:cs="Arial" w:eastAsia="Arial" w:hAnsi="Arial"/>
          <w:sz w:val="18"/>
          <w:szCs w:val="18"/>
          <w:color w:val="58595B"/>
        </w:rPr>
        <w:t>Mr. Ammerman has served as a director of the Company since 2005. Mr. Ammerman is</w:t>
      </w:r>
      <w:r>
        <w:rPr>
          <w:rFonts w:ascii="Arial" w:cs="Arial" w:eastAsia="Arial" w:hAnsi="Arial"/>
          <w:sz w:val="18"/>
          <w:szCs w:val="18"/>
          <w:b w:val="1"/>
          <w:bCs w:val="1"/>
          <w:color w:val="49678E"/>
        </w:rPr>
        <w:t xml:space="preserve"> </w:t>
      </w:r>
      <w:r>
        <w:rPr>
          <w:rFonts w:ascii="Arial" w:cs="Arial" w:eastAsia="Arial" w:hAnsi="Arial"/>
          <w:sz w:val="18"/>
          <w:szCs w:val="18"/>
          <w:color w:val="58595B"/>
        </w:rPr>
        <w:t>a retired partner of KPMG LLP, where he became a partner in 1984. Mr. Ammerman formally retired from KPMG in 2002. He also serves as a director of Stantec Inc. since 2011, where he serves as Chairman, a director of Cannae since February 2024, where he has served as Chairman since May 2025, and a director of F&amp;G since December 2022. Mr. Ammerman formerly served on the boards of Dun &amp; Bradstreet, J. Alexander's Holdings, Inc. and FTAC.</w:t>
      </w:r>
    </w:p>
    <w:p>
      <w:pPr>
        <w:spacing w:after="0" w:line="181" w:lineRule="exact"/>
        <w:rPr>
          <w:sz w:val="20"/>
          <w:szCs w:val="20"/>
          <w:color w:val="auto"/>
        </w:rPr>
      </w:pPr>
    </w:p>
    <w:p>
      <w:pPr>
        <w:ind w:left="820" w:right="420"/>
        <w:spacing w:after="0" w:line="247" w:lineRule="auto"/>
        <w:rPr>
          <w:sz w:val="20"/>
          <w:szCs w:val="20"/>
          <w:color w:val="auto"/>
        </w:rPr>
      </w:pPr>
      <w:r>
        <w:rPr>
          <w:rFonts w:ascii="Arial" w:cs="Arial" w:eastAsia="Arial" w:hAnsi="Arial"/>
          <w:sz w:val="18"/>
          <w:szCs w:val="18"/>
          <w:color w:val="58595B"/>
        </w:rPr>
        <w:t>Mr. Ammerman's qualifications to serve on the FNF board of directors include his financial and accounting background and expertise, including his 18 years as a partner with KPMG, and his experience as a director on the boards of other companies.</w:t>
      </w:r>
    </w:p>
    <w:p>
      <w:pPr>
        <w:spacing w:after="0" w:line="174" w:lineRule="exact"/>
        <w:rPr>
          <w:sz w:val="20"/>
          <w:szCs w:val="20"/>
          <w:color w:val="auto"/>
        </w:rPr>
      </w:pPr>
    </w:p>
    <w:p>
      <w:pPr>
        <w:ind w:left="820" w:right="480"/>
        <w:spacing w:after="0" w:line="238" w:lineRule="auto"/>
        <w:rPr>
          <w:sz w:val="20"/>
          <w:szCs w:val="20"/>
          <w:color w:val="auto"/>
        </w:rPr>
      </w:pPr>
      <w:r>
        <w:rPr>
          <w:rFonts w:ascii="Arial" w:cs="Arial" w:eastAsia="Arial" w:hAnsi="Arial"/>
          <w:sz w:val="18"/>
          <w:szCs w:val="18"/>
          <w:b w:val="1"/>
          <w:bCs w:val="1"/>
          <w:color w:val="49678E"/>
        </w:rPr>
        <w:t xml:space="preserve">Thomas M. Hagerty. </w:t>
      </w:r>
      <w:r>
        <w:rPr>
          <w:rFonts w:ascii="Arial" w:cs="Arial" w:eastAsia="Arial" w:hAnsi="Arial"/>
          <w:sz w:val="18"/>
          <w:szCs w:val="18"/>
          <w:color w:val="333333"/>
        </w:rPr>
        <w:t>Mr.</w:t>
      </w:r>
      <w:r>
        <w:rPr>
          <w:rFonts w:ascii="Arial" w:cs="Arial" w:eastAsia="Arial" w:hAnsi="Arial"/>
          <w:sz w:val="18"/>
          <w:szCs w:val="18"/>
          <w:b w:val="1"/>
          <w:bCs w:val="1"/>
          <w:color w:val="49678E"/>
        </w:rPr>
        <w:t xml:space="preserve"> </w:t>
      </w:r>
      <w:r>
        <w:rPr>
          <w:rFonts w:ascii="Arial" w:cs="Arial" w:eastAsia="Arial" w:hAnsi="Arial"/>
          <w:sz w:val="18"/>
          <w:szCs w:val="18"/>
          <w:color w:val="58595B"/>
        </w:rPr>
        <w:t>Hagerty has served as a director of the Company since 2005 and as a director of</w:t>
      </w:r>
      <w:r>
        <w:rPr>
          <w:rFonts w:ascii="Arial" w:cs="Arial" w:eastAsia="Arial" w:hAnsi="Arial"/>
          <w:sz w:val="18"/>
          <w:szCs w:val="18"/>
          <w:b w:val="1"/>
          <w:bCs w:val="1"/>
          <w:color w:val="49678E"/>
        </w:rPr>
        <w:t xml:space="preserve"> </w:t>
      </w:r>
      <w:r>
        <w:rPr>
          <w:rFonts w:ascii="Arial" w:cs="Arial" w:eastAsia="Arial" w:hAnsi="Arial"/>
          <w:sz w:val="18"/>
          <w:szCs w:val="18"/>
          <w:color w:val="58595B"/>
        </w:rPr>
        <w:t>predecessors of FNF since 2014. Mr. Hagerty is a Managing Director of Thomas H. Lee Partners (THL), which he joined in 1988. Mr. Hagerty also serves as a director of Corpay, Inc. since November 2014 and Dayforce since September 2013. Mr. Hagerty formerly served on the boards of Dun &amp; Bradstreet, Black Knight, FTAC, First Bancorp, MoneyGram International and FIS.</w:t>
      </w:r>
    </w:p>
    <w:p>
      <w:pPr>
        <w:spacing w:after="0" w:line="181" w:lineRule="exact"/>
        <w:rPr>
          <w:sz w:val="20"/>
          <w:szCs w:val="20"/>
          <w:color w:val="auto"/>
        </w:rPr>
      </w:pPr>
    </w:p>
    <w:p>
      <w:pPr>
        <w:ind w:left="820" w:right="340"/>
        <w:spacing w:after="0" w:line="247" w:lineRule="auto"/>
        <w:rPr>
          <w:sz w:val="20"/>
          <w:szCs w:val="20"/>
          <w:color w:val="auto"/>
        </w:rPr>
      </w:pPr>
      <w:r>
        <w:rPr>
          <w:rFonts w:ascii="Arial" w:cs="Arial" w:eastAsia="Arial" w:hAnsi="Arial"/>
          <w:sz w:val="18"/>
          <w:szCs w:val="18"/>
          <w:color w:val="58595B"/>
        </w:rPr>
        <w:t>Mr. Hagerty's qualifications to serve on the FNF board of directors include his managerial and strategic expertise working with large growth-oriented companies as a Managing Director of THL, a leading private equity firm, and his experience in enhancing value at such companies, along with his expertise in corporate finance.</w:t>
      </w:r>
    </w:p>
    <w:p>
      <w:pPr>
        <w:spacing w:after="0" w:line="174" w:lineRule="exact"/>
        <w:rPr>
          <w:sz w:val="20"/>
          <w:szCs w:val="20"/>
          <w:color w:val="auto"/>
        </w:rPr>
      </w:pPr>
    </w:p>
    <w:p>
      <w:pPr>
        <w:ind w:left="820" w:right="380"/>
        <w:spacing w:after="0" w:line="241" w:lineRule="auto"/>
        <w:rPr>
          <w:sz w:val="20"/>
          <w:szCs w:val="20"/>
          <w:color w:val="auto"/>
        </w:rPr>
      </w:pPr>
      <w:r>
        <w:rPr>
          <w:rFonts w:ascii="Arial" w:cs="Arial" w:eastAsia="Arial" w:hAnsi="Arial"/>
          <w:sz w:val="18"/>
          <w:szCs w:val="18"/>
          <w:b w:val="1"/>
          <w:bCs w:val="1"/>
          <w:color w:val="49678E"/>
        </w:rPr>
        <w:t xml:space="preserve">Peter O. Shea, Jr. </w:t>
      </w:r>
      <w:r>
        <w:rPr>
          <w:rFonts w:ascii="Arial" w:cs="Arial" w:eastAsia="Arial" w:hAnsi="Arial"/>
          <w:sz w:val="18"/>
          <w:szCs w:val="18"/>
          <w:color w:val="49678E"/>
        </w:rPr>
        <w:t>.</w:t>
      </w:r>
      <w:r>
        <w:rPr>
          <w:rFonts w:ascii="Arial" w:cs="Arial" w:eastAsia="Arial" w:hAnsi="Arial"/>
          <w:sz w:val="18"/>
          <w:szCs w:val="18"/>
          <w:b w:val="1"/>
          <w:bCs w:val="1"/>
          <w:color w:val="49678E"/>
        </w:rPr>
        <w:t xml:space="preserve"> </w:t>
      </w:r>
      <w:r>
        <w:rPr>
          <w:rFonts w:ascii="Arial" w:cs="Arial" w:eastAsia="Arial" w:hAnsi="Arial"/>
          <w:sz w:val="18"/>
          <w:szCs w:val="18"/>
          <w:color w:val="58595B"/>
        </w:rPr>
        <w:t>Mr. Shea has served as a director of the Company since April 2006. Mr. Shea is the President</w:t>
      </w:r>
      <w:r>
        <w:rPr>
          <w:rFonts w:ascii="Arial" w:cs="Arial" w:eastAsia="Arial" w:hAnsi="Arial"/>
          <w:sz w:val="18"/>
          <w:szCs w:val="18"/>
          <w:b w:val="1"/>
          <w:bCs w:val="1"/>
          <w:color w:val="49678E"/>
        </w:rPr>
        <w:t xml:space="preserve"> </w:t>
      </w:r>
      <w:r>
        <w:rPr>
          <w:rFonts w:ascii="Arial" w:cs="Arial" w:eastAsia="Arial" w:hAnsi="Arial"/>
          <w:sz w:val="18"/>
          <w:szCs w:val="18"/>
          <w:color w:val="58595B"/>
        </w:rPr>
        <w:t>and Chief Executive Officer of J.F. Shea Co., Inc., a private company with operations in home building, commercial property development and management and heavy civil construction. Prior to his service as President and Chief Executive Officer, he served as Chief Operating Officer of J.F. Shea Co., Inc.</w:t>
      </w:r>
    </w:p>
    <w:p>
      <w:pPr>
        <w:spacing w:after="0" w:line="179" w:lineRule="exact"/>
        <w:rPr>
          <w:sz w:val="20"/>
          <w:szCs w:val="20"/>
          <w:color w:val="auto"/>
        </w:rPr>
      </w:pPr>
    </w:p>
    <w:p>
      <w:pPr>
        <w:ind w:left="820" w:right="580"/>
        <w:spacing w:after="0" w:line="247" w:lineRule="auto"/>
        <w:rPr>
          <w:sz w:val="20"/>
          <w:szCs w:val="20"/>
          <w:color w:val="auto"/>
        </w:rPr>
      </w:pPr>
      <w:r>
        <w:rPr>
          <w:rFonts w:ascii="Arial" w:cs="Arial" w:eastAsia="Arial" w:hAnsi="Arial"/>
          <w:sz w:val="18"/>
          <w:szCs w:val="18"/>
          <w:color w:val="58595B"/>
        </w:rPr>
        <w:t>Mr. Shea's qualifications to serve on the FNF board of directors include his experience in managing multiple and diverse operating companies and his knowledge of the real estate industry, particularly as President and Chief Executive Officer of J.F. Shea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124460</wp:posOffset>
            </wp:positionV>
            <wp:extent cx="5352415" cy="1565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2415" cy="1565275"/>
                    </a:xfrm>
                    <a:prstGeom prst="rect">
                      <a:avLst/>
                    </a:prstGeom>
                    <a:noFill/>
                  </pic:spPr>
                </pic:pic>
              </a:graphicData>
            </a:graphic>
          </wp:anchor>
        </w:drawing>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Class I Directors – Term Expiring 2027</w:t>
      </w:r>
    </w:p>
    <w:p>
      <w:pPr>
        <w:spacing w:after="0" w:line="59" w:lineRule="exact"/>
        <w:rPr>
          <w:sz w:val="20"/>
          <w:szCs w:val="20"/>
          <w:color w:val="auto"/>
        </w:rPr>
      </w:pPr>
    </w:p>
    <w:tbl>
      <w:tblPr>
        <w:tblLayout w:type="fixed"/>
        <w:tblInd w:w="820" w:type="dxa"/>
        <w:tblCellMar>
          <w:top w:w="0" w:type="dxa"/>
          <w:left w:w="0" w:type="dxa"/>
          <w:bottom w:w="0" w:type="dxa"/>
          <w:right w:w="0" w:type="dxa"/>
        </w:tblCellMar>
      </w:tblPr>
      <w:tr>
        <w:trPr>
          <w:trHeight w:val="345"/>
        </w:trPr>
        <w:tc>
          <w:tcPr>
            <w:tcW w:w="2880" w:type="dxa"/>
            <w:vAlign w:val="bottom"/>
            <w:tcBorders>
              <w:top w:val="single" w:sz="8" w:color="auto"/>
              <w:bottom w:val="single" w:sz="8" w:color="E9EBEB"/>
              <w:right w:val="single" w:sz="8" w:color="auto"/>
            </w:tcBorders>
            <w:shd w:val="clear" w:color="auto" w:fill="E9EBEB"/>
          </w:tcPr>
          <w:p>
            <w:pPr>
              <w:ind w:left="160"/>
              <w:spacing w:after="0"/>
              <w:rPr>
                <w:sz w:val="20"/>
                <w:szCs w:val="20"/>
                <w:color w:val="auto"/>
              </w:rPr>
            </w:pPr>
            <w:r>
              <w:rPr>
                <w:rFonts w:ascii="Arial" w:cs="Arial" w:eastAsia="Arial" w:hAnsi="Arial"/>
                <w:sz w:val="15"/>
                <w:szCs w:val="15"/>
                <w:b w:val="1"/>
                <w:bCs w:val="1"/>
                <w:color w:val="58595B"/>
              </w:rPr>
              <w:t>Name</w:t>
            </w:r>
          </w:p>
        </w:tc>
        <w:tc>
          <w:tcPr>
            <w:tcW w:w="5540" w:type="dxa"/>
            <w:vAlign w:val="bottom"/>
            <w:tcBorders>
              <w:top w:val="single" w:sz="8" w:color="auto"/>
              <w:bottom w:val="single" w:sz="8" w:color="E9EBEB"/>
            </w:tcBorders>
            <w:shd w:val="clear" w:color="auto" w:fill="E9EBEB"/>
          </w:tcPr>
          <w:p>
            <w:pPr>
              <w:ind w:left="140"/>
              <w:spacing w:after="0"/>
              <w:rPr>
                <w:sz w:val="20"/>
                <w:szCs w:val="20"/>
                <w:color w:val="auto"/>
              </w:rPr>
            </w:pPr>
            <w:r>
              <w:rPr>
                <w:rFonts w:ascii="Arial" w:cs="Arial" w:eastAsia="Arial" w:hAnsi="Arial"/>
                <w:sz w:val="15"/>
                <w:szCs w:val="15"/>
                <w:b w:val="1"/>
                <w:bCs w:val="1"/>
                <w:color w:val="58595B"/>
              </w:rPr>
              <w:t>Position</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5"/>
                <w:szCs w:val="15"/>
                <w:color w:val="58595B"/>
              </w:rPr>
              <w:t>Raymond R. Quirk</w:t>
            </w:r>
          </w:p>
        </w:tc>
        <w:tc>
          <w:tcPr>
            <w:tcW w:w="554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58595B"/>
              </w:rPr>
              <w:t>Executive Vice-Chairman and Director</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2880" w:type="dxa"/>
            <w:vAlign w:val="bottom"/>
            <w:tcBorders>
              <w:bottom w:val="single" w:sz="8" w:color="auto"/>
              <w:right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8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58595B"/>
              </w:rPr>
              <w:t>Sandra D. Morgan</w:t>
            </w:r>
          </w:p>
        </w:tc>
        <w:tc>
          <w:tcPr>
            <w:tcW w:w="5540" w:type="dxa"/>
            <w:vAlign w:val="bottom"/>
          </w:tcPr>
          <w:p>
            <w:pPr>
              <w:ind w:left="140"/>
              <w:spacing w:after="0"/>
              <w:rPr>
                <w:sz w:val="20"/>
                <w:szCs w:val="20"/>
                <w:color w:val="auto"/>
              </w:rPr>
            </w:pPr>
            <w:r>
              <w:rPr>
                <w:rFonts w:ascii="Arial" w:cs="Arial" w:eastAsia="Arial" w:hAnsi="Arial"/>
                <w:sz w:val="15"/>
                <w:szCs w:val="15"/>
                <w:color w:val="58595B"/>
              </w:rPr>
              <w:t>Member of the Corporate Governance and Nominating Committee Member of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Borders>
              <w:right w:val="single" w:sz="8" w:color="auto"/>
            </w:tcBorders>
            <w:vMerge w:val="continue"/>
          </w:tcPr>
          <w:p>
            <w:pPr>
              <w:spacing w:after="0"/>
              <w:rPr>
                <w:sz w:val="10"/>
                <w:szCs w:val="10"/>
                <w:color w:val="auto"/>
              </w:rPr>
            </w:pPr>
          </w:p>
        </w:tc>
        <w:tc>
          <w:tcPr>
            <w:tcW w:w="5540" w:type="dxa"/>
            <w:vAlign w:val="bottom"/>
            <w:vMerge w:val="restart"/>
          </w:tcPr>
          <w:p>
            <w:pPr>
              <w:ind w:left="140"/>
              <w:spacing w:after="0"/>
              <w:rPr>
                <w:sz w:val="20"/>
                <w:szCs w:val="20"/>
                <w:color w:val="auto"/>
              </w:rPr>
            </w:pPr>
            <w:r>
              <w:rPr>
                <w:rFonts w:ascii="Arial" w:cs="Arial" w:eastAsia="Arial" w:hAnsi="Arial"/>
                <w:sz w:val="15"/>
                <w:szCs w:val="15"/>
                <w:color w:val="58595B"/>
              </w:rPr>
              <w:t>the Related Person Transaction Committee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880" w:type="dxa"/>
            <w:vAlign w:val="bottom"/>
            <w:tcBorders>
              <w:right w:val="single" w:sz="8" w:color="auto"/>
            </w:tcBorders>
          </w:tcPr>
          <w:p>
            <w:pPr>
              <w:spacing w:after="0"/>
              <w:rPr>
                <w:sz w:val="6"/>
                <w:szCs w:val="6"/>
                <w:color w:val="auto"/>
              </w:rPr>
            </w:pPr>
          </w:p>
        </w:tc>
        <w:tc>
          <w:tcPr>
            <w:tcW w:w="5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880" w:type="dxa"/>
            <w:vAlign w:val="bottom"/>
            <w:tcBorders>
              <w:bottom w:val="single" w:sz="8" w:color="auto"/>
              <w:right w:val="single" w:sz="8" w:color="auto"/>
            </w:tcBorders>
          </w:tcPr>
          <w:p>
            <w:pPr>
              <w:spacing w:after="0"/>
              <w:rPr>
                <w:sz w:val="6"/>
                <w:szCs w:val="6"/>
                <w:color w:val="auto"/>
              </w:rPr>
            </w:pPr>
          </w:p>
        </w:tc>
        <w:tc>
          <w:tcPr>
            <w:tcW w:w="5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88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58595B"/>
              </w:rPr>
              <w:t>Heather H. Miller</w:t>
            </w:r>
          </w:p>
        </w:tc>
        <w:tc>
          <w:tcPr>
            <w:tcW w:w="5540" w:type="dxa"/>
            <w:vAlign w:val="bottom"/>
          </w:tcPr>
          <w:p>
            <w:pPr>
              <w:ind w:left="140"/>
              <w:spacing w:after="0"/>
              <w:rPr>
                <w:sz w:val="20"/>
                <w:szCs w:val="20"/>
                <w:color w:val="auto"/>
              </w:rPr>
            </w:pPr>
            <w:r>
              <w:rPr>
                <w:rFonts w:ascii="Arial" w:cs="Arial" w:eastAsia="Arial" w:hAnsi="Arial"/>
                <w:sz w:val="15"/>
                <w:szCs w:val="15"/>
                <w:color w:val="58595B"/>
              </w:rPr>
              <w:t>Director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28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8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58595B"/>
              </w:rPr>
              <w:t>John D. Rood</w:t>
            </w:r>
          </w:p>
        </w:tc>
        <w:tc>
          <w:tcPr>
            <w:tcW w:w="5540" w:type="dxa"/>
            <w:vAlign w:val="bottom"/>
          </w:tcPr>
          <w:p>
            <w:pPr>
              <w:ind w:left="140"/>
              <w:spacing w:after="0"/>
              <w:rPr>
                <w:sz w:val="20"/>
                <w:szCs w:val="20"/>
                <w:color w:val="auto"/>
              </w:rPr>
            </w:pPr>
            <w:r>
              <w:rPr>
                <w:rFonts w:ascii="Arial" w:cs="Arial" w:eastAsia="Arial" w:hAnsi="Arial"/>
                <w:sz w:val="15"/>
                <w:szCs w:val="15"/>
                <w:color w:val="58595B"/>
              </w:rPr>
              <w:t>Member of the Audit Committee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Borders>
              <w:right w:val="single" w:sz="8" w:color="auto"/>
            </w:tcBorders>
            <w:vMerge w:val="continue"/>
          </w:tcPr>
          <w:p>
            <w:pPr>
              <w:spacing w:after="0"/>
              <w:rPr>
                <w:sz w:val="10"/>
                <w:szCs w:val="10"/>
                <w:color w:val="auto"/>
              </w:rPr>
            </w:pPr>
          </w:p>
        </w:tc>
        <w:tc>
          <w:tcPr>
            <w:tcW w:w="5540" w:type="dxa"/>
            <w:vAlign w:val="bottom"/>
            <w:vMerge w:val="restart"/>
          </w:tcPr>
          <w:p>
            <w:pPr>
              <w:ind w:left="140"/>
              <w:spacing w:after="0"/>
              <w:rPr>
                <w:sz w:val="20"/>
                <w:szCs w:val="20"/>
                <w:color w:val="auto"/>
              </w:rPr>
            </w:pPr>
            <w:r>
              <w:rPr>
                <w:rFonts w:ascii="Arial" w:cs="Arial" w:eastAsia="Arial" w:hAnsi="Arial"/>
                <w:sz w:val="15"/>
                <w:szCs w:val="15"/>
                <w:color w:val="58595B"/>
              </w:rPr>
              <w:t>Member of the Corporate Governance and Nominating Committee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880" w:type="dxa"/>
            <w:vAlign w:val="bottom"/>
            <w:tcBorders>
              <w:right w:val="single" w:sz="8" w:color="auto"/>
            </w:tcBorders>
          </w:tcPr>
          <w:p>
            <w:pPr>
              <w:spacing w:after="0"/>
              <w:rPr>
                <w:sz w:val="6"/>
                <w:szCs w:val="6"/>
                <w:color w:val="auto"/>
              </w:rPr>
            </w:pPr>
          </w:p>
        </w:tc>
        <w:tc>
          <w:tcPr>
            <w:tcW w:w="5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880" w:type="dxa"/>
            <w:vAlign w:val="bottom"/>
            <w:tcBorders>
              <w:bottom w:val="single" w:sz="8" w:color="auto"/>
              <w:right w:val="single" w:sz="8" w:color="auto"/>
            </w:tcBorders>
          </w:tcPr>
          <w:p>
            <w:pPr>
              <w:spacing w:after="0"/>
              <w:rPr>
                <w:sz w:val="6"/>
                <w:szCs w:val="6"/>
                <w:color w:val="auto"/>
              </w:rPr>
            </w:pPr>
          </w:p>
        </w:tc>
        <w:tc>
          <w:tcPr>
            <w:tcW w:w="5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820" w:right="360"/>
        <w:spacing w:after="0" w:line="234" w:lineRule="auto"/>
        <w:rPr>
          <w:sz w:val="20"/>
          <w:szCs w:val="20"/>
          <w:color w:val="auto"/>
        </w:rPr>
      </w:pPr>
      <w:r>
        <w:rPr>
          <w:rFonts w:ascii="Arial" w:cs="Arial" w:eastAsia="Arial" w:hAnsi="Arial"/>
          <w:sz w:val="18"/>
          <w:szCs w:val="18"/>
          <w:b w:val="1"/>
          <w:bCs w:val="1"/>
          <w:color w:val="49678E"/>
        </w:rPr>
        <w:t xml:space="preserve">Raymond R. Quirk. </w:t>
      </w:r>
      <w:r>
        <w:rPr>
          <w:rFonts w:ascii="Arial" w:cs="Arial" w:eastAsia="Arial" w:hAnsi="Arial"/>
          <w:sz w:val="18"/>
          <w:szCs w:val="18"/>
          <w:color w:val="58595B"/>
        </w:rPr>
        <w:t>Mr. Quirk has served as Executive Vice-Chairman of our board since February 2022 and</w:t>
      </w:r>
      <w:r>
        <w:rPr>
          <w:rFonts w:ascii="Arial" w:cs="Arial" w:eastAsia="Arial" w:hAnsi="Arial"/>
          <w:sz w:val="18"/>
          <w:szCs w:val="18"/>
          <w:b w:val="1"/>
          <w:bCs w:val="1"/>
          <w:color w:val="49678E"/>
        </w:rPr>
        <w:t xml:space="preserve"> </w:t>
      </w:r>
      <w:r>
        <w:rPr>
          <w:rFonts w:ascii="Arial" w:cs="Arial" w:eastAsia="Arial" w:hAnsi="Arial"/>
          <w:sz w:val="18"/>
          <w:szCs w:val="18"/>
          <w:color w:val="58595B"/>
        </w:rPr>
        <w:t>formerly served as Chief Executive Officer of FNF since December 2013. He has served as a director of FNF since February 2017. Previously, Mr. Quirk served as the President of FNF from May 2007 until December 2013. Mr. Quirk served as Co-Chief Operating Officer of FNF from October 2006 until May 2007. Since joining FNF in 1985, Mr. Quirk has served in numerous executive and management positions, including Executive Vice President, Division Manager and Regional Manager, with responsibilities for managing direct and agency operations nationally. Mr. Quirk has also served on the board of directors of F&amp;G since August 2020 and formerly served on the board of directors of J. Alexander's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107315</wp:posOffset>
            </wp:positionV>
            <wp:extent cx="7144385" cy="297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27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672465</wp:posOffset>
            </wp:positionV>
            <wp:extent cx="71443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31" w:name="page32"/>
    <w:bookmarkEnd w:id="31"/>
    <w:p>
      <w:pPr>
        <w:ind w:left="1180" w:right="1100"/>
        <w:spacing w:after="0" w:line="279" w:lineRule="auto"/>
        <w:rPr>
          <w:sz w:val="20"/>
          <w:szCs w:val="20"/>
          <w:color w:val="auto"/>
        </w:rPr>
      </w:pPr>
      <w:r>
        <w:rPr>
          <w:rFonts w:ascii="Arial" w:cs="Arial" w:eastAsia="Arial" w:hAnsi="Arial"/>
          <w:sz w:val="17"/>
          <w:szCs w:val="17"/>
          <w:color w:val="58595B"/>
        </w:rPr>
        <w:t>Mr. Quirk's qualifications to serve on the FNF board of directors include his 40 years of experience with FNF, his deep knowledge of our business and industry and his strong leadership abilities.</w:t>
      </w:r>
    </w:p>
    <w:p>
      <w:pPr>
        <w:spacing w:after="0" w:line="115" w:lineRule="exact"/>
        <w:rPr>
          <w:sz w:val="20"/>
          <w:szCs w:val="20"/>
          <w:color w:val="auto"/>
        </w:rPr>
      </w:pPr>
    </w:p>
    <w:p>
      <w:pPr>
        <w:ind w:left="1180" w:right="960"/>
        <w:spacing w:after="0" w:line="231" w:lineRule="auto"/>
        <w:rPr>
          <w:sz w:val="20"/>
          <w:szCs w:val="20"/>
          <w:color w:val="auto"/>
        </w:rPr>
      </w:pPr>
      <w:r>
        <w:rPr>
          <w:rFonts w:ascii="Arial" w:cs="Arial" w:eastAsia="Arial" w:hAnsi="Arial"/>
          <w:sz w:val="18"/>
          <w:szCs w:val="18"/>
          <w:b w:val="1"/>
          <w:bCs w:val="1"/>
          <w:color w:val="49678E"/>
        </w:rPr>
        <w:t xml:space="preserve">Sandra D. Morgan. </w:t>
      </w:r>
      <w:r>
        <w:rPr>
          <w:rFonts w:ascii="Arial" w:cs="Arial" w:eastAsia="Arial" w:hAnsi="Arial"/>
          <w:sz w:val="18"/>
          <w:szCs w:val="18"/>
          <w:color w:val="58595B"/>
        </w:rPr>
        <w:t>Ms. Morgan has served on our board since 2020. Ms. Morgan is the President of the Las</w:t>
      </w:r>
      <w:r>
        <w:rPr>
          <w:rFonts w:ascii="Arial" w:cs="Arial" w:eastAsia="Arial" w:hAnsi="Arial"/>
          <w:sz w:val="18"/>
          <w:szCs w:val="18"/>
          <w:b w:val="1"/>
          <w:bCs w:val="1"/>
          <w:color w:val="49678E"/>
        </w:rPr>
        <w:t xml:space="preserve"> </w:t>
      </w:r>
      <w:r>
        <w:rPr>
          <w:rFonts w:ascii="Arial" w:cs="Arial" w:eastAsia="Arial" w:hAnsi="Arial"/>
          <w:sz w:val="18"/>
          <w:szCs w:val="18"/>
          <w:color w:val="58595B"/>
        </w:rPr>
        <w:t>Vegas Raiders, a member club of the National Football League. She is a past Chairwoman of the Nevada Gaming Control Board. She was appointed to this role by Governor Steve Sisolak and is the first African American to have served as Chair. Ms. Morgan was previously appointed to the Nevada Gaming Commission by Governor Brian Sandoval in April 2018. While serving as a Commissioner, Ms. Morgan also served as Director of External Affairs for AT&amp;T Services, Inc. from September 2016 to January 2019 and was responsible for managing AT&amp;T's government and community affairs in Nevada. She previously served as the City Attorney for the City of North Las Vegas from May 2008 to August 2016 and was the first African American City Attorney in the State of Nevada. Prior to her public service with the City of North Las Vegas, Ms. Morgan served as Litigation Attorney for MGM Mirage (now known as MGM Resorts) from 2005 to May 2008. Ms. Morgan previously served as an Athletic Commissioner on the Nevada State Athletic Commission and served on the Board of Directors for Jobs for Nevada's Graduates. In 2021, Ms. Morgan was Of Counsel with Covington &amp; Burling LLP in multiple practice areas, including gaming, sports and technology, as well as the firm's regulatory, data privacy and cybersecurity practice, litigation and investigations and white-collar defense practices. She also serves on the board of directors of Allegiant Travel Company since 2021, the Raiders Foundation since 2022, the UNLV Foundation since 2023, and formerly served on the board of directors of Caesars Entertainment from November 2021 to July 2022.</w:t>
      </w:r>
    </w:p>
    <w:p>
      <w:pPr>
        <w:spacing w:after="0" w:line="152" w:lineRule="exact"/>
        <w:rPr>
          <w:sz w:val="20"/>
          <w:szCs w:val="20"/>
          <w:color w:val="auto"/>
        </w:rPr>
      </w:pPr>
    </w:p>
    <w:p>
      <w:pPr>
        <w:ind w:left="1180" w:right="920"/>
        <w:spacing w:after="0" w:line="247" w:lineRule="auto"/>
        <w:rPr>
          <w:sz w:val="20"/>
          <w:szCs w:val="20"/>
          <w:color w:val="auto"/>
        </w:rPr>
      </w:pPr>
      <w:r>
        <w:rPr>
          <w:rFonts w:ascii="Arial" w:cs="Arial" w:eastAsia="Arial" w:hAnsi="Arial"/>
          <w:sz w:val="18"/>
          <w:szCs w:val="18"/>
          <w:color w:val="58595B"/>
        </w:rPr>
        <w:t>Ms. Morgan's qualifications to serve on our board include her legal expertise and experience, her governmental and regulatory experience on the Nevada Gaming Commission, her leadership in both the private and public sectors, and her independence. Ms. Morgan also serves on the related person transaction committee of our board.</w:t>
      </w:r>
    </w:p>
    <w:p>
      <w:pPr>
        <w:spacing w:after="0" w:line="137" w:lineRule="exact"/>
        <w:rPr>
          <w:sz w:val="20"/>
          <w:szCs w:val="20"/>
          <w:color w:val="auto"/>
        </w:rPr>
      </w:pPr>
    </w:p>
    <w:p>
      <w:pPr>
        <w:ind w:left="1180" w:right="920"/>
        <w:spacing w:after="0" w:line="233" w:lineRule="auto"/>
        <w:rPr>
          <w:sz w:val="20"/>
          <w:szCs w:val="20"/>
          <w:color w:val="auto"/>
        </w:rPr>
      </w:pPr>
      <w:r>
        <w:rPr>
          <w:rFonts w:ascii="Arial" w:cs="Arial" w:eastAsia="Arial" w:hAnsi="Arial"/>
          <w:sz w:val="18"/>
          <w:szCs w:val="18"/>
          <w:b w:val="1"/>
          <w:bCs w:val="1"/>
          <w:color w:val="49678E"/>
        </w:rPr>
        <w:t xml:space="preserve">Heather H. Miller. </w:t>
      </w:r>
      <w:r>
        <w:rPr>
          <w:rFonts w:ascii="Arial" w:cs="Arial" w:eastAsia="Arial" w:hAnsi="Arial"/>
          <w:sz w:val="18"/>
          <w:szCs w:val="18"/>
          <w:color w:val="58595B"/>
        </w:rPr>
        <w:t>Ms. Miller has served on our board since 2017. Ms. Miller is a private investor. She retired as a</w:t>
      </w:r>
      <w:r>
        <w:rPr>
          <w:rFonts w:ascii="Arial" w:cs="Arial" w:eastAsia="Arial" w:hAnsi="Arial"/>
          <w:sz w:val="18"/>
          <w:szCs w:val="18"/>
          <w:b w:val="1"/>
          <w:bCs w:val="1"/>
          <w:color w:val="49678E"/>
        </w:rPr>
        <w:t xml:space="preserve"> </w:t>
      </w:r>
      <w:r>
        <w:rPr>
          <w:rFonts w:ascii="Arial" w:cs="Arial" w:eastAsia="Arial" w:hAnsi="Arial"/>
          <w:sz w:val="18"/>
          <w:szCs w:val="18"/>
          <w:color w:val="58595B"/>
        </w:rPr>
        <w:t>Managing Director and group head of Global Securities and Economics at Merrill Lynch in 2002 after more than a decade on Wall Street. In 2002, Ms. Miller founded the nonprofit Nevada Cancer Institute, a cancer research and treatment center, where she served as Chairwoman and CEO and then as a board member until the institute merged into Roseman University in 2013. She was appointed by Congress to serve on the Financial Crisis Inquiry Commission from 2009 to 2011. The Commission's findings, "The Financial Crisis Inquiry Report" was listed on the New York Times bestseller list. Ms. Miller was appointed and served as a Commissioner on the White House Commission on Enhancing National Cybersecurity in 2016. The Commission's findings were presented to President Obama in December 2016. She serves on the Board of Trustees of the Johns Hopkins University and Johns Hopkins Medicine and as the Chair of Johns Hopkins University Applied Physics Laboratory. Ms. Miller formerly served on the board of MannKind Corporation.</w:t>
      </w:r>
    </w:p>
    <w:p>
      <w:pPr>
        <w:spacing w:after="0" w:line="143" w:lineRule="exact"/>
        <w:rPr>
          <w:sz w:val="20"/>
          <w:szCs w:val="20"/>
          <w:color w:val="auto"/>
        </w:rPr>
      </w:pPr>
    </w:p>
    <w:p>
      <w:pPr>
        <w:ind w:left="1180" w:right="1180"/>
        <w:spacing w:after="0" w:line="241" w:lineRule="auto"/>
        <w:rPr>
          <w:sz w:val="20"/>
          <w:szCs w:val="20"/>
          <w:color w:val="auto"/>
        </w:rPr>
      </w:pPr>
      <w:r>
        <w:rPr>
          <w:rFonts w:ascii="Arial" w:cs="Arial" w:eastAsia="Arial" w:hAnsi="Arial"/>
          <w:sz w:val="18"/>
          <w:szCs w:val="18"/>
          <w:color w:val="58595B"/>
        </w:rPr>
        <w:t>Ms. Miller's qualifications include her strong background in finance gained during her time at Merrill Lynch, her leadership experience as a group leader at a leading Wall Street firm and as founder, Chair and CEO at various non-profits, and her regulatory and cyber-security knowledge from serving on the Financial Crisis Inquiry Commission and Commission on Enhancing National Cybersecurity.</w:t>
      </w:r>
    </w:p>
    <w:p>
      <w:pPr>
        <w:spacing w:after="0" w:line="149" w:lineRule="exact"/>
        <w:rPr>
          <w:sz w:val="20"/>
          <w:szCs w:val="20"/>
          <w:color w:val="auto"/>
        </w:rPr>
      </w:pPr>
    </w:p>
    <w:p>
      <w:pPr>
        <w:ind w:left="1180" w:right="1040"/>
        <w:spacing w:after="0" w:line="262" w:lineRule="auto"/>
        <w:rPr>
          <w:sz w:val="20"/>
          <w:szCs w:val="20"/>
          <w:color w:val="auto"/>
        </w:rPr>
      </w:pPr>
      <w:r>
        <w:rPr>
          <w:rFonts w:ascii="Arial" w:cs="Arial" w:eastAsia="Arial" w:hAnsi="Arial"/>
          <w:sz w:val="17"/>
          <w:szCs w:val="17"/>
          <w:b w:val="1"/>
          <w:bCs w:val="1"/>
          <w:color w:val="49678E"/>
        </w:rPr>
        <w:t xml:space="preserve">John D. Rood. </w:t>
      </w:r>
      <w:r>
        <w:rPr>
          <w:rFonts w:ascii="Arial" w:cs="Arial" w:eastAsia="Arial" w:hAnsi="Arial"/>
          <w:sz w:val="17"/>
          <w:szCs w:val="17"/>
          <w:color w:val="58595B"/>
        </w:rPr>
        <w:t>Mr. Rood has served on our board of directors since May 2013. Mr. Rood is the founder and Chairman</w:t>
      </w:r>
      <w:r>
        <w:rPr>
          <w:rFonts w:ascii="Arial" w:cs="Arial" w:eastAsia="Arial" w:hAnsi="Arial"/>
          <w:sz w:val="17"/>
          <w:szCs w:val="17"/>
          <w:b w:val="1"/>
          <w:bCs w:val="1"/>
          <w:color w:val="49678E"/>
        </w:rPr>
        <w:t xml:space="preserve"> </w:t>
      </w:r>
      <w:r>
        <w:rPr>
          <w:rFonts w:ascii="Arial" w:cs="Arial" w:eastAsia="Arial" w:hAnsi="Arial"/>
          <w:sz w:val="17"/>
          <w:szCs w:val="17"/>
          <w:color w:val="58595B"/>
        </w:rPr>
        <w:t>of The Vestcor Companies, a real estate firm with more than 30 years of experience in multifamily development and investment. Mr. Rood has also served on the board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28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8" w:right="339" w:bottom="1440" w:gutter="0" w:footer="0" w:header="0"/>
        </w:sectPr>
      </w:pPr>
    </w:p>
    <w:bookmarkStart w:id="32" w:name="page33"/>
    <w:bookmarkEnd w:id="32"/>
    <w:p>
      <w:pPr>
        <w:ind w:left="820" w:right="420"/>
        <w:spacing w:after="0" w:line="232" w:lineRule="auto"/>
        <w:rPr>
          <w:sz w:val="20"/>
          <w:szCs w:val="20"/>
          <w:color w:val="auto"/>
        </w:rPr>
      </w:pPr>
      <w:r>
        <w:rPr>
          <w:rFonts w:ascii="Arial" w:cs="Arial" w:eastAsia="Arial" w:hAnsi="Arial"/>
          <w:sz w:val="18"/>
          <w:szCs w:val="18"/>
          <w:color w:val="58595B"/>
        </w:rPr>
        <w:t>directors of F&amp;G since December 2022 and served as a director of Black Knight from December 2013 until it was acquired by Intercontinental Exchange, Inc. in September 2023. From 2004 to 2007, Mr. Rood served as the US Ambassador to the Commonwealth of the Bahamas. He was appointed by Governor Jeb Bush to serve on the Florida Fish and Wildlife Commission where he served until 2004. He was appointed by Governor Charlie Crist to the Florida Board of Governors, which oversees the State of Florida University System, where he served until 2013. Mr. Rood served on the board of directors of Alico Inc. from May 2009 until November 2013 when the company was sold. Mr. Rood was appointed by Mayor Lenny Curry to the JAXPORT Board of Directors, where he served from October 2015 to July 2016. Governor Rick Scott appointed Mr. Rood to the Florida Prepaid College Board in July 2016, where Mr. Rood serves as Chairman of the Board. Mr. Rood served on the Enterprise Florida and Space Coast Florida board of directors from September 2016 until February 2019. He was elected to the Board of Trustees of Flagler College in October 2010 and has served as Chairman since May 2022. Mr. Rood is the founder of Jacksonville Classical Academy which opened in the fall of 2018 and has an enrollment of over 1,000 children.</w:t>
      </w:r>
    </w:p>
    <w:p>
      <w:pPr>
        <w:spacing w:after="0" w:line="147" w:lineRule="exact"/>
        <w:rPr>
          <w:sz w:val="20"/>
          <w:szCs w:val="20"/>
          <w:color w:val="auto"/>
        </w:rPr>
      </w:pPr>
    </w:p>
    <w:p>
      <w:pPr>
        <w:ind w:left="820" w:right="340"/>
        <w:spacing w:after="0" w:line="238" w:lineRule="auto"/>
        <w:rPr>
          <w:sz w:val="20"/>
          <w:szCs w:val="20"/>
          <w:color w:val="auto"/>
        </w:rPr>
      </w:pPr>
      <w:r>
        <w:rPr>
          <w:rFonts w:ascii="Arial" w:cs="Arial" w:eastAsia="Arial" w:hAnsi="Arial"/>
          <w:sz w:val="18"/>
          <w:szCs w:val="18"/>
          <w:color w:val="58595B"/>
        </w:rPr>
        <w:t>Mr. Rood’s qualifications to serve on the FNF board of directors include his experience in the real estate industry, his leadership experience as a United States Ambassador, his financial literacy, his understanding of cyber-security risks gained through director training programs, and his experience as a director on boards of both public and private companies. Mr. Rood has participated in numerous risk and audit training programs with KPMG, Booz Allen and the National Association of Corporate Directors, or NACD. He is a Board Leadership Fellow with NACD.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113030</wp:posOffset>
            </wp:positionV>
            <wp:extent cx="5641975" cy="1228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1975" cy="1228725"/>
                    </a:xfrm>
                    <a:prstGeom prst="rect">
                      <a:avLst/>
                    </a:prstGeom>
                    <a:noFill/>
                  </pic:spPr>
                </pic:pic>
              </a:graphicData>
            </a:graphic>
          </wp:anchor>
        </w:drawing>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Class II Directors – Term Expiring 2028</w:t>
      </w:r>
    </w:p>
    <w:p>
      <w:pPr>
        <w:spacing w:after="0" w:line="59" w:lineRule="exact"/>
        <w:rPr>
          <w:sz w:val="20"/>
          <w:szCs w:val="20"/>
          <w:color w:val="auto"/>
        </w:rPr>
      </w:pPr>
    </w:p>
    <w:tbl>
      <w:tblPr>
        <w:tblLayout w:type="fixed"/>
        <w:tblInd w:w="820" w:type="dxa"/>
        <w:tblCellMar>
          <w:top w:w="0" w:type="dxa"/>
          <w:left w:w="0" w:type="dxa"/>
          <w:bottom w:w="0" w:type="dxa"/>
          <w:right w:w="0" w:type="dxa"/>
        </w:tblCellMar>
      </w:tblPr>
      <w:tr>
        <w:trPr>
          <w:trHeight w:val="350"/>
        </w:trPr>
        <w:tc>
          <w:tcPr>
            <w:tcW w:w="3040" w:type="dxa"/>
            <w:vAlign w:val="bottom"/>
            <w:tcBorders>
              <w:top w:val="single" w:sz="8" w:color="auto"/>
              <w:bottom w:val="single" w:sz="8" w:color="E9EBEB"/>
              <w:right w:val="single" w:sz="8" w:color="auto"/>
            </w:tcBorders>
            <w:shd w:val="clear" w:color="auto" w:fill="E9EBEB"/>
          </w:tcPr>
          <w:p>
            <w:pPr>
              <w:ind w:left="160"/>
              <w:spacing w:after="0"/>
              <w:rPr>
                <w:sz w:val="20"/>
                <w:szCs w:val="20"/>
                <w:color w:val="auto"/>
              </w:rPr>
            </w:pPr>
            <w:r>
              <w:rPr>
                <w:rFonts w:ascii="Arial" w:cs="Arial" w:eastAsia="Arial" w:hAnsi="Arial"/>
                <w:sz w:val="15"/>
                <w:szCs w:val="15"/>
                <w:b w:val="1"/>
                <w:bCs w:val="1"/>
                <w:color w:val="58595B"/>
              </w:rPr>
              <w:t>Name</w:t>
            </w:r>
          </w:p>
        </w:tc>
        <w:tc>
          <w:tcPr>
            <w:tcW w:w="5840" w:type="dxa"/>
            <w:vAlign w:val="bottom"/>
            <w:tcBorders>
              <w:top w:val="single" w:sz="8" w:color="auto"/>
              <w:bottom w:val="single" w:sz="8" w:color="E9EBEB"/>
            </w:tcBorders>
            <w:shd w:val="clear" w:color="auto" w:fill="E9EBEB"/>
          </w:tcPr>
          <w:p>
            <w:pPr>
              <w:ind w:left="140"/>
              <w:spacing w:after="0"/>
              <w:rPr>
                <w:sz w:val="20"/>
                <w:szCs w:val="20"/>
                <w:color w:val="auto"/>
              </w:rPr>
            </w:pPr>
            <w:r>
              <w:rPr>
                <w:rFonts w:ascii="Arial" w:cs="Arial" w:eastAsia="Arial" w:hAnsi="Arial"/>
                <w:sz w:val="15"/>
                <w:szCs w:val="15"/>
                <w:b w:val="1"/>
                <w:bCs w:val="1"/>
                <w:color w:val="58595B"/>
              </w:rPr>
              <w:t>Position</w:t>
            </w:r>
          </w:p>
        </w:tc>
      </w:tr>
      <w:tr>
        <w:trPr>
          <w:trHeight w:val="260"/>
        </w:trPr>
        <w:tc>
          <w:tcPr>
            <w:tcW w:w="30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5"/>
                <w:szCs w:val="15"/>
                <w:color w:val="58595B"/>
              </w:rPr>
              <w:t>Hon. Halim Dhanidina</w:t>
            </w:r>
          </w:p>
        </w:tc>
        <w:tc>
          <w:tcPr>
            <w:tcW w:w="584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58595B"/>
              </w:rPr>
              <w:t>Chairman of the Related Person Transaction Committee</w:t>
            </w:r>
          </w:p>
        </w:tc>
      </w:tr>
      <w:tr>
        <w:trPr>
          <w:trHeight w:val="65"/>
        </w:trPr>
        <w:tc>
          <w:tcPr>
            <w:tcW w:w="304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r>
      <w:tr>
        <w:trPr>
          <w:trHeight w:val="359"/>
        </w:trPr>
        <w:tc>
          <w:tcPr>
            <w:tcW w:w="30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58595B"/>
              </w:rPr>
              <w:t>Daniel D. (Ron) Lane</w:t>
            </w:r>
          </w:p>
        </w:tc>
        <w:tc>
          <w:tcPr>
            <w:tcW w:w="5840" w:type="dxa"/>
            <w:vAlign w:val="bottom"/>
          </w:tcPr>
          <w:p>
            <w:pPr>
              <w:ind w:left="140"/>
              <w:spacing w:after="0"/>
              <w:rPr>
                <w:sz w:val="20"/>
                <w:szCs w:val="20"/>
                <w:color w:val="auto"/>
              </w:rPr>
            </w:pPr>
            <w:r>
              <w:rPr>
                <w:rFonts w:ascii="Arial" w:cs="Arial" w:eastAsia="Arial" w:hAnsi="Arial"/>
                <w:sz w:val="15"/>
                <w:szCs w:val="15"/>
                <w:color w:val="58595B"/>
              </w:rPr>
              <w:t>Member of the Compensation Committee</w:t>
            </w:r>
          </w:p>
        </w:tc>
      </w:tr>
      <w:tr>
        <w:trPr>
          <w:trHeight w:val="151"/>
        </w:trPr>
        <w:tc>
          <w:tcPr>
            <w:tcW w:w="30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tcBorders>
          </w:tcPr>
          <w:p>
            <w:pPr>
              <w:spacing w:after="0"/>
              <w:rPr>
                <w:sz w:val="13"/>
                <w:szCs w:val="13"/>
                <w:color w:val="auto"/>
              </w:rPr>
            </w:pPr>
          </w:p>
        </w:tc>
      </w:tr>
      <w:tr>
        <w:trPr>
          <w:trHeight w:val="272"/>
        </w:trPr>
        <w:tc>
          <w:tcPr>
            <w:tcW w:w="30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58595B"/>
              </w:rPr>
              <w:t>Cary H. Thompson</w:t>
            </w:r>
          </w:p>
        </w:tc>
        <w:tc>
          <w:tcPr>
            <w:tcW w:w="5840" w:type="dxa"/>
            <w:vAlign w:val="bottom"/>
          </w:tcPr>
          <w:p>
            <w:pPr>
              <w:ind w:left="140"/>
              <w:spacing w:after="0"/>
              <w:rPr>
                <w:sz w:val="20"/>
                <w:szCs w:val="20"/>
                <w:color w:val="auto"/>
              </w:rPr>
            </w:pPr>
            <w:r>
              <w:rPr>
                <w:rFonts w:ascii="Arial" w:cs="Arial" w:eastAsia="Arial" w:hAnsi="Arial"/>
                <w:sz w:val="15"/>
                <w:szCs w:val="15"/>
                <w:color w:val="58595B"/>
              </w:rPr>
              <w:t>Member of the Compensation Committee</w:t>
            </w:r>
          </w:p>
        </w:tc>
      </w:tr>
      <w:tr>
        <w:trPr>
          <w:trHeight w:val="53"/>
        </w:trPr>
        <w:tc>
          <w:tcPr>
            <w:tcW w:w="304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r>
    </w:tbl>
    <w:p>
      <w:pPr>
        <w:spacing w:after="0" w:line="176" w:lineRule="exact"/>
        <w:rPr>
          <w:sz w:val="20"/>
          <w:szCs w:val="20"/>
          <w:color w:val="auto"/>
        </w:rPr>
      </w:pPr>
    </w:p>
    <w:p>
      <w:pPr>
        <w:ind w:left="820" w:right="440"/>
        <w:spacing w:after="0" w:line="234" w:lineRule="auto"/>
        <w:rPr>
          <w:sz w:val="20"/>
          <w:szCs w:val="20"/>
          <w:color w:val="auto"/>
        </w:rPr>
      </w:pPr>
      <w:r>
        <w:rPr>
          <w:rFonts w:ascii="Arial" w:cs="Arial" w:eastAsia="Arial" w:hAnsi="Arial"/>
          <w:sz w:val="18"/>
          <w:szCs w:val="18"/>
          <w:b w:val="1"/>
          <w:bCs w:val="1"/>
          <w:color w:val="49678E"/>
        </w:rPr>
        <w:t xml:space="preserve">The Honorable Halim Dhanidina. </w:t>
      </w:r>
      <w:r>
        <w:rPr>
          <w:rFonts w:ascii="Arial" w:cs="Arial" w:eastAsia="Arial" w:hAnsi="Arial"/>
          <w:sz w:val="18"/>
          <w:szCs w:val="18"/>
          <w:color w:val="58595B"/>
        </w:rPr>
        <w:t>Judge Dhanidina has served as a director of the Company since May 2021.</w:t>
      </w:r>
      <w:r>
        <w:rPr>
          <w:rFonts w:ascii="Arial" w:cs="Arial" w:eastAsia="Arial" w:hAnsi="Arial"/>
          <w:sz w:val="18"/>
          <w:szCs w:val="18"/>
          <w:b w:val="1"/>
          <w:bCs w:val="1"/>
          <w:color w:val="49678E"/>
        </w:rPr>
        <w:t xml:space="preserve"> </w:t>
      </w:r>
      <w:r>
        <w:rPr>
          <w:rFonts w:ascii="Arial" w:cs="Arial" w:eastAsia="Arial" w:hAnsi="Arial"/>
          <w:sz w:val="18"/>
          <w:szCs w:val="18"/>
          <w:color w:val="58595B"/>
        </w:rPr>
        <w:t>Judge Dhanidina is a retired Associate Justice of the California Court of Appeal where he served from 2018 until April 2021. He was previously appointed as a Judge of the Los Angeles County Superior Court in 2012, making him the first Muslim judge in California history. Judge Dhanidina served as a Partner with the firms Werksman, Jackson &amp; Quinn LLP from April 2022 until May 2023 and Umberg/Zipser from April 2021 to April 2022. He is currently a mediator and arbitrator at Signature Resolution. He also teaches law at the University of California Irvine, University of California Los Angeles and Chapman University. He earned a Bachelor of Arts in International Relations from Pomona College and a Juris Doctorate from the University of California, Los Angeles. Judge Dhanidina holds a certificate in Board Governance from the UCLA Anderson School of Management.</w:t>
      </w:r>
    </w:p>
    <w:p>
      <w:pPr>
        <w:spacing w:after="0" w:line="143" w:lineRule="exact"/>
        <w:rPr>
          <w:sz w:val="20"/>
          <w:szCs w:val="20"/>
          <w:color w:val="auto"/>
        </w:rPr>
      </w:pPr>
    </w:p>
    <w:p>
      <w:pPr>
        <w:ind w:left="820" w:right="480"/>
        <w:spacing w:after="0" w:line="247" w:lineRule="auto"/>
        <w:rPr>
          <w:sz w:val="20"/>
          <w:szCs w:val="20"/>
          <w:color w:val="auto"/>
        </w:rPr>
      </w:pPr>
      <w:r>
        <w:rPr>
          <w:rFonts w:ascii="Arial" w:cs="Arial" w:eastAsia="Arial" w:hAnsi="Arial"/>
          <w:sz w:val="18"/>
          <w:szCs w:val="18"/>
          <w:color w:val="58595B"/>
        </w:rPr>
        <w:t>Judge Dhanidina's qualifications to sit on our board include his long and distinguished career as a practicing attorney and judge and his extensive teaching experience in various areas of law. He also serves as a member of the related person transaction committee of our board.</w:t>
      </w:r>
    </w:p>
    <w:p>
      <w:pPr>
        <w:spacing w:after="0" w:line="145" w:lineRule="exact"/>
        <w:rPr>
          <w:sz w:val="20"/>
          <w:szCs w:val="20"/>
          <w:color w:val="auto"/>
        </w:rPr>
      </w:pPr>
    </w:p>
    <w:p>
      <w:pPr>
        <w:ind w:left="820" w:right="380"/>
        <w:spacing w:after="0" w:line="262" w:lineRule="auto"/>
        <w:rPr>
          <w:sz w:val="20"/>
          <w:szCs w:val="20"/>
          <w:color w:val="auto"/>
        </w:rPr>
      </w:pPr>
      <w:r>
        <w:rPr>
          <w:rFonts w:ascii="Arial" w:cs="Arial" w:eastAsia="Arial" w:hAnsi="Arial"/>
          <w:sz w:val="17"/>
          <w:szCs w:val="17"/>
          <w:b w:val="1"/>
          <w:bCs w:val="1"/>
          <w:color w:val="49678E"/>
        </w:rPr>
        <w:t xml:space="preserve">Daniel D. (Ron) Lane. </w:t>
      </w:r>
      <w:r>
        <w:rPr>
          <w:rFonts w:ascii="Arial" w:cs="Arial" w:eastAsia="Arial" w:hAnsi="Arial"/>
          <w:sz w:val="17"/>
          <w:szCs w:val="17"/>
          <w:color w:val="58595B"/>
        </w:rPr>
        <w:t>Mr. Lane has served as a director of the Company since 2005, and as a director of predecessors</w:t>
      </w:r>
      <w:r>
        <w:rPr>
          <w:rFonts w:ascii="Arial" w:cs="Arial" w:eastAsia="Arial" w:hAnsi="Arial"/>
          <w:sz w:val="17"/>
          <w:szCs w:val="17"/>
          <w:b w:val="1"/>
          <w:bCs w:val="1"/>
          <w:color w:val="49678E"/>
        </w:rPr>
        <w:t xml:space="preserve"> </w:t>
      </w:r>
      <w:r>
        <w:rPr>
          <w:rFonts w:ascii="Arial" w:cs="Arial" w:eastAsia="Arial" w:hAnsi="Arial"/>
          <w:sz w:val="17"/>
          <w:szCs w:val="17"/>
          <w:color w:val="58595B"/>
        </w:rPr>
        <w:t>of FNF since 1989. Since February 1983, Mr. Lane has been a principal, Chairman and Chief Executive Officer of Lane/Kuhn Pacific, Inc., a corporation comprising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102870</wp:posOffset>
            </wp:positionV>
            <wp:extent cx="7144385" cy="297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2"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29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508000</wp:posOffset>
            </wp:positionV>
            <wp:extent cx="71443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808" w:right="879" w:bottom="1440" w:gutter="0" w:footer="0" w:header="0"/>
        </w:sectPr>
      </w:pPr>
    </w:p>
    <w:bookmarkStart w:id="33" w:name="page34"/>
    <w:bookmarkEnd w:id="33"/>
    <w:p>
      <w:pPr>
        <w:ind w:left="1180" w:right="1140"/>
        <w:spacing w:after="0" w:line="238" w:lineRule="auto"/>
        <w:rPr>
          <w:sz w:val="20"/>
          <w:szCs w:val="20"/>
          <w:color w:val="auto"/>
        </w:rPr>
      </w:pPr>
      <w:r>
        <w:rPr>
          <w:rFonts w:ascii="Arial" w:cs="Arial" w:eastAsia="Arial" w:hAnsi="Arial"/>
          <w:sz w:val="18"/>
          <w:szCs w:val="18"/>
          <w:color w:val="58595B"/>
        </w:rPr>
        <w:t>community development and home building partnerships, all of which are headquartered in Newport Beach, California. Mr. Lane served as a director of CKE Restaurants, Inc. from 1993 through 2010, and served as a director of FIS from February 2006 to July 2008, and as a director of Lender Processing Services, Inc. from July 2008 until March 2009. Mr. Lane is also a member of the Board of Trustees of the University of Southern California.</w:t>
      </w:r>
    </w:p>
    <w:p>
      <w:pPr>
        <w:spacing w:after="0" w:line="144" w:lineRule="exact"/>
        <w:rPr>
          <w:sz w:val="20"/>
          <w:szCs w:val="20"/>
          <w:color w:val="auto"/>
        </w:rPr>
      </w:pPr>
    </w:p>
    <w:p>
      <w:pPr>
        <w:ind w:left="1180" w:right="1020"/>
        <w:spacing w:after="0" w:line="241" w:lineRule="auto"/>
        <w:rPr>
          <w:sz w:val="20"/>
          <w:szCs w:val="20"/>
          <w:color w:val="auto"/>
        </w:rPr>
      </w:pPr>
      <w:r>
        <w:rPr>
          <w:rFonts w:ascii="Arial" w:cs="Arial" w:eastAsia="Arial" w:hAnsi="Arial"/>
          <w:sz w:val="18"/>
          <w:szCs w:val="18"/>
          <w:color w:val="58595B"/>
        </w:rPr>
        <w:t>Mr. Lane's qualifications to serve on the FNF board include his extensive experience in and knowledge of the real estate industry, particularly as Chairman and Chief Executive Officer of Lane/ Kuhn Pacific, Inc., his deep knowledge of FNF and our business landscape as a long-time director, and his experience as a member of the boards of directors of other companies.</w:t>
      </w:r>
    </w:p>
    <w:p>
      <w:pPr>
        <w:spacing w:after="0" w:line="149" w:lineRule="exact"/>
        <w:rPr>
          <w:sz w:val="20"/>
          <w:szCs w:val="20"/>
          <w:color w:val="auto"/>
        </w:rPr>
      </w:pPr>
    </w:p>
    <w:p>
      <w:pPr>
        <w:ind w:left="1180" w:right="1000"/>
        <w:spacing w:after="0" w:line="250" w:lineRule="auto"/>
        <w:rPr>
          <w:sz w:val="20"/>
          <w:szCs w:val="20"/>
          <w:color w:val="auto"/>
        </w:rPr>
      </w:pPr>
      <w:r>
        <w:rPr>
          <w:rFonts w:ascii="Arial" w:cs="Arial" w:eastAsia="Arial" w:hAnsi="Arial"/>
          <w:sz w:val="17"/>
          <w:szCs w:val="17"/>
          <w:b w:val="1"/>
          <w:bCs w:val="1"/>
          <w:color w:val="49678E"/>
        </w:rPr>
        <w:t xml:space="preserve">Cary H. Thompson. </w:t>
      </w:r>
      <w:r>
        <w:rPr>
          <w:rFonts w:ascii="Arial" w:cs="Arial" w:eastAsia="Arial" w:hAnsi="Arial"/>
          <w:sz w:val="17"/>
          <w:szCs w:val="17"/>
          <w:color w:val="58595B"/>
        </w:rPr>
        <w:t>Mr. Thompson has served as a director of the Company since 2005, and as a director of</w:t>
      </w:r>
      <w:r>
        <w:rPr>
          <w:rFonts w:ascii="Arial" w:cs="Arial" w:eastAsia="Arial" w:hAnsi="Arial"/>
          <w:sz w:val="17"/>
          <w:szCs w:val="17"/>
          <w:b w:val="1"/>
          <w:bCs w:val="1"/>
          <w:color w:val="49678E"/>
        </w:rPr>
        <w:t xml:space="preserve"> </w:t>
      </w:r>
      <w:r>
        <w:rPr>
          <w:rFonts w:ascii="Arial" w:cs="Arial" w:eastAsia="Arial" w:hAnsi="Arial"/>
          <w:sz w:val="17"/>
          <w:szCs w:val="17"/>
          <w:color w:val="58595B"/>
        </w:rPr>
        <w:t>predecessors of FNF since 1992. Mr. Thompson currently is Executive Vice Chairman of Global Corporate and Investment Banking, BofA Securities, Inc., having joined that firm in May 2008. From 1999 to May 2008, Mr. Thompson was Senior Managing Director and Head of West Coast Investment Banking at Bear Stearns &amp; Co., Inc. Mr. Thompson served as a director of FIS from February 2006 to July 2008 and as a director of Lender Processing Services, Inc. from July 2008 to March 2009.</w:t>
      </w:r>
    </w:p>
    <w:p>
      <w:pPr>
        <w:spacing w:after="0" w:line="139" w:lineRule="exact"/>
        <w:rPr>
          <w:sz w:val="20"/>
          <w:szCs w:val="20"/>
          <w:color w:val="auto"/>
        </w:rPr>
      </w:pPr>
    </w:p>
    <w:p>
      <w:pPr>
        <w:ind w:left="1180" w:right="900"/>
        <w:spacing w:after="0" w:line="247" w:lineRule="auto"/>
        <w:rPr>
          <w:sz w:val="20"/>
          <w:szCs w:val="20"/>
          <w:color w:val="auto"/>
        </w:rPr>
      </w:pPr>
      <w:r>
        <w:rPr>
          <w:rFonts w:ascii="Arial" w:cs="Arial" w:eastAsia="Arial" w:hAnsi="Arial"/>
          <w:sz w:val="18"/>
          <w:szCs w:val="18"/>
          <w:color w:val="58595B"/>
        </w:rPr>
        <w:t>Mr. Thompson's qualifications to serve on the FNF board include his experience in corporate finance and investment banking, his knowledge of financial markets, and his expertise in running a large and complex business organization and negotiating and consummating complicated financial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100965</wp:posOffset>
            </wp:positionV>
            <wp:extent cx="6353810" cy="375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3810" cy="375920"/>
                    </a:xfrm>
                    <a:prstGeom prst="rect">
                      <a:avLst/>
                    </a:prstGeom>
                    <a:noFill/>
                  </pic:spPr>
                </pic:pic>
              </a:graphicData>
            </a:graphic>
          </wp:anchor>
        </w:drawing>
      </w:r>
    </w:p>
    <w:p>
      <w:pPr>
        <w:spacing w:after="0" w:line="235" w:lineRule="exact"/>
        <w:rPr>
          <w:sz w:val="20"/>
          <w:szCs w:val="20"/>
          <w:color w:val="auto"/>
        </w:rPr>
      </w:pPr>
    </w:p>
    <w:p>
      <w:pPr>
        <w:ind w:left="1340"/>
        <w:spacing w:after="0"/>
        <w:rPr>
          <w:sz w:val="20"/>
          <w:szCs w:val="20"/>
          <w:color w:val="auto"/>
        </w:rPr>
      </w:pPr>
      <w:r>
        <w:rPr>
          <w:rFonts w:ascii="Arial" w:cs="Arial" w:eastAsia="Arial" w:hAnsi="Arial"/>
          <w:sz w:val="30"/>
          <w:szCs w:val="30"/>
          <w:b w:val="1"/>
          <w:bCs w:val="1"/>
          <w:color w:val="FFFFFF"/>
        </w:rPr>
        <w:t>PROPOSAL NO. 1: ELECTION OF DIRECTORS</w:t>
      </w:r>
    </w:p>
    <w:p>
      <w:pPr>
        <w:spacing w:after="0" w:line="313" w:lineRule="exact"/>
        <w:rPr>
          <w:sz w:val="20"/>
          <w:szCs w:val="20"/>
          <w:color w:val="auto"/>
        </w:rPr>
      </w:pPr>
    </w:p>
    <w:p>
      <w:pPr>
        <w:jc w:val="both"/>
        <w:ind w:left="1180" w:right="1180"/>
        <w:spacing w:after="0" w:line="236" w:lineRule="auto"/>
        <w:rPr>
          <w:sz w:val="20"/>
          <w:szCs w:val="20"/>
          <w:color w:val="auto"/>
        </w:rPr>
      </w:pPr>
      <w:r>
        <w:rPr>
          <w:rFonts w:ascii="Arial" w:cs="Arial" w:eastAsia="Arial" w:hAnsi="Arial"/>
          <w:sz w:val="18"/>
          <w:szCs w:val="18"/>
          <w:color w:val="58595B"/>
        </w:rPr>
        <w:t>Our articles of incorporation and bylaws provide that our board shall consist of at least one and no more than fourteen directors. Our directors are divided into three classes. The board determines the number of directors within these limits. The term of office of only one class of directors expires in each year. The Class III directors elected at this annual meeting will hold office for their respective terms or until their successors are elected and qualified. The current number of directors is eleven. The board believes that each of the nominees will stand for election and will serve if elected as a director.</w:t>
      </w:r>
    </w:p>
    <w:p>
      <w:pPr>
        <w:spacing w:after="0" w:line="147" w:lineRule="exact"/>
        <w:rPr>
          <w:sz w:val="20"/>
          <w:szCs w:val="20"/>
          <w:color w:val="auto"/>
        </w:rPr>
      </w:pPr>
    </w:p>
    <w:p>
      <w:pPr>
        <w:ind w:left="1180" w:right="900"/>
        <w:spacing w:after="0" w:line="275" w:lineRule="auto"/>
        <w:rPr>
          <w:sz w:val="20"/>
          <w:szCs w:val="20"/>
          <w:color w:val="auto"/>
        </w:rPr>
      </w:pPr>
      <w:r>
        <w:rPr>
          <w:rFonts w:ascii="Arial" w:cs="Arial" w:eastAsia="Arial" w:hAnsi="Arial"/>
          <w:sz w:val="18"/>
          <w:szCs w:val="18"/>
          <w:b w:val="1"/>
          <w:bCs w:val="1"/>
          <w:color w:val="58595B"/>
        </w:rPr>
        <w:t>At this annual meeting, the persons listed below have been nominated to stand for election to the board as Class III directors for a three-year term expiring in 2029.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8595B"/>
        </w:rPr>
        <w:t>William P. Foley, II</w:t>
      </w:r>
    </w:p>
    <w:p>
      <w:pPr>
        <w:jc w:val="center"/>
        <w:spacing w:after="0" w:line="238" w:lineRule="auto"/>
        <w:rPr>
          <w:sz w:val="20"/>
          <w:szCs w:val="20"/>
          <w:color w:val="auto"/>
        </w:rPr>
      </w:pPr>
      <w:r>
        <w:rPr>
          <w:rFonts w:ascii="Arial" w:cs="Arial" w:eastAsia="Arial" w:hAnsi="Arial"/>
          <w:sz w:val="18"/>
          <w:szCs w:val="18"/>
          <w:b w:val="1"/>
          <w:bCs w:val="1"/>
          <w:color w:val="58595B"/>
        </w:rPr>
        <w:t>Douglas K. Ammerman</w:t>
      </w:r>
    </w:p>
    <w:p>
      <w:pPr>
        <w:jc w:val="center"/>
        <w:spacing w:after="0" w:line="228" w:lineRule="auto"/>
        <w:rPr>
          <w:sz w:val="20"/>
          <w:szCs w:val="20"/>
          <w:color w:val="auto"/>
        </w:rPr>
      </w:pPr>
      <w:r>
        <w:rPr>
          <w:rFonts w:ascii="Arial" w:cs="Arial" w:eastAsia="Arial" w:hAnsi="Arial"/>
          <w:sz w:val="18"/>
          <w:szCs w:val="18"/>
          <w:b w:val="1"/>
          <w:bCs w:val="1"/>
          <w:color w:val="58595B"/>
        </w:rPr>
        <w:t>Thomas M. Hagerty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8595B"/>
        </w:rPr>
        <w:t>Peter O. Shea. Jr.</w:t>
      </w:r>
    </w:p>
    <w:p>
      <w:pPr>
        <w:spacing w:after="0" w:line="157" w:lineRule="exact"/>
        <w:rPr>
          <w:sz w:val="20"/>
          <w:szCs w:val="20"/>
          <w:color w:val="auto"/>
        </w:rPr>
      </w:pPr>
    </w:p>
    <w:p>
      <w:pPr>
        <w:ind w:left="1180" w:right="1020"/>
        <w:spacing w:after="0" w:line="275" w:lineRule="auto"/>
        <w:rPr>
          <w:sz w:val="20"/>
          <w:szCs w:val="20"/>
          <w:color w:val="auto"/>
        </w:rPr>
      </w:pPr>
      <w:r>
        <w:rPr>
          <w:rFonts w:ascii="Arial" w:cs="Arial" w:eastAsia="Arial" w:hAnsi="Arial"/>
          <w:sz w:val="18"/>
          <w:szCs w:val="18"/>
          <w:b w:val="1"/>
          <w:bCs w:val="1"/>
          <w:color w:val="58595B"/>
        </w:rPr>
        <w:t>THE BOARD RECOMMENDS THAT THE SHAREHOLDERS VOTE “FOR” THE ELECTION OF EACH OF THE LISTED NOMINEES.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30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34" w:name="page35"/>
    <w:bookmarkEnd w:id="34"/>
    <w:p>
      <w:pPr>
        <w:ind w:left="1340" w:right="740"/>
        <w:spacing w:after="0" w:line="301" w:lineRule="auto"/>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953770</wp:posOffset>
            </wp:positionH>
            <wp:positionV relativeFrom="page">
              <wp:posOffset>519430</wp:posOffset>
            </wp:positionV>
            <wp:extent cx="6353810" cy="594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3810" cy="594995"/>
                    </a:xfrm>
                    <a:prstGeom prst="rect">
                      <a:avLst/>
                    </a:prstGeom>
                    <a:noFill/>
                  </pic:spPr>
                </pic:pic>
              </a:graphicData>
            </a:graphic>
          </wp:anchor>
        </w:drawing>
        <w:t>PROPOSAL NO. 2: AMEND OUR ARTICLES OF INCORPORATION TO IMPLEMENT ANNUAL ELECTIONS OF DIRECTORS</w:t>
      </w:r>
    </w:p>
    <w:p>
      <w:pPr>
        <w:spacing w:after="0" w:line="167" w:lineRule="exact"/>
        <w:rPr>
          <w:sz w:val="20"/>
          <w:szCs w:val="20"/>
          <w:color w:val="auto"/>
        </w:rPr>
      </w:pPr>
    </w:p>
    <w:p>
      <w:pPr>
        <w:ind w:left="1180" w:right="920"/>
        <w:spacing w:after="0" w:line="241" w:lineRule="auto"/>
        <w:rPr>
          <w:sz w:val="20"/>
          <w:szCs w:val="20"/>
          <w:color w:val="auto"/>
        </w:rPr>
      </w:pPr>
      <w:r>
        <w:rPr>
          <w:rFonts w:ascii="Arial" w:cs="Arial" w:eastAsia="Arial" w:hAnsi="Arial"/>
          <w:sz w:val="18"/>
          <w:szCs w:val="18"/>
          <w:color w:val="58595B"/>
        </w:rPr>
        <w:t>Our Articles of Incorporation currently provides for a classified Board consisting of three classes of directors, with each class of directors serving staggered three-year terms. As a result, one class of directors stands for election at each of our annual meetings of shareholders, such that shareholders vote on and elect approximately one-third of the Board each year.</w:t>
      </w:r>
    </w:p>
    <w:p>
      <w:pPr>
        <w:spacing w:after="0" w:line="142" w:lineRule="exact"/>
        <w:rPr>
          <w:sz w:val="20"/>
          <w:szCs w:val="20"/>
          <w:color w:val="auto"/>
        </w:rPr>
      </w:pPr>
    </w:p>
    <w:p>
      <w:pPr>
        <w:ind w:left="1180" w:right="1320"/>
        <w:spacing w:after="0" w:line="247" w:lineRule="auto"/>
        <w:rPr>
          <w:sz w:val="20"/>
          <w:szCs w:val="20"/>
          <w:color w:val="auto"/>
        </w:rPr>
      </w:pPr>
      <w:r>
        <w:rPr>
          <w:rFonts w:ascii="Arial" w:cs="Arial" w:eastAsia="Arial" w:hAnsi="Arial"/>
          <w:sz w:val="18"/>
          <w:szCs w:val="18"/>
          <w:color w:val="58595B"/>
        </w:rPr>
        <w:t>After considering the Company's corporate governance practices and the advantages and disadvantages of declassification, the Board has determined it is in the best interests of FNF and its shareholders to amend our Articles of Incorporation to declassify the Board.</w:t>
      </w:r>
    </w:p>
    <w:p>
      <w:pPr>
        <w:spacing w:after="0" w:line="137" w:lineRule="exact"/>
        <w:rPr>
          <w:sz w:val="20"/>
          <w:szCs w:val="20"/>
          <w:color w:val="auto"/>
        </w:rPr>
      </w:pPr>
    </w:p>
    <w:p>
      <w:pPr>
        <w:ind w:left="1180" w:right="1020"/>
        <w:spacing w:after="0" w:line="247" w:lineRule="auto"/>
        <w:rPr>
          <w:sz w:val="20"/>
          <w:szCs w:val="20"/>
          <w:color w:val="auto"/>
        </w:rPr>
      </w:pPr>
      <w:r>
        <w:rPr>
          <w:rFonts w:ascii="Arial" w:cs="Arial" w:eastAsia="Arial" w:hAnsi="Arial"/>
          <w:sz w:val="18"/>
          <w:szCs w:val="18"/>
          <w:color w:val="58595B"/>
        </w:rPr>
        <w:t>Therefore, the Board has approved and recommends your approval of our Amended and Restated Articles of Incorporation that provides for the elimination of the classified structure of our board over a three-year period. We refer to this proposal as the Articles Proposal.</w:t>
      </w:r>
    </w:p>
    <w:p>
      <w:pPr>
        <w:spacing w:after="0" w:line="137" w:lineRule="exact"/>
        <w:rPr>
          <w:sz w:val="20"/>
          <w:szCs w:val="20"/>
          <w:color w:val="auto"/>
        </w:rPr>
      </w:pPr>
    </w:p>
    <w:p>
      <w:pPr>
        <w:ind w:left="1180" w:right="900"/>
        <w:spacing w:after="0" w:line="238" w:lineRule="auto"/>
        <w:rPr>
          <w:sz w:val="20"/>
          <w:szCs w:val="20"/>
          <w:color w:val="auto"/>
        </w:rPr>
      </w:pPr>
      <w:r>
        <w:rPr>
          <w:rFonts w:ascii="Arial" w:cs="Arial" w:eastAsia="Arial" w:hAnsi="Arial"/>
          <w:sz w:val="18"/>
          <w:szCs w:val="18"/>
          <w:color w:val="58595B"/>
        </w:rPr>
        <w:t>The Articles Proposal eliminates the classification of the board over a three-year period, provides for the annual election of all directors beginning at the 2029 Annual Meeting, and makes certain conforming and technical changes to our Amended and Restated Articles of Incorporation. Board declassification would be phased-in over a three-year period, beginning at the 2027 Annual Meeting, at and after which directors would be elected to one-year terms as the incumbents' three-year terms expire.</w:t>
      </w:r>
    </w:p>
    <w:p>
      <w:pPr>
        <w:spacing w:after="0" w:line="144" w:lineRule="exact"/>
        <w:rPr>
          <w:sz w:val="20"/>
          <w:szCs w:val="20"/>
          <w:color w:val="auto"/>
        </w:rPr>
      </w:pPr>
    </w:p>
    <w:p>
      <w:pPr>
        <w:ind w:left="1180" w:right="1000"/>
        <w:spacing w:after="0" w:line="236" w:lineRule="auto"/>
        <w:rPr>
          <w:sz w:val="20"/>
          <w:szCs w:val="20"/>
          <w:color w:val="auto"/>
        </w:rPr>
      </w:pPr>
      <w:r>
        <w:rPr>
          <w:rFonts w:ascii="Arial" w:cs="Arial" w:eastAsia="Arial" w:hAnsi="Arial"/>
          <w:sz w:val="18"/>
          <w:szCs w:val="18"/>
          <w:color w:val="58595B"/>
        </w:rPr>
        <w:t>The Articles Proposal would not change the unexpired three-year terms of directors elected prior to the effectiveness of the amendments (including directors elected at this Annual Meeting). Accordingly, the three-year term for the Class I directors elected at the 2024 Annual Meeting would expire as originally scheduled at the 2027 annual meeting, the three-year term for the Class II directors elected at the 2025 Annual Meeting would expire as originally scheduled at the 2028 Annual Meeting, and the three-year term for the Class III directors elected at the 2026 Annual Meeting would expire at the 2029 Annual Meeting.</w:t>
      </w:r>
    </w:p>
    <w:p>
      <w:pPr>
        <w:spacing w:after="0" w:line="147" w:lineRule="exact"/>
        <w:rPr>
          <w:sz w:val="20"/>
          <w:szCs w:val="20"/>
          <w:color w:val="auto"/>
        </w:rPr>
      </w:pPr>
    </w:p>
    <w:p>
      <w:pPr>
        <w:ind w:left="1180" w:right="980"/>
        <w:spacing w:after="0" w:line="238" w:lineRule="auto"/>
        <w:rPr>
          <w:sz w:val="20"/>
          <w:szCs w:val="20"/>
          <w:color w:val="auto"/>
        </w:rPr>
      </w:pPr>
      <w:r>
        <w:rPr>
          <w:rFonts w:ascii="Arial" w:cs="Arial" w:eastAsia="Arial" w:hAnsi="Arial"/>
          <w:sz w:val="18"/>
          <w:szCs w:val="18"/>
          <w:color w:val="58595B"/>
        </w:rPr>
        <w:t>The implementation of the declassification of the board pursuant to the Articles Proposal would commence at the 2027 Annual Meeting. Director nominees standing for election at the 2027 Annual Meeting and each annual meeting of shareholders thereafter would be elected to serve a one-year term. Beginning with the 2029 Annual Meeting, all directors would stand for annual elections. The table below summarizes the proposed implementation of the declassification under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105410</wp:posOffset>
            </wp:positionV>
            <wp:extent cx="15875" cy="313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3130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105410</wp:posOffset>
            </wp:positionV>
            <wp:extent cx="15875" cy="313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 cy="31305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105410</wp:posOffset>
            </wp:positionV>
            <wp:extent cx="15875" cy="313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 cy="3130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Borders>
              <w:right w:val="single" w:sz="8" w:color="58595B"/>
            </w:tcBorders>
          </w:tcPr>
          <w:p>
            <w:pPr>
              <w:spacing w:after="0"/>
              <w:rPr>
                <w:sz w:val="19"/>
                <w:szCs w:val="19"/>
                <w:color w:val="auto"/>
              </w:rPr>
            </w:pPr>
          </w:p>
        </w:tc>
        <w:tc>
          <w:tcPr>
            <w:tcW w:w="2840" w:type="dxa"/>
            <w:vAlign w:val="bottom"/>
            <w:tcBorders>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6"/>
                <w:szCs w:val="16"/>
                <w:b w:val="1"/>
                <w:bCs w:val="1"/>
                <w:color w:val="FFFFFF"/>
              </w:rPr>
              <w:t>Annual Meeting Year / Class</w:t>
            </w:r>
          </w:p>
        </w:tc>
        <w:tc>
          <w:tcPr>
            <w:tcW w:w="18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6"/>
                <w:szCs w:val="16"/>
                <w:b w:val="1"/>
                <w:bCs w:val="1"/>
                <w:color w:val="FFFFFF"/>
              </w:rPr>
              <w:t>Length of Term of</w:t>
            </w:r>
          </w:p>
        </w:tc>
        <w:tc>
          <w:tcPr>
            <w:tcW w:w="15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6"/>
                <w:szCs w:val="16"/>
                <w:b w:val="1"/>
                <w:bCs w:val="1"/>
                <w:color w:val="FFFFFF"/>
              </w:rPr>
              <w:t>Year Term</w:t>
            </w:r>
          </w:p>
        </w:tc>
        <w:tc>
          <w:tcPr>
            <w:tcW w:w="266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6"/>
                <w:szCs w:val="16"/>
                <w:b w:val="1"/>
                <w:bCs w:val="1"/>
                <w:color w:val="FFFFFF"/>
              </w:rPr>
              <w:t>Portion of the Board Elected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200" w:type="dxa"/>
            <w:vAlign w:val="bottom"/>
            <w:tcBorders>
              <w:right w:val="single" w:sz="8" w:color="58595B"/>
            </w:tcBorders>
          </w:tcPr>
          <w:p>
            <w:pPr>
              <w:spacing w:after="0"/>
              <w:rPr>
                <w:sz w:val="10"/>
                <w:szCs w:val="10"/>
                <w:color w:val="auto"/>
              </w:rPr>
            </w:pPr>
          </w:p>
        </w:tc>
        <w:tc>
          <w:tcPr>
            <w:tcW w:w="2840" w:type="dxa"/>
            <w:vAlign w:val="bottom"/>
            <w:tcBorders>
              <w:right w:val="single" w:sz="8" w:color="274F78"/>
            </w:tcBorders>
            <w:vMerge w:val="continue"/>
            <w:shd w:val="clear" w:color="auto" w:fill="274F78"/>
          </w:tcPr>
          <w:p>
            <w:pPr>
              <w:spacing w:after="0"/>
              <w:rPr>
                <w:sz w:val="10"/>
                <w:szCs w:val="10"/>
                <w:color w:val="auto"/>
              </w:rPr>
            </w:pPr>
          </w:p>
        </w:tc>
        <w:tc>
          <w:tcPr>
            <w:tcW w:w="1860" w:type="dxa"/>
            <w:vAlign w:val="bottom"/>
            <w:tcBorders>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6"/>
                <w:szCs w:val="16"/>
                <w:b w:val="1"/>
                <w:bCs w:val="1"/>
                <w:color w:val="FFFFFF"/>
              </w:rPr>
              <w:t>Directors Elected</w:t>
            </w:r>
          </w:p>
        </w:tc>
        <w:tc>
          <w:tcPr>
            <w:tcW w:w="1520" w:type="dxa"/>
            <w:vAlign w:val="bottom"/>
            <w:tcBorders>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6"/>
                <w:szCs w:val="16"/>
                <w:b w:val="1"/>
                <w:bCs w:val="1"/>
                <w:color w:val="FFFFFF"/>
              </w:rPr>
              <w:t>Would Expire</w:t>
            </w:r>
          </w:p>
        </w:tc>
        <w:tc>
          <w:tcPr>
            <w:tcW w:w="2660" w:type="dxa"/>
            <w:vAlign w:val="bottom"/>
            <w:tcBorders>
              <w:right w:val="single" w:sz="8" w:color="58595B"/>
            </w:tcBorders>
            <w:vMerge w:val="restart"/>
            <w:shd w:val="clear" w:color="auto" w:fill="274F78"/>
          </w:tcPr>
          <w:p>
            <w:pPr>
              <w:jc w:val="center"/>
              <w:spacing w:after="0"/>
              <w:rPr>
                <w:sz w:val="20"/>
                <w:szCs w:val="20"/>
                <w:color w:val="auto"/>
              </w:rPr>
            </w:pPr>
            <w:r>
              <w:rPr>
                <w:rFonts w:ascii="Arial" w:cs="Arial" w:eastAsia="Arial" w:hAnsi="Arial"/>
                <w:sz w:val="16"/>
                <w:szCs w:val="16"/>
                <w:b w:val="1"/>
                <w:bCs w:val="1"/>
                <w:color w:val="FFFFFF"/>
              </w:rPr>
              <w:t>at the Annual Meeting</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0" w:type="dxa"/>
            <w:vAlign w:val="bottom"/>
            <w:tcBorders>
              <w:right w:val="single" w:sz="8" w:color="58595B"/>
            </w:tcBorders>
          </w:tcPr>
          <w:p>
            <w:pPr>
              <w:spacing w:after="0"/>
              <w:rPr>
                <w:sz w:val="10"/>
                <w:szCs w:val="10"/>
                <w:color w:val="auto"/>
              </w:rPr>
            </w:pPr>
          </w:p>
        </w:tc>
        <w:tc>
          <w:tcPr>
            <w:tcW w:w="2840" w:type="dxa"/>
            <w:vAlign w:val="bottom"/>
            <w:tcBorders>
              <w:bottom w:val="single" w:sz="8" w:color="274F78"/>
              <w:right w:val="single" w:sz="8" w:color="274F78"/>
            </w:tcBorders>
            <w:shd w:val="clear" w:color="auto" w:fill="274F78"/>
          </w:tcPr>
          <w:p>
            <w:pPr>
              <w:spacing w:after="0"/>
              <w:rPr>
                <w:sz w:val="10"/>
                <w:szCs w:val="10"/>
                <w:color w:val="auto"/>
              </w:rPr>
            </w:pPr>
          </w:p>
        </w:tc>
        <w:tc>
          <w:tcPr>
            <w:tcW w:w="1860" w:type="dxa"/>
            <w:vAlign w:val="bottom"/>
            <w:tcBorders>
              <w:bottom w:val="single" w:sz="8" w:color="274F78"/>
              <w:right w:val="single" w:sz="8" w:color="274F78"/>
            </w:tcBorders>
            <w:vMerge w:val="continue"/>
            <w:shd w:val="clear" w:color="auto" w:fill="274F78"/>
          </w:tcPr>
          <w:p>
            <w:pPr>
              <w:spacing w:after="0"/>
              <w:rPr>
                <w:sz w:val="10"/>
                <w:szCs w:val="10"/>
                <w:color w:val="auto"/>
              </w:rPr>
            </w:pPr>
          </w:p>
        </w:tc>
        <w:tc>
          <w:tcPr>
            <w:tcW w:w="1520" w:type="dxa"/>
            <w:vAlign w:val="bottom"/>
            <w:tcBorders>
              <w:bottom w:val="single" w:sz="8" w:color="274F78"/>
              <w:right w:val="single" w:sz="8" w:color="274F78"/>
            </w:tcBorders>
            <w:vMerge w:val="continue"/>
            <w:shd w:val="clear" w:color="auto" w:fill="274F78"/>
          </w:tcPr>
          <w:p>
            <w:pPr>
              <w:spacing w:after="0"/>
              <w:rPr>
                <w:sz w:val="10"/>
                <w:szCs w:val="10"/>
                <w:color w:val="auto"/>
              </w:rPr>
            </w:pPr>
          </w:p>
        </w:tc>
        <w:tc>
          <w:tcPr>
            <w:tcW w:w="2660" w:type="dxa"/>
            <w:vAlign w:val="bottom"/>
            <w:tcBorders>
              <w:bottom w:val="single" w:sz="8" w:color="274F78"/>
              <w:right w:val="single" w:sz="8" w:color="58595B"/>
            </w:tcBorders>
            <w:vMerge w:val="continue"/>
            <w:shd w:val="clear" w:color="auto" w:fill="274F78"/>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200" w:type="dxa"/>
            <w:vAlign w:val="bottom"/>
            <w:tcBorders>
              <w:right w:val="single" w:sz="8" w:color="58595B"/>
            </w:tcBorders>
          </w:tcPr>
          <w:p>
            <w:pPr>
              <w:spacing w:after="0"/>
              <w:rPr>
                <w:sz w:val="22"/>
                <w:szCs w:val="22"/>
                <w:color w:val="auto"/>
              </w:rPr>
            </w:pPr>
          </w:p>
        </w:tc>
        <w:tc>
          <w:tcPr>
            <w:tcW w:w="28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2026</w:t>
            </w:r>
          </w:p>
        </w:tc>
        <w:tc>
          <w:tcPr>
            <w:tcW w:w="18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6"/>
              </w:rPr>
              <w:t>3 Years</w:t>
            </w:r>
          </w:p>
        </w:tc>
        <w:tc>
          <w:tcPr>
            <w:tcW w:w="1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2029</w:t>
            </w:r>
          </w:p>
        </w:tc>
        <w:tc>
          <w:tcPr>
            <w:tcW w:w="2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4 of 11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1200" w:type="dxa"/>
            <w:vAlign w:val="bottom"/>
            <w:tcBorders>
              <w:right w:val="single" w:sz="8" w:color="58595B"/>
            </w:tcBorders>
          </w:tcPr>
          <w:p>
            <w:pPr>
              <w:spacing w:after="0"/>
              <w:rPr>
                <w:sz w:val="5"/>
                <w:szCs w:val="5"/>
                <w:color w:val="auto"/>
              </w:rPr>
            </w:pPr>
          </w:p>
        </w:tc>
        <w:tc>
          <w:tcPr>
            <w:tcW w:w="2840" w:type="dxa"/>
            <w:vAlign w:val="bottom"/>
            <w:tcBorders>
              <w:bottom w:val="single" w:sz="8" w:color="58595B"/>
              <w:right w:val="single" w:sz="8" w:color="58595B"/>
            </w:tcBorders>
          </w:tcPr>
          <w:p>
            <w:pPr>
              <w:spacing w:after="0"/>
              <w:rPr>
                <w:sz w:val="5"/>
                <w:szCs w:val="5"/>
                <w:color w:val="auto"/>
              </w:rPr>
            </w:pPr>
          </w:p>
        </w:tc>
        <w:tc>
          <w:tcPr>
            <w:tcW w:w="1860" w:type="dxa"/>
            <w:vAlign w:val="bottom"/>
            <w:tcBorders>
              <w:bottom w:val="single" w:sz="8" w:color="58595B"/>
              <w:right w:val="single" w:sz="8" w:color="58595B"/>
            </w:tcBorders>
          </w:tcPr>
          <w:p>
            <w:pPr>
              <w:spacing w:after="0"/>
              <w:rPr>
                <w:sz w:val="5"/>
                <w:szCs w:val="5"/>
                <w:color w:val="auto"/>
              </w:rPr>
            </w:pPr>
          </w:p>
        </w:tc>
        <w:tc>
          <w:tcPr>
            <w:tcW w:w="1520" w:type="dxa"/>
            <w:vAlign w:val="bottom"/>
            <w:tcBorders>
              <w:bottom w:val="single" w:sz="8" w:color="58595B"/>
              <w:right w:val="single" w:sz="8" w:color="58595B"/>
            </w:tcBorders>
          </w:tcPr>
          <w:p>
            <w:pPr>
              <w:spacing w:after="0"/>
              <w:rPr>
                <w:sz w:val="5"/>
                <w:szCs w:val="5"/>
                <w:color w:val="auto"/>
              </w:rPr>
            </w:pPr>
          </w:p>
        </w:tc>
        <w:tc>
          <w:tcPr>
            <w:tcW w:w="2660" w:type="dxa"/>
            <w:vAlign w:val="bottom"/>
            <w:tcBorders>
              <w:bottom w:val="single" w:sz="8" w:color="58595B"/>
              <w:right w:val="single" w:sz="8" w:color="58595B"/>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00" w:type="dxa"/>
            <w:vAlign w:val="bottom"/>
            <w:tcBorders>
              <w:right w:val="single" w:sz="8" w:color="58595B"/>
            </w:tcBorders>
          </w:tcPr>
          <w:p>
            <w:pPr>
              <w:spacing w:after="0"/>
              <w:rPr>
                <w:sz w:val="21"/>
                <w:szCs w:val="21"/>
                <w:color w:val="auto"/>
              </w:rPr>
            </w:pPr>
          </w:p>
        </w:tc>
        <w:tc>
          <w:tcPr>
            <w:tcW w:w="28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2027</w:t>
            </w:r>
          </w:p>
        </w:tc>
        <w:tc>
          <w:tcPr>
            <w:tcW w:w="18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4"/>
              </w:rPr>
              <w:t>1 Year</w:t>
            </w:r>
          </w:p>
        </w:tc>
        <w:tc>
          <w:tcPr>
            <w:tcW w:w="1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2028</w:t>
            </w:r>
          </w:p>
        </w:tc>
        <w:tc>
          <w:tcPr>
            <w:tcW w:w="2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4 of 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200" w:type="dxa"/>
            <w:vAlign w:val="bottom"/>
            <w:tcBorders>
              <w:right w:val="single" w:sz="8" w:color="58595B"/>
            </w:tcBorders>
          </w:tcPr>
          <w:p>
            <w:pPr>
              <w:spacing w:after="0"/>
              <w:rPr>
                <w:sz w:val="5"/>
                <w:szCs w:val="5"/>
                <w:color w:val="auto"/>
              </w:rPr>
            </w:pPr>
          </w:p>
        </w:tc>
        <w:tc>
          <w:tcPr>
            <w:tcW w:w="2840" w:type="dxa"/>
            <w:vAlign w:val="bottom"/>
            <w:tcBorders>
              <w:bottom w:val="single" w:sz="8" w:color="58595B"/>
              <w:right w:val="single" w:sz="8" w:color="58595B"/>
            </w:tcBorders>
          </w:tcPr>
          <w:p>
            <w:pPr>
              <w:spacing w:after="0"/>
              <w:rPr>
                <w:sz w:val="5"/>
                <w:szCs w:val="5"/>
                <w:color w:val="auto"/>
              </w:rPr>
            </w:pPr>
          </w:p>
        </w:tc>
        <w:tc>
          <w:tcPr>
            <w:tcW w:w="1860" w:type="dxa"/>
            <w:vAlign w:val="bottom"/>
            <w:tcBorders>
              <w:bottom w:val="single" w:sz="8" w:color="58595B"/>
              <w:right w:val="single" w:sz="8" w:color="58595B"/>
            </w:tcBorders>
          </w:tcPr>
          <w:p>
            <w:pPr>
              <w:spacing w:after="0"/>
              <w:rPr>
                <w:sz w:val="5"/>
                <w:szCs w:val="5"/>
                <w:color w:val="auto"/>
              </w:rPr>
            </w:pPr>
          </w:p>
        </w:tc>
        <w:tc>
          <w:tcPr>
            <w:tcW w:w="1520" w:type="dxa"/>
            <w:vAlign w:val="bottom"/>
            <w:tcBorders>
              <w:bottom w:val="single" w:sz="8" w:color="58595B"/>
              <w:right w:val="single" w:sz="8" w:color="58595B"/>
            </w:tcBorders>
          </w:tcPr>
          <w:p>
            <w:pPr>
              <w:spacing w:after="0"/>
              <w:rPr>
                <w:sz w:val="5"/>
                <w:szCs w:val="5"/>
                <w:color w:val="auto"/>
              </w:rPr>
            </w:pPr>
          </w:p>
        </w:tc>
        <w:tc>
          <w:tcPr>
            <w:tcW w:w="2660" w:type="dxa"/>
            <w:vAlign w:val="bottom"/>
            <w:tcBorders>
              <w:bottom w:val="single" w:sz="8" w:color="58595B"/>
              <w:right w:val="single" w:sz="8" w:color="58595B"/>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00" w:type="dxa"/>
            <w:vAlign w:val="bottom"/>
            <w:tcBorders>
              <w:right w:val="single" w:sz="8" w:color="58595B"/>
            </w:tcBorders>
          </w:tcPr>
          <w:p>
            <w:pPr>
              <w:spacing w:after="0"/>
              <w:rPr>
                <w:sz w:val="21"/>
                <w:szCs w:val="21"/>
                <w:color w:val="auto"/>
              </w:rPr>
            </w:pPr>
          </w:p>
        </w:tc>
        <w:tc>
          <w:tcPr>
            <w:tcW w:w="28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2028</w:t>
            </w:r>
          </w:p>
        </w:tc>
        <w:tc>
          <w:tcPr>
            <w:tcW w:w="18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4"/>
              </w:rPr>
              <w:t>1 Year</w:t>
            </w:r>
          </w:p>
        </w:tc>
        <w:tc>
          <w:tcPr>
            <w:tcW w:w="1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2029</w:t>
            </w:r>
          </w:p>
        </w:tc>
        <w:tc>
          <w:tcPr>
            <w:tcW w:w="2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7 of 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200" w:type="dxa"/>
            <w:vAlign w:val="bottom"/>
            <w:tcBorders>
              <w:right w:val="single" w:sz="8" w:color="58595B"/>
            </w:tcBorders>
          </w:tcPr>
          <w:p>
            <w:pPr>
              <w:spacing w:after="0"/>
              <w:rPr>
                <w:sz w:val="5"/>
                <w:szCs w:val="5"/>
                <w:color w:val="auto"/>
              </w:rPr>
            </w:pPr>
          </w:p>
        </w:tc>
        <w:tc>
          <w:tcPr>
            <w:tcW w:w="2840" w:type="dxa"/>
            <w:vAlign w:val="bottom"/>
            <w:tcBorders>
              <w:bottom w:val="single" w:sz="8" w:color="58595B"/>
              <w:right w:val="single" w:sz="8" w:color="58595B"/>
            </w:tcBorders>
          </w:tcPr>
          <w:p>
            <w:pPr>
              <w:spacing w:after="0"/>
              <w:rPr>
                <w:sz w:val="5"/>
                <w:szCs w:val="5"/>
                <w:color w:val="auto"/>
              </w:rPr>
            </w:pPr>
          </w:p>
        </w:tc>
        <w:tc>
          <w:tcPr>
            <w:tcW w:w="1860" w:type="dxa"/>
            <w:vAlign w:val="bottom"/>
            <w:tcBorders>
              <w:bottom w:val="single" w:sz="8" w:color="58595B"/>
              <w:right w:val="single" w:sz="8" w:color="58595B"/>
            </w:tcBorders>
          </w:tcPr>
          <w:p>
            <w:pPr>
              <w:spacing w:after="0"/>
              <w:rPr>
                <w:sz w:val="5"/>
                <w:szCs w:val="5"/>
                <w:color w:val="auto"/>
              </w:rPr>
            </w:pPr>
          </w:p>
        </w:tc>
        <w:tc>
          <w:tcPr>
            <w:tcW w:w="1520" w:type="dxa"/>
            <w:vAlign w:val="bottom"/>
            <w:tcBorders>
              <w:bottom w:val="single" w:sz="8" w:color="58595B"/>
              <w:right w:val="single" w:sz="8" w:color="58595B"/>
            </w:tcBorders>
          </w:tcPr>
          <w:p>
            <w:pPr>
              <w:spacing w:after="0"/>
              <w:rPr>
                <w:sz w:val="5"/>
                <w:szCs w:val="5"/>
                <w:color w:val="auto"/>
              </w:rPr>
            </w:pPr>
          </w:p>
        </w:tc>
        <w:tc>
          <w:tcPr>
            <w:tcW w:w="2660" w:type="dxa"/>
            <w:vAlign w:val="bottom"/>
            <w:tcBorders>
              <w:bottom w:val="single" w:sz="8" w:color="58595B"/>
              <w:right w:val="single" w:sz="8" w:color="58595B"/>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00" w:type="dxa"/>
            <w:vAlign w:val="bottom"/>
            <w:tcBorders>
              <w:right w:val="single" w:sz="8" w:color="58595B"/>
            </w:tcBorders>
          </w:tcPr>
          <w:p>
            <w:pPr>
              <w:spacing w:after="0"/>
              <w:rPr>
                <w:sz w:val="21"/>
                <w:szCs w:val="21"/>
                <w:color w:val="auto"/>
              </w:rPr>
            </w:pPr>
          </w:p>
        </w:tc>
        <w:tc>
          <w:tcPr>
            <w:tcW w:w="28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2029</w:t>
            </w:r>
          </w:p>
        </w:tc>
        <w:tc>
          <w:tcPr>
            <w:tcW w:w="18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4"/>
              </w:rPr>
              <w:t>1 Year</w:t>
            </w:r>
          </w:p>
        </w:tc>
        <w:tc>
          <w:tcPr>
            <w:tcW w:w="1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2030</w:t>
            </w:r>
          </w:p>
        </w:tc>
        <w:tc>
          <w:tcPr>
            <w:tcW w:w="2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2"/>
              </w:rPr>
              <w:t>11 of 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200" w:type="dxa"/>
            <w:vAlign w:val="bottom"/>
            <w:tcBorders>
              <w:right w:val="single" w:sz="8" w:color="58595B"/>
            </w:tcBorders>
          </w:tcPr>
          <w:p>
            <w:pPr>
              <w:spacing w:after="0"/>
              <w:rPr>
                <w:sz w:val="5"/>
                <w:szCs w:val="5"/>
                <w:color w:val="auto"/>
              </w:rPr>
            </w:pPr>
          </w:p>
        </w:tc>
        <w:tc>
          <w:tcPr>
            <w:tcW w:w="2840" w:type="dxa"/>
            <w:vAlign w:val="bottom"/>
            <w:tcBorders>
              <w:bottom w:val="single" w:sz="8" w:color="58595B"/>
              <w:right w:val="single" w:sz="8" w:color="58595B"/>
            </w:tcBorders>
          </w:tcPr>
          <w:p>
            <w:pPr>
              <w:spacing w:after="0"/>
              <w:rPr>
                <w:sz w:val="5"/>
                <w:szCs w:val="5"/>
                <w:color w:val="auto"/>
              </w:rPr>
            </w:pPr>
          </w:p>
        </w:tc>
        <w:tc>
          <w:tcPr>
            <w:tcW w:w="1860" w:type="dxa"/>
            <w:vAlign w:val="bottom"/>
            <w:tcBorders>
              <w:bottom w:val="single" w:sz="8" w:color="58595B"/>
              <w:right w:val="single" w:sz="8" w:color="58595B"/>
            </w:tcBorders>
          </w:tcPr>
          <w:p>
            <w:pPr>
              <w:spacing w:after="0"/>
              <w:rPr>
                <w:sz w:val="5"/>
                <w:szCs w:val="5"/>
                <w:color w:val="auto"/>
              </w:rPr>
            </w:pPr>
          </w:p>
        </w:tc>
        <w:tc>
          <w:tcPr>
            <w:tcW w:w="1520" w:type="dxa"/>
            <w:vAlign w:val="bottom"/>
            <w:tcBorders>
              <w:bottom w:val="single" w:sz="8" w:color="58595B"/>
              <w:right w:val="single" w:sz="8" w:color="58595B"/>
            </w:tcBorders>
          </w:tcPr>
          <w:p>
            <w:pPr>
              <w:spacing w:after="0"/>
              <w:rPr>
                <w:sz w:val="5"/>
                <w:szCs w:val="5"/>
                <w:color w:val="auto"/>
              </w:rPr>
            </w:pPr>
          </w:p>
        </w:tc>
        <w:tc>
          <w:tcPr>
            <w:tcW w:w="2660" w:type="dxa"/>
            <w:vAlign w:val="bottom"/>
            <w:tcBorders>
              <w:bottom w:val="single" w:sz="8" w:color="58595B"/>
              <w:right w:val="single" w:sz="8" w:color="58595B"/>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1200" w:type="dxa"/>
            <w:vAlign w:val="bottom"/>
            <w:tcBorders>
              <w:right w:val="single" w:sz="8" w:color="5B769B"/>
            </w:tcBorders>
            <w:shd w:val="clear" w:color="auto" w:fill="5B769B"/>
          </w:tcPr>
          <w:p>
            <w:pPr>
              <w:jc w:val="right"/>
              <w:ind w:right="550"/>
              <w:spacing w:after="0"/>
              <w:rPr>
                <w:sz w:val="20"/>
                <w:szCs w:val="20"/>
                <w:color w:val="auto"/>
              </w:rPr>
            </w:pPr>
            <w:r>
              <w:rPr>
                <w:rFonts w:ascii="Arial" w:cs="Arial" w:eastAsia="Arial" w:hAnsi="Arial"/>
                <w:sz w:val="18"/>
                <w:szCs w:val="18"/>
                <w:color w:val="FFFFFF"/>
              </w:rPr>
              <w:t>31</w:t>
            </w:r>
          </w:p>
        </w:tc>
        <w:tc>
          <w:tcPr>
            <w:tcW w:w="2840" w:type="dxa"/>
            <w:vAlign w:val="bottom"/>
            <w:tcBorders>
              <w:right w:val="single" w:sz="8" w:color="5B769B"/>
            </w:tcBorders>
            <w:shd w:val="clear" w:color="auto" w:fill="5B769B"/>
          </w:tcPr>
          <w:p>
            <w:pPr>
              <w:spacing w:after="0"/>
              <w:rPr>
                <w:sz w:val="24"/>
                <w:szCs w:val="24"/>
                <w:color w:val="auto"/>
              </w:rPr>
            </w:pPr>
          </w:p>
        </w:tc>
        <w:tc>
          <w:tcPr>
            <w:tcW w:w="1860" w:type="dxa"/>
            <w:vAlign w:val="bottom"/>
            <w:tcBorders>
              <w:right w:val="single" w:sz="8" w:color="5B769B"/>
            </w:tcBorders>
            <w:shd w:val="clear" w:color="auto" w:fill="5B769B"/>
          </w:tcPr>
          <w:p>
            <w:pPr>
              <w:spacing w:after="0"/>
              <w:rPr>
                <w:sz w:val="24"/>
                <w:szCs w:val="24"/>
                <w:color w:val="auto"/>
              </w:rPr>
            </w:pPr>
          </w:p>
        </w:tc>
        <w:tc>
          <w:tcPr>
            <w:tcW w:w="1520" w:type="dxa"/>
            <w:vAlign w:val="bottom"/>
            <w:tcBorders>
              <w:right w:val="single" w:sz="8" w:color="5B769B"/>
            </w:tcBorders>
            <w:shd w:val="clear" w:color="auto" w:fill="5B769B"/>
          </w:tcPr>
          <w:p>
            <w:pPr>
              <w:spacing w:after="0"/>
              <w:rPr>
                <w:sz w:val="24"/>
                <w:szCs w:val="24"/>
                <w:color w:val="auto"/>
              </w:rPr>
            </w:pPr>
          </w:p>
        </w:tc>
        <w:tc>
          <w:tcPr>
            <w:tcW w:w="3820" w:type="dxa"/>
            <w:vAlign w:val="bottom"/>
            <w:gridSpan w:val="2"/>
            <w:shd w:val="clear" w:color="auto" w:fill="5B769B"/>
          </w:tcPr>
          <w:p>
            <w:pPr>
              <w:ind w:left="820"/>
              <w:spacing w:after="0"/>
              <w:rPr>
                <w:sz w:val="20"/>
                <w:szCs w:val="20"/>
                <w:color w:val="auto"/>
              </w:rPr>
            </w:pPr>
            <w:r>
              <w:rPr>
                <w:rFonts w:ascii="Arial" w:cs="Arial" w:eastAsia="Arial" w:hAnsi="Arial"/>
                <w:sz w:val="18"/>
                <w:szCs w:val="18"/>
                <w:color w:val="FFFFFF"/>
              </w:rPr>
              <w:t>Fidelity National Financial, Inc.</w:t>
            </w:r>
          </w:p>
        </w:tc>
        <w:tc>
          <w:tcPr>
            <w:tcW w:w="0" w:type="dxa"/>
            <w:vAlign w:val="bottom"/>
          </w:tcPr>
          <w:p>
            <w:pPr>
              <w:spacing w:after="0"/>
              <w:rPr>
                <w:sz w:val="1"/>
                <w:szCs w:val="1"/>
                <w:color w:val="auto"/>
              </w:rPr>
            </w:pPr>
          </w:p>
        </w:tc>
      </w:tr>
      <w:tr>
        <w:trPr>
          <w:trHeight w:val="139"/>
        </w:trPr>
        <w:tc>
          <w:tcPr>
            <w:tcW w:w="1200" w:type="dxa"/>
            <w:vAlign w:val="bottom"/>
            <w:tcBorders>
              <w:right w:val="single" w:sz="8" w:color="5B769B"/>
            </w:tcBorders>
            <w:shd w:val="clear" w:color="auto" w:fill="5B769B"/>
          </w:tcPr>
          <w:p>
            <w:pPr>
              <w:spacing w:after="0"/>
              <w:rPr>
                <w:sz w:val="12"/>
                <w:szCs w:val="12"/>
                <w:color w:val="auto"/>
              </w:rPr>
            </w:pPr>
          </w:p>
        </w:tc>
        <w:tc>
          <w:tcPr>
            <w:tcW w:w="2840" w:type="dxa"/>
            <w:vAlign w:val="bottom"/>
            <w:tcBorders>
              <w:right w:val="single" w:sz="8" w:color="5B769B"/>
            </w:tcBorders>
            <w:shd w:val="clear" w:color="auto" w:fill="5B769B"/>
          </w:tcPr>
          <w:p>
            <w:pPr>
              <w:spacing w:after="0"/>
              <w:rPr>
                <w:sz w:val="12"/>
                <w:szCs w:val="12"/>
                <w:color w:val="auto"/>
              </w:rPr>
            </w:pPr>
          </w:p>
        </w:tc>
        <w:tc>
          <w:tcPr>
            <w:tcW w:w="1860" w:type="dxa"/>
            <w:vAlign w:val="bottom"/>
            <w:tcBorders>
              <w:right w:val="single" w:sz="8" w:color="5B769B"/>
            </w:tcBorders>
            <w:shd w:val="clear" w:color="auto" w:fill="5B769B"/>
          </w:tcPr>
          <w:p>
            <w:pPr>
              <w:spacing w:after="0"/>
              <w:rPr>
                <w:sz w:val="12"/>
                <w:szCs w:val="12"/>
                <w:color w:val="auto"/>
              </w:rPr>
            </w:pPr>
          </w:p>
        </w:tc>
        <w:tc>
          <w:tcPr>
            <w:tcW w:w="1520" w:type="dxa"/>
            <w:vAlign w:val="bottom"/>
            <w:tcBorders>
              <w:right w:val="single" w:sz="8" w:color="5B769B"/>
            </w:tcBorders>
            <w:shd w:val="clear" w:color="auto" w:fill="5B769B"/>
          </w:tcPr>
          <w:p>
            <w:pPr>
              <w:spacing w:after="0"/>
              <w:rPr>
                <w:sz w:val="12"/>
                <w:szCs w:val="12"/>
                <w:color w:val="auto"/>
              </w:rPr>
            </w:pPr>
          </w:p>
        </w:tc>
        <w:tc>
          <w:tcPr>
            <w:tcW w:w="2660" w:type="dxa"/>
            <w:vAlign w:val="bottom"/>
            <w:tcBorders>
              <w:right w:val="single" w:sz="8" w:color="5B769B"/>
            </w:tcBorders>
            <w:shd w:val="clear" w:color="auto" w:fill="5B769B"/>
          </w:tcPr>
          <w:p>
            <w:pPr>
              <w:spacing w:after="0"/>
              <w:rPr>
                <w:sz w:val="12"/>
                <w:szCs w:val="12"/>
                <w:color w:val="auto"/>
              </w:rPr>
            </w:pPr>
          </w:p>
        </w:tc>
        <w:tc>
          <w:tcPr>
            <w:tcW w:w="1160" w:type="dxa"/>
            <w:vAlign w:val="bottom"/>
            <w:shd w:val="clear" w:color="auto" w:fill="5B769B"/>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Borders>
              <w:right w:val="single" w:sz="8" w:color="274F78"/>
            </w:tcBorders>
            <w:shd w:val="clear" w:color="auto" w:fill="274F78"/>
          </w:tcPr>
          <w:p>
            <w:pPr>
              <w:spacing w:after="0"/>
              <w:rPr>
                <w:sz w:val="17"/>
                <w:szCs w:val="17"/>
                <w:color w:val="auto"/>
              </w:rPr>
            </w:pPr>
          </w:p>
        </w:tc>
        <w:tc>
          <w:tcPr>
            <w:tcW w:w="2840" w:type="dxa"/>
            <w:vAlign w:val="bottom"/>
            <w:tcBorders>
              <w:right w:val="single" w:sz="8" w:color="274F78"/>
            </w:tcBorders>
            <w:shd w:val="clear" w:color="auto" w:fill="274F78"/>
          </w:tcPr>
          <w:p>
            <w:pPr>
              <w:spacing w:after="0"/>
              <w:rPr>
                <w:sz w:val="17"/>
                <w:szCs w:val="17"/>
                <w:color w:val="auto"/>
              </w:rPr>
            </w:pPr>
          </w:p>
        </w:tc>
        <w:tc>
          <w:tcPr>
            <w:tcW w:w="1860" w:type="dxa"/>
            <w:vAlign w:val="bottom"/>
            <w:tcBorders>
              <w:right w:val="single" w:sz="8" w:color="274F78"/>
            </w:tcBorders>
            <w:shd w:val="clear" w:color="auto" w:fill="274F78"/>
          </w:tcPr>
          <w:p>
            <w:pPr>
              <w:spacing w:after="0"/>
              <w:rPr>
                <w:sz w:val="17"/>
                <w:szCs w:val="17"/>
                <w:color w:val="auto"/>
              </w:rPr>
            </w:pPr>
          </w:p>
        </w:tc>
        <w:tc>
          <w:tcPr>
            <w:tcW w:w="1520" w:type="dxa"/>
            <w:vAlign w:val="bottom"/>
            <w:tcBorders>
              <w:right w:val="single" w:sz="8" w:color="274F78"/>
            </w:tcBorders>
            <w:shd w:val="clear" w:color="auto" w:fill="274F78"/>
          </w:tcPr>
          <w:p>
            <w:pPr>
              <w:spacing w:after="0"/>
              <w:rPr>
                <w:sz w:val="17"/>
                <w:szCs w:val="17"/>
                <w:color w:val="auto"/>
              </w:rPr>
            </w:pPr>
          </w:p>
        </w:tc>
        <w:tc>
          <w:tcPr>
            <w:tcW w:w="2660" w:type="dxa"/>
            <w:vAlign w:val="bottom"/>
            <w:tcBorders>
              <w:right w:val="single" w:sz="8" w:color="274F78"/>
            </w:tcBorders>
            <w:shd w:val="clear" w:color="auto" w:fill="274F78"/>
          </w:tcPr>
          <w:p>
            <w:pPr>
              <w:spacing w:after="0"/>
              <w:rPr>
                <w:sz w:val="17"/>
                <w:szCs w:val="17"/>
                <w:color w:val="auto"/>
              </w:rPr>
            </w:pPr>
          </w:p>
        </w:tc>
        <w:tc>
          <w:tcPr>
            <w:tcW w:w="1160" w:type="dxa"/>
            <w:vAlign w:val="bottom"/>
            <w:shd w:val="clear" w:color="auto" w:fill="274F78"/>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35" w:name="page36"/>
    <w:bookmarkEnd w:id="35"/>
    <w:p>
      <w:pPr>
        <w:ind w:left="1180" w:right="920"/>
        <w:spacing w:after="0" w:line="236" w:lineRule="auto"/>
        <w:rPr>
          <w:sz w:val="20"/>
          <w:szCs w:val="20"/>
          <w:color w:val="auto"/>
        </w:rPr>
      </w:pPr>
      <w:r>
        <w:rPr>
          <w:rFonts w:ascii="Arial" w:cs="Arial" w:eastAsia="Arial" w:hAnsi="Arial"/>
          <w:sz w:val="18"/>
          <w:szCs w:val="18"/>
          <w:color w:val="58595B"/>
        </w:rPr>
        <w:t xml:space="preserve">The affirmative vote of the holders of a majority of the voting power of our outstanding common stock entitled to vote on the Articles Proposal is required to approve the Articles Proposal. A copy of the proposed Amended and Restated Articles of Incorporation is attached to this proxy statement as </w:t>
      </w:r>
      <w:r>
        <w:rPr>
          <w:rFonts w:ascii="Arial" w:cs="Arial" w:eastAsia="Arial" w:hAnsi="Arial"/>
          <w:sz w:val="18"/>
          <w:szCs w:val="18"/>
          <w:u w:val="single" w:color="auto"/>
          <w:color w:val="58595B"/>
        </w:rPr>
        <w:t>Annex A</w:t>
      </w:r>
      <w:r>
        <w:rPr>
          <w:rFonts w:ascii="Arial" w:cs="Arial" w:eastAsia="Arial" w:hAnsi="Arial"/>
          <w:sz w:val="18"/>
          <w:szCs w:val="18"/>
          <w:color w:val="58595B"/>
        </w:rPr>
        <w:t>. If approved, the proposed Amended and Restated Articles of Incorporation would become effective upon their filing with the Nevada Secretary of State, which the Company expects would occur promptly after shareholder approval is obtained. If the Articles Proposal is not approved, the Company's current classified board structure will continue.</w:t>
      </w:r>
    </w:p>
    <w:p>
      <w:pPr>
        <w:spacing w:after="0" w:line="147" w:lineRule="exact"/>
        <w:rPr>
          <w:sz w:val="20"/>
          <w:szCs w:val="20"/>
          <w:color w:val="auto"/>
        </w:rPr>
      </w:pPr>
    </w:p>
    <w:p>
      <w:pPr>
        <w:ind w:left="1180" w:right="1800"/>
        <w:spacing w:after="0" w:line="275" w:lineRule="auto"/>
        <w:rPr>
          <w:sz w:val="20"/>
          <w:szCs w:val="20"/>
          <w:color w:val="auto"/>
        </w:rPr>
      </w:pPr>
      <w:r>
        <w:rPr>
          <w:rFonts w:ascii="Arial" w:cs="Arial" w:eastAsia="Arial" w:hAnsi="Arial"/>
          <w:sz w:val="18"/>
          <w:szCs w:val="18"/>
          <w:b w:val="1"/>
          <w:bCs w:val="1"/>
          <w:color w:val="58595B"/>
        </w:rPr>
        <w:t>THE BOARD RECOMMENDS THAT THE SHAREHOLDERS VOTE "FOR" THE APPROVAL OF THE AMENDED AND RESTATED ARTICLES OF INCORPORATION.</w:t>
      </w:r>
    </w:p>
    <w:p>
      <w:pPr>
        <w:spacing w:after="0" w:line="349" w:lineRule="exact"/>
        <w:rPr>
          <w:sz w:val="20"/>
          <w:szCs w:val="20"/>
          <w:color w:val="auto"/>
        </w:rPr>
      </w:pPr>
    </w:p>
    <w:p>
      <w:pPr>
        <w:ind w:left="1180" w:right="2200"/>
        <w:spacing w:after="0" w:line="288" w:lineRule="auto"/>
        <w:rPr>
          <w:sz w:val="20"/>
          <w:szCs w:val="20"/>
          <w:color w:val="auto"/>
        </w:rPr>
      </w:pPr>
      <w:r>
        <w:rPr>
          <w:rFonts w:ascii="Arial" w:cs="Arial" w:eastAsia="Arial" w:hAnsi="Arial"/>
          <w:sz w:val="33"/>
          <w:szCs w:val="33"/>
          <w:b w:val="1"/>
          <w:bCs w:val="1"/>
          <w:color w:val="274F78"/>
        </w:rPr>
        <w:t>CERTAIN INFORMATION ABOUT OUR EXECUTIVE OFFICERS</w:t>
      </w:r>
    </w:p>
    <w:p>
      <w:pPr>
        <w:spacing w:after="0" w:line="52" w:lineRule="exact"/>
        <w:rPr>
          <w:sz w:val="20"/>
          <w:szCs w:val="20"/>
          <w:color w:val="auto"/>
        </w:rPr>
      </w:pPr>
    </w:p>
    <w:p>
      <w:pPr>
        <w:ind w:left="1180" w:right="1260"/>
        <w:spacing w:after="0" w:line="247" w:lineRule="auto"/>
        <w:rPr>
          <w:sz w:val="20"/>
          <w:szCs w:val="20"/>
          <w:color w:val="auto"/>
        </w:rPr>
      </w:pPr>
      <w:r>
        <w:rPr>
          <w:rFonts w:ascii="Arial" w:cs="Arial" w:eastAsia="Arial" w:hAnsi="Arial"/>
          <w:sz w:val="18"/>
          <w:szCs w:val="18"/>
          <w:color w:val="58595B"/>
        </w:rPr>
        <w:t>The executive officers of the Company are set forth in the table below, together with biographical information, except for Mr. Quirk, whose biographical information is included in this proxy statement under the section titled "Certain Information about our Directors–Information About the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100965</wp:posOffset>
            </wp:positionV>
            <wp:extent cx="15875" cy="226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75" cy="22669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100965</wp:posOffset>
            </wp:positionV>
            <wp:extent cx="15875" cy="2266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 cy="226695"/>
                    </a:xfrm>
                    <a:prstGeom prst="rect">
                      <a:avLst/>
                    </a:prstGeom>
                    <a:noFill/>
                  </pic:spPr>
                </pic:pic>
              </a:graphicData>
            </a:graphic>
          </wp:anchor>
        </w:drawing>
      </w:r>
    </w:p>
    <w:p>
      <w:pPr>
        <w:spacing w:after="0" w:line="139" w:lineRule="exact"/>
        <w:rPr>
          <w:sz w:val="20"/>
          <w:szCs w:val="20"/>
          <w:color w:val="auto"/>
        </w:rPr>
      </w:pPr>
    </w:p>
    <w:tbl>
      <w:tblPr>
        <w:tblLayout w:type="fixed"/>
        <w:tblInd w:w="1190" w:type="dxa"/>
        <w:tblCellMar>
          <w:top w:w="0" w:type="dxa"/>
          <w:left w:w="0" w:type="dxa"/>
          <w:bottom w:w="0" w:type="dxa"/>
          <w:right w:w="0" w:type="dxa"/>
        </w:tblCellMar>
      </w:tblPr>
      <w:tr>
        <w:trPr>
          <w:trHeight w:val="294"/>
        </w:trPr>
        <w:tc>
          <w:tcPr>
            <w:tcW w:w="2600" w:type="dxa"/>
            <w:vAlign w:val="bottom"/>
            <w:tcBorders>
              <w:left w:val="single" w:sz="8" w:color="58595B"/>
              <w:right w:val="single" w:sz="8" w:color="274F78"/>
            </w:tcBorders>
            <w:shd w:val="clear" w:color="auto" w:fill="274F78"/>
          </w:tcPr>
          <w:p>
            <w:pPr>
              <w:ind w:left="140"/>
              <w:spacing w:after="0"/>
              <w:rPr>
                <w:sz w:val="20"/>
                <w:szCs w:val="20"/>
                <w:color w:val="auto"/>
              </w:rPr>
            </w:pPr>
            <w:r>
              <w:rPr>
                <w:rFonts w:ascii="Arial" w:cs="Arial" w:eastAsia="Arial" w:hAnsi="Arial"/>
                <w:sz w:val="16"/>
                <w:szCs w:val="16"/>
                <w:b w:val="1"/>
                <w:bCs w:val="1"/>
                <w:color w:val="FFFFFF"/>
              </w:rPr>
              <w:t>Name</w:t>
            </w:r>
          </w:p>
        </w:tc>
        <w:tc>
          <w:tcPr>
            <w:tcW w:w="5600" w:type="dxa"/>
            <w:vAlign w:val="bottom"/>
            <w:tcBorders>
              <w:right w:val="single" w:sz="8" w:color="274F78"/>
            </w:tcBorders>
            <w:shd w:val="clear" w:color="auto" w:fill="274F78"/>
          </w:tcPr>
          <w:p>
            <w:pPr>
              <w:ind w:left="120"/>
              <w:spacing w:after="0"/>
              <w:rPr>
                <w:sz w:val="20"/>
                <w:szCs w:val="20"/>
                <w:color w:val="auto"/>
              </w:rPr>
            </w:pPr>
            <w:r>
              <w:rPr>
                <w:rFonts w:ascii="Arial" w:cs="Arial" w:eastAsia="Arial" w:hAnsi="Arial"/>
                <w:sz w:val="16"/>
                <w:szCs w:val="16"/>
                <w:b w:val="1"/>
                <w:bCs w:val="1"/>
                <w:color w:val="FFFFFF"/>
              </w:rPr>
              <w:t>Position</w:t>
            </w:r>
          </w:p>
        </w:tc>
        <w:tc>
          <w:tcPr>
            <w:tcW w:w="700" w:type="dxa"/>
            <w:vAlign w:val="bottom"/>
            <w:tcBorders>
              <w:right w:val="single" w:sz="8" w:color="58595B"/>
            </w:tcBorders>
            <w:shd w:val="clear" w:color="auto" w:fill="274F78"/>
          </w:tcPr>
          <w:p>
            <w:pPr>
              <w:ind w:left="240"/>
              <w:spacing w:after="0"/>
              <w:rPr>
                <w:sz w:val="20"/>
                <w:szCs w:val="20"/>
                <w:color w:val="auto"/>
              </w:rPr>
            </w:pPr>
            <w:r>
              <w:rPr>
                <w:rFonts w:ascii="Arial" w:cs="Arial" w:eastAsia="Arial" w:hAnsi="Arial"/>
                <w:sz w:val="15"/>
                <w:szCs w:val="15"/>
                <w:b w:val="1"/>
                <w:bCs w:val="1"/>
                <w:color w:val="FFFFFF"/>
              </w:rPr>
              <w:t>Age</w:t>
            </w:r>
          </w:p>
        </w:tc>
      </w:tr>
      <w:tr>
        <w:trPr>
          <w:trHeight w:val="63"/>
        </w:trPr>
        <w:tc>
          <w:tcPr>
            <w:tcW w:w="2600" w:type="dxa"/>
            <w:vAlign w:val="bottom"/>
            <w:tcBorders>
              <w:left w:val="single" w:sz="8" w:color="58595B"/>
              <w:right w:val="single" w:sz="8" w:color="274F78"/>
            </w:tcBorders>
            <w:shd w:val="clear" w:color="auto" w:fill="274F78"/>
          </w:tcPr>
          <w:p>
            <w:pPr>
              <w:spacing w:after="0"/>
              <w:rPr>
                <w:sz w:val="5"/>
                <w:szCs w:val="5"/>
                <w:color w:val="auto"/>
              </w:rPr>
            </w:pPr>
          </w:p>
        </w:tc>
        <w:tc>
          <w:tcPr>
            <w:tcW w:w="5600" w:type="dxa"/>
            <w:vAlign w:val="bottom"/>
            <w:tcBorders>
              <w:right w:val="single" w:sz="8" w:color="274F78"/>
            </w:tcBorders>
            <w:shd w:val="clear" w:color="auto" w:fill="274F78"/>
          </w:tcPr>
          <w:p>
            <w:pPr>
              <w:spacing w:after="0"/>
              <w:rPr>
                <w:sz w:val="5"/>
                <w:szCs w:val="5"/>
                <w:color w:val="auto"/>
              </w:rPr>
            </w:pPr>
          </w:p>
        </w:tc>
        <w:tc>
          <w:tcPr>
            <w:tcW w:w="700" w:type="dxa"/>
            <w:vAlign w:val="bottom"/>
            <w:tcBorders>
              <w:right w:val="single" w:sz="8" w:color="58595B"/>
            </w:tcBorders>
            <w:shd w:val="clear" w:color="auto" w:fill="274F78"/>
          </w:tcPr>
          <w:p>
            <w:pPr>
              <w:spacing w:after="0"/>
              <w:rPr>
                <w:sz w:val="5"/>
                <w:szCs w:val="5"/>
                <w:color w:val="auto"/>
              </w:rPr>
            </w:pPr>
          </w:p>
        </w:tc>
      </w:tr>
      <w:tr>
        <w:trPr>
          <w:trHeight w:val="255"/>
        </w:trPr>
        <w:tc>
          <w:tcPr>
            <w:tcW w:w="2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Raymond R. Quirk</w:t>
            </w:r>
          </w:p>
        </w:tc>
        <w:tc>
          <w:tcPr>
            <w:tcW w:w="5600" w:type="dxa"/>
            <w:vAlign w:val="bottom"/>
            <w:tcBorders>
              <w:right w:val="single" w:sz="8" w:color="58595B"/>
            </w:tcBorders>
          </w:tcPr>
          <w:p>
            <w:pPr>
              <w:ind w:left="120"/>
              <w:spacing w:after="0"/>
              <w:rPr>
                <w:sz w:val="20"/>
                <w:szCs w:val="20"/>
                <w:color w:val="auto"/>
              </w:rPr>
            </w:pPr>
            <w:r>
              <w:rPr>
                <w:rFonts w:ascii="Arial" w:cs="Arial" w:eastAsia="Arial" w:hAnsi="Arial"/>
                <w:sz w:val="15"/>
                <w:szCs w:val="15"/>
                <w:color w:val="58595B"/>
              </w:rPr>
              <w:t>Executive Vice-Chairman</w:t>
            </w:r>
          </w:p>
        </w:tc>
        <w:tc>
          <w:tcPr>
            <w:tcW w:w="700" w:type="dxa"/>
            <w:vAlign w:val="bottom"/>
            <w:tcBorders>
              <w:right w:val="single" w:sz="8" w:color="58595B"/>
            </w:tcBorders>
          </w:tcPr>
          <w:p>
            <w:pPr>
              <w:ind w:left="240"/>
              <w:spacing w:after="0"/>
              <w:rPr>
                <w:sz w:val="20"/>
                <w:szCs w:val="20"/>
                <w:color w:val="auto"/>
              </w:rPr>
            </w:pPr>
            <w:r>
              <w:rPr>
                <w:rFonts w:ascii="Arial" w:cs="Arial" w:eastAsia="Arial" w:hAnsi="Arial"/>
                <w:sz w:val="15"/>
                <w:szCs w:val="15"/>
                <w:color w:val="58595B"/>
              </w:rPr>
              <w:t>79</w:t>
            </w:r>
          </w:p>
        </w:tc>
      </w:tr>
      <w:tr>
        <w:trPr>
          <w:trHeight w:val="65"/>
        </w:trPr>
        <w:tc>
          <w:tcPr>
            <w:tcW w:w="2600" w:type="dxa"/>
            <w:vAlign w:val="bottom"/>
            <w:tcBorders>
              <w:left w:val="single" w:sz="8" w:color="58595B"/>
              <w:bottom w:val="single" w:sz="8" w:color="58595B"/>
              <w:right w:val="single" w:sz="8" w:color="58595B"/>
            </w:tcBorders>
          </w:tcPr>
          <w:p>
            <w:pPr>
              <w:spacing w:after="0"/>
              <w:rPr>
                <w:sz w:val="5"/>
                <w:szCs w:val="5"/>
                <w:color w:val="auto"/>
              </w:rPr>
            </w:pPr>
          </w:p>
        </w:tc>
        <w:tc>
          <w:tcPr>
            <w:tcW w:w="5600" w:type="dxa"/>
            <w:vAlign w:val="bottom"/>
            <w:tcBorders>
              <w:bottom w:val="single" w:sz="8" w:color="58595B"/>
              <w:right w:val="single" w:sz="8" w:color="58595B"/>
            </w:tcBorders>
          </w:tcPr>
          <w:p>
            <w:pPr>
              <w:spacing w:after="0"/>
              <w:rPr>
                <w:sz w:val="5"/>
                <w:szCs w:val="5"/>
                <w:color w:val="auto"/>
              </w:rPr>
            </w:pPr>
          </w:p>
        </w:tc>
        <w:tc>
          <w:tcPr>
            <w:tcW w:w="700" w:type="dxa"/>
            <w:vAlign w:val="bottom"/>
            <w:tcBorders>
              <w:bottom w:val="single" w:sz="8" w:color="58595B"/>
              <w:right w:val="single" w:sz="8" w:color="58595B"/>
            </w:tcBorders>
          </w:tcPr>
          <w:p>
            <w:pPr>
              <w:spacing w:after="0"/>
              <w:rPr>
                <w:sz w:val="5"/>
                <w:szCs w:val="5"/>
                <w:color w:val="auto"/>
              </w:rPr>
            </w:pPr>
          </w:p>
        </w:tc>
      </w:tr>
      <w:tr>
        <w:trPr>
          <w:trHeight w:val="248"/>
        </w:trPr>
        <w:tc>
          <w:tcPr>
            <w:tcW w:w="2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Michael J. Nolan</w:t>
            </w:r>
          </w:p>
        </w:tc>
        <w:tc>
          <w:tcPr>
            <w:tcW w:w="5600" w:type="dxa"/>
            <w:vAlign w:val="bottom"/>
            <w:tcBorders>
              <w:right w:val="single" w:sz="8" w:color="58595B"/>
            </w:tcBorders>
          </w:tcPr>
          <w:p>
            <w:pPr>
              <w:ind w:left="120"/>
              <w:spacing w:after="0"/>
              <w:rPr>
                <w:sz w:val="20"/>
                <w:szCs w:val="20"/>
                <w:color w:val="auto"/>
              </w:rPr>
            </w:pPr>
            <w:r>
              <w:rPr>
                <w:rFonts w:ascii="Arial" w:cs="Arial" w:eastAsia="Arial" w:hAnsi="Arial"/>
                <w:sz w:val="15"/>
                <w:szCs w:val="15"/>
                <w:color w:val="58595B"/>
              </w:rPr>
              <w:t>Chief Executive Officer</w:t>
            </w:r>
          </w:p>
        </w:tc>
        <w:tc>
          <w:tcPr>
            <w:tcW w:w="700" w:type="dxa"/>
            <w:vAlign w:val="bottom"/>
            <w:tcBorders>
              <w:right w:val="single" w:sz="8" w:color="58595B"/>
            </w:tcBorders>
          </w:tcPr>
          <w:p>
            <w:pPr>
              <w:ind w:left="240"/>
              <w:spacing w:after="0"/>
              <w:rPr>
                <w:sz w:val="20"/>
                <w:szCs w:val="20"/>
                <w:color w:val="auto"/>
              </w:rPr>
            </w:pPr>
            <w:r>
              <w:rPr>
                <w:rFonts w:ascii="Arial" w:cs="Arial" w:eastAsia="Arial" w:hAnsi="Arial"/>
                <w:sz w:val="15"/>
                <w:szCs w:val="15"/>
                <w:color w:val="58595B"/>
              </w:rPr>
              <w:t>66</w:t>
            </w:r>
          </w:p>
        </w:tc>
      </w:tr>
      <w:tr>
        <w:trPr>
          <w:trHeight w:val="65"/>
        </w:trPr>
        <w:tc>
          <w:tcPr>
            <w:tcW w:w="2600" w:type="dxa"/>
            <w:vAlign w:val="bottom"/>
            <w:tcBorders>
              <w:left w:val="single" w:sz="8" w:color="58595B"/>
              <w:bottom w:val="single" w:sz="8" w:color="58595B"/>
              <w:right w:val="single" w:sz="8" w:color="58595B"/>
            </w:tcBorders>
          </w:tcPr>
          <w:p>
            <w:pPr>
              <w:spacing w:after="0"/>
              <w:rPr>
                <w:sz w:val="5"/>
                <w:szCs w:val="5"/>
                <w:color w:val="auto"/>
              </w:rPr>
            </w:pPr>
          </w:p>
        </w:tc>
        <w:tc>
          <w:tcPr>
            <w:tcW w:w="5600" w:type="dxa"/>
            <w:vAlign w:val="bottom"/>
            <w:tcBorders>
              <w:bottom w:val="single" w:sz="8" w:color="58595B"/>
              <w:right w:val="single" w:sz="8" w:color="58595B"/>
            </w:tcBorders>
          </w:tcPr>
          <w:p>
            <w:pPr>
              <w:spacing w:after="0"/>
              <w:rPr>
                <w:sz w:val="5"/>
                <w:szCs w:val="5"/>
                <w:color w:val="auto"/>
              </w:rPr>
            </w:pPr>
          </w:p>
        </w:tc>
        <w:tc>
          <w:tcPr>
            <w:tcW w:w="700" w:type="dxa"/>
            <w:vAlign w:val="bottom"/>
            <w:tcBorders>
              <w:bottom w:val="single" w:sz="8" w:color="58595B"/>
              <w:right w:val="single" w:sz="8" w:color="58595B"/>
            </w:tcBorders>
          </w:tcPr>
          <w:p>
            <w:pPr>
              <w:spacing w:after="0"/>
              <w:rPr>
                <w:sz w:val="5"/>
                <w:szCs w:val="5"/>
                <w:color w:val="auto"/>
              </w:rPr>
            </w:pPr>
          </w:p>
        </w:tc>
      </w:tr>
      <w:tr>
        <w:trPr>
          <w:trHeight w:val="248"/>
        </w:trPr>
        <w:tc>
          <w:tcPr>
            <w:tcW w:w="2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Anthony J. Park</w:t>
            </w:r>
          </w:p>
        </w:tc>
        <w:tc>
          <w:tcPr>
            <w:tcW w:w="5600" w:type="dxa"/>
            <w:vAlign w:val="bottom"/>
            <w:tcBorders>
              <w:right w:val="single" w:sz="8" w:color="58595B"/>
            </w:tcBorders>
          </w:tcPr>
          <w:p>
            <w:pPr>
              <w:ind w:left="120"/>
              <w:spacing w:after="0"/>
              <w:rPr>
                <w:sz w:val="20"/>
                <w:szCs w:val="20"/>
                <w:color w:val="auto"/>
              </w:rPr>
            </w:pPr>
            <w:r>
              <w:rPr>
                <w:rFonts w:ascii="Arial" w:cs="Arial" w:eastAsia="Arial" w:hAnsi="Arial"/>
                <w:sz w:val="15"/>
                <w:szCs w:val="15"/>
                <w:color w:val="58595B"/>
              </w:rPr>
              <w:t>Executive Vice President and Chief Financial Officer</w:t>
            </w:r>
          </w:p>
        </w:tc>
        <w:tc>
          <w:tcPr>
            <w:tcW w:w="700" w:type="dxa"/>
            <w:vAlign w:val="bottom"/>
            <w:tcBorders>
              <w:right w:val="single" w:sz="8" w:color="58595B"/>
            </w:tcBorders>
          </w:tcPr>
          <w:p>
            <w:pPr>
              <w:ind w:left="240"/>
              <w:spacing w:after="0"/>
              <w:rPr>
                <w:sz w:val="20"/>
                <w:szCs w:val="20"/>
                <w:color w:val="auto"/>
              </w:rPr>
            </w:pPr>
            <w:r>
              <w:rPr>
                <w:rFonts w:ascii="Arial" w:cs="Arial" w:eastAsia="Arial" w:hAnsi="Arial"/>
                <w:sz w:val="15"/>
                <w:szCs w:val="15"/>
                <w:color w:val="58595B"/>
              </w:rPr>
              <w:t>59</w:t>
            </w:r>
          </w:p>
        </w:tc>
      </w:tr>
      <w:tr>
        <w:trPr>
          <w:trHeight w:val="65"/>
        </w:trPr>
        <w:tc>
          <w:tcPr>
            <w:tcW w:w="2600" w:type="dxa"/>
            <w:vAlign w:val="bottom"/>
            <w:tcBorders>
              <w:left w:val="single" w:sz="8" w:color="58595B"/>
              <w:bottom w:val="single" w:sz="8" w:color="58595B"/>
              <w:right w:val="single" w:sz="8" w:color="58595B"/>
            </w:tcBorders>
          </w:tcPr>
          <w:p>
            <w:pPr>
              <w:spacing w:after="0"/>
              <w:rPr>
                <w:sz w:val="5"/>
                <w:szCs w:val="5"/>
                <w:color w:val="auto"/>
              </w:rPr>
            </w:pPr>
          </w:p>
        </w:tc>
        <w:tc>
          <w:tcPr>
            <w:tcW w:w="5600" w:type="dxa"/>
            <w:vAlign w:val="bottom"/>
            <w:tcBorders>
              <w:bottom w:val="single" w:sz="8" w:color="58595B"/>
              <w:right w:val="single" w:sz="8" w:color="58595B"/>
            </w:tcBorders>
          </w:tcPr>
          <w:p>
            <w:pPr>
              <w:spacing w:after="0"/>
              <w:rPr>
                <w:sz w:val="5"/>
                <w:szCs w:val="5"/>
                <w:color w:val="auto"/>
              </w:rPr>
            </w:pPr>
          </w:p>
        </w:tc>
        <w:tc>
          <w:tcPr>
            <w:tcW w:w="700" w:type="dxa"/>
            <w:vAlign w:val="bottom"/>
            <w:tcBorders>
              <w:bottom w:val="single" w:sz="8" w:color="58595B"/>
              <w:right w:val="single" w:sz="8" w:color="58595B"/>
            </w:tcBorders>
          </w:tcPr>
          <w:p>
            <w:pPr>
              <w:spacing w:after="0"/>
              <w:rPr>
                <w:sz w:val="5"/>
                <w:szCs w:val="5"/>
                <w:color w:val="auto"/>
              </w:rPr>
            </w:pPr>
          </w:p>
        </w:tc>
      </w:tr>
      <w:tr>
        <w:trPr>
          <w:trHeight w:val="248"/>
        </w:trPr>
        <w:tc>
          <w:tcPr>
            <w:tcW w:w="2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Peter T. Sadowski</w:t>
            </w:r>
          </w:p>
        </w:tc>
        <w:tc>
          <w:tcPr>
            <w:tcW w:w="5600" w:type="dxa"/>
            <w:vAlign w:val="bottom"/>
            <w:tcBorders>
              <w:right w:val="single" w:sz="8" w:color="58595B"/>
            </w:tcBorders>
          </w:tcPr>
          <w:p>
            <w:pPr>
              <w:ind w:left="120"/>
              <w:spacing w:after="0"/>
              <w:rPr>
                <w:sz w:val="20"/>
                <w:szCs w:val="20"/>
                <w:color w:val="auto"/>
              </w:rPr>
            </w:pPr>
            <w:r>
              <w:rPr>
                <w:rFonts w:ascii="Arial" w:cs="Arial" w:eastAsia="Arial" w:hAnsi="Arial"/>
                <w:sz w:val="15"/>
                <w:szCs w:val="15"/>
                <w:color w:val="58595B"/>
              </w:rPr>
              <w:t>Executive Vice President and Chief Legal Officer</w:t>
            </w:r>
          </w:p>
        </w:tc>
        <w:tc>
          <w:tcPr>
            <w:tcW w:w="700" w:type="dxa"/>
            <w:vAlign w:val="bottom"/>
            <w:tcBorders>
              <w:right w:val="single" w:sz="8" w:color="58595B"/>
            </w:tcBorders>
          </w:tcPr>
          <w:p>
            <w:pPr>
              <w:ind w:left="240"/>
              <w:spacing w:after="0"/>
              <w:rPr>
                <w:sz w:val="20"/>
                <w:szCs w:val="20"/>
                <w:color w:val="auto"/>
              </w:rPr>
            </w:pPr>
            <w:r>
              <w:rPr>
                <w:rFonts w:ascii="Arial" w:cs="Arial" w:eastAsia="Arial" w:hAnsi="Arial"/>
                <w:sz w:val="15"/>
                <w:szCs w:val="15"/>
                <w:color w:val="58595B"/>
              </w:rPr>
              <w:t>71</w:t>
            </w:r>
          </w:p>
        </w:tc>
      </w:tr>
      <w:tr>
        <w:trPr>
          <w:trHeight w:val="65"/>
        </w:trPr>
        <w:tc>
          <w:tcPr>
            <w:tcW w:w="2600" w:type="dxa"/>
            <w:vAlign w:val="bottom"/>
            <w:tcBorders>
              <w:left w:val="single" w:sz="8" w:color="58595B"/>
              <w:bottom w:val="single" w:sz="8" w:color="58595B"/>
              <w:right w:val="single" w:sz="8" w:color="58595B"/>
            </w:tcBorders>
          </w:tcPr>
          <w:p>
            <w:pPr>
              <w:spacing w:after="0"/>
              <w:rPr>
                <w:sz w:val="5"/>
                <w:szCs w:val="5"/>
                <w:color w:val="auto"/>
              </w:rPr>
            </w:pPr>
          </w:p>
        </w:tc>
        <w:tc>
          <w:tcPr>
            <w:tcW w:w="5600" w:type="dxa"/>
            <w:vAlign w:val="bottom"/>
            <w:tcBorders>
              <w:bottom w:val="single" w:sz="8" w:color="58595B"/>
              <w:right w:val="single" w:sz="8" w:color="58595B"/>
            </w:tcBorders>
          </w:tcPr>
          <w:p>
            <w:pPr>
              <w:spacing w:after="0"/>
              <w:rPr>
                <w:sz w:val="5"/>
                <w:szCs w:val="5"/>
                <w:color w:val="auto"/>
              </w:rPr>
            </w:pPr>
          </w:p>
        </w:tc>
        <w:tc>
          <w:tcPr>
            <w:tcW w:w="700" w:type="dxa"/>
            <w:vAlign w:val="bottom"/>
            <w:tcBorders>
              <w:bottom w:val="single" w:sz="8" w:color="58595B"/>
              <w:right w:val="single" w:sz="8" w:color="58595B"/>
            </w:tcBorders>
          </w:tcPr>
          <w:p>
            <w:pPr>
              <w:spacing w:after="0"/>
              <w:rPr>
                <w:sz w:val="5"/>
                <w:szCs w:val="5"/>
                <w:color w:val="auto"/>
              </w:rPr>
            </w:pPr>
          </w:p>
        </w:tc>
      </w:tr>
      <w:tr>
        <w:trPr>
          <w:trHeight w:val="248"/>
        </w:trPr>
        <w:tc>
          <w:tcPr>
            <w:tcW w:w="2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Michael L. Gravelle</w:t>
            </w:r>
          </w:p>
        </w:tc>
        <w:tc>
          <w:tcPr>
            <w:tcW w:w="5600" w:type="dxa"/>
            <w:vAlign w:val="bottom"/>
            <w:tcBorders>
              <w:right w:val="single" w:sz="8" w:color="58595B"/>
            </w:tcBorders>
          </w:tcPr>
          <w:p>
            <w:pPr>
              <w:ind w:left="120"/>
              <w:spacing w:after="0"/>
              <w:rPr>
                <w:sz w:val="20"/>
                <w:szCs w:val="20"/>
                <w:color w:val="auto"/>
              </w:rPr>
            </w:pPr>
            <w:r>
              <w:rPr>
                <w:rFonts w:ascii="Arial" w:cs="Arial" w:eastAsia="Arial" w:hAnsi="Arial"/>
                <w:sz w:val="15"/>
                <w:szCs w:val="15"/>
                <w:color w:val="58595B"/>
              </w:rPr>
              <w:t>Executive Vice President, General Counsel and Corporate Secretary</w:t>
            </w:r>
          </w:p>
        </w:tc>
        <w:tc>
          <w:tcPr>
            <w:tcW w:w="700" w:type="dxa"/>
            <w:vAlign w:val="bottom"/>
            <w:tcBorders>
              <w:right w:val="single" w:sz="8" w:color="58595B"/>
            </w:tcBorders>
          </w:tcPr>
          <w:p>
            <w:pPr>
              <w:ind w:left="240"/>
              <w:spacing w:after="0"/>
              <w:rPr>
                <w:sz w:val="20"/>
                <w:szCs w:val="20"/>
                <w:color w:val="auto"/>
              </w:rPr>
            </w:pPr>
            <w:r>
              <w:rPr>
                <w:rFonts w:ascii="Arial" w:cs="Arial" w:eastAsia="Arial" w:hAnsi="Arial"/>
                <w:sz w:val="15"/>
                <w:szCs w:val="15"/>
                <w:color w:val="58595B"/>
              </w:rPr>
              <w:t>64</w:t>
            </w:r>
          </w:p>
        </w:tc>
      </w:tr>
      <w:tr>
        <w:trPr>
          <w:trHeight w:val="65"/>
        </w:trPr>
        <w:tc>
          <w:tcPr>
            <w:tcW w:w="2600" w:type="dxa"/>
            <w:vAlign w:val="bottom"/>
            <w:tcBorders>
              <w:left w:val="single" w:sz="8" w:color="58595B"/>
              <w:bottom w:val="single" w:sz="8" w:color="58595B"/>
              <w:right w:val="single" w:sz="8" w:color="58595B"/>
            </w:tcBorders>
          </w:tcPr>
          <w:p>
            <w:pPr>
              <w:spacing w:after="0"/>
              <w:rPr>
                <w:sz w:val="5"/>
                <w:szCs w:val="5"/>
                <w:color w:val="auto"/>
              </w:rPr>
            </w:pPr>
          </w:p>
        </w:tc>
        <w:tc>
          <w:tcPr>
            <w:tcW w:w="5600" w:type="dxa"/>
            <w:vAlign w:val="bottom"/>
            <w:tcBorders>
              <w:bottom w:val="single" w:sz="8" w:color="58595B"/>
              <w:right w:val="single" w:sz="8" w:color="58595B"/>
            </w:tcBorders>
          </w:tcPr>
          <w:p>
            <w:pPr>
              <w:spacing w:after="0"/>
              <w:rPr>
                <w:sz w:val="5"/>
                <w:szCs w:val="5"/>
                <w:color w:val="auto"/>
              </w:rPr>
            </w:pPr>
          </w:p>
        </w:tc>
        <w:tc>
          <w:tcPr>
            <w:tcW w:w="700" w:type="dxa"/>
            <w:vAlign w:val="bottom"/>
            <w:tcBorders>
              <w:bottom w:val="single" w:sz="8" w:color="58595B"/>
              <w:right w:val="single" w:sz="8" w:color="58595B"/>
            </w:tcBorders>
          </w:tcPr>
          <w:p>
            <w:pPr>
              <w:spacing w:after="0"/>
              <w:rPr>
                <w:sz w:val="5"/>
                <w:szCs w:val="5"/>
                <w:color w:val="auto"/>
              </w:rPr>
            </w:pPr>
          </w:p>
        </w:tc>
      </w:tr>
    </w:tbl>
    <w:p>
      <w:pPr>
        <w:spacing w:after="0" w:line="164" w:lineRule="exact"/>
        <w:rPr>
          <w:sz w:val="20"/>
          <w:szCs w:val="20"/>
          <w:color w:val="auto"/>
        </w:rPr>
      </w:pPr>
    </w:p>
    <w:p>
      <w:pPr>
        <w:ind w:left="1180" w:right="940"/>
        <w:spacing w:after="0" w:line="234" w:lineRule="auto"/>
        <w:rPr>
          <w:sz w:val="20"/>
          <w:szCs w:val="20"/>
          <w:color w:val="auto"/>
        </w:rPr>
      </w:pPr>
      <w:r>
        <w:rPr>
          <w:rFonts w:ascii="Arial" w:cs="Arial" w:eastAsia="Arial" w:hAnsi="Arial"/>
          <w:sz w:val="18"/>
          <w:szCs w:val="18"/>
          <w:b w:val="1"/>
          <w:bCs w:val="1"/>
          <w:color w:val="49678E"/>
        </w:rPr>
        <w:t xml:space="preserve">Michael J. Nolan. </w:t>
      </w:r>
      <w:r>
        <w:rPr>
          <w:rFonts w:ascii="Arial" w:cs="Arial" w:eastAsia="Arial" w:hAnsi="Arial"/>
          <w:sz w:val="18"/>
          <w:szCs w:val="18"/>
          <w:color w:val="58595B"/>
        </w:rPr>
        <w:t>Mr. Nolan has served as Chief Executive Officer of the Company since February 2022 and</w:t>
      </w:r>
      <w:r>
        <w:rPr>
          <w:rFonts w:ascii="Arial" w:cs="Arial" w:eastAsia="Arial" w:hAnsi="Arial"/>
          <w:sz w:val="18"/>
          <w:szCs w:val="18"/>
          <w:b w:val="1"/>
          <w:bCs w:val="1"/>
          <w:color w:val="49678E"/>
        </w:rPr>
        <w:t xml:space="preserve"> </w:t>
      </w:r>
      <w:r>
        <w:rPr>
          <w:rFonts w:ascii="Arial" w:cs="Arial" w:eastAsia="Arial" w:hAnsi="Arial"/>
          <w:sz w:val="18"/>
          <w:szCs w:val="18"/>
          <w:color w:val="58595B"/>
        </w:rPr>
        <w:t>previously served as President of the Company since January 2016. Mr. Nolan has also served on the board of directors of F&amp;G since August 2020. He served as the Co-Chief Operating Officer of FNF from September 2015 until January 2016. Additionally, he has served as President of Eastern Operations for Fidelity National Title Group since January 2013 and Executive Vice President and Division Manager since May 2010. Previously, Mr. Nolan served in various executive and management positions, including Division Manager and Regional Manager from the time he joined FNF in 1983, with responsibilities for managing direct and agency operations for the Midwest and East Coast, as well as the Company's operations in Canada, Fidelity's 1031 exchange company, Fidelity's relocation business, LoanCare and ServiceLink.</w:t>
      </w:r>
    </w:p>
    <w:p>
      <w:pPr>
        <w:spacing w:after="0" w:line="155" w:lineRule="exact"/>
        <w:rPr>
          <w:sz w:val="20"/>
          <w:szCs w:val="20"/>
          <w:color w:val="auto"/>
        </w:rPr>
      </w:pPr>
    </w:p>
    <w:p>
      <w:pPr>
        <w:ind w:left="1180" w:right="1440"/>
        <w:spacing w:after="0" w:line="247" w:lineRule="auto"/>
        <w:rPr>
          <w:sz w:val="20"/>
          <w:szCs w:val="20"/>
          <w:color w:val="auto"/>
        </w:rPr>
      </w:pPr>
      <w:r>
        <w:rPr>
          <w:rFonts w:ascii="Arial" w:cs="Arial" w:eastAsia="Arial" w:hAnsi="Arial"/>
          <w:sz w:val="18"/>
          <w:szCs w:val="18"/>
          <w:b w:val="1"/>
          <w:bCs w:val="1"/>
          <w:color w:val="49678E"/>
        </w:rPr>
        <w:t xml:space="preserve">Anthony J. Park. </w:t>
      </w:r>
      <w:r>
        <w:rPr>
          <w:rFonts w:ascii="Arial" w:cs="Arial" w:eastAsia="Arial" w:hAnsi="Arial"/>
          <w:sz w:val="18"/>
          <w:szCs w:val="18"/>
          <w:color w:val="58595B"/>
        </w:rPr>
        <w:t>Mr. Park has served as Executive Vice President and Chief Financial Officer of FNF since</w:t>
      </w:r>
      <w:r>
        <w:rPr>
          <w:rFonts w:ascii="Arial" w:cs="Arial" w:eastAsia="Arial" w:hAnsi="Arial"/>
          <w:sz w:val="18"/>
          <w:szCs w:val="18"/>
          <w:b w:val="1"/>
          <w:bCs w:val="1"/>
          <w:color w:val="49678E"/>
        </w:rPr>
        <w:t xml:space="preserve"> </w:t>
      </w:r>
      <w:r>
        <w:rPr>
          <w:rFonts w:ascii="Arial" w:cs="Arial" w:eastAsia="Arial" w:hAnsi="Arial"/>
          <w:sz w:val="18"/>
          <w:szCs w:val="18"/>
          <w:color w:val="58595B"/>
        </w:rPr>
        <w:t>October 2005. Prior to being appointed CFO of the Company, Mr. Park served as Controller and Assistant Controller of FNF from 1991 to 2000 and served as the Chief Accounting Officer of FNF from 2000 to 2005.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32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6" w:name="page37"/>
    <w:bookmarkEnd w:id="36"/>
    <w:p>
      <w:pPr>
        <w:ind w:left="820" w:right="420"/>
        <w:spacing w:after="0" w:line="241" w:lineRule="auto"/>
        <w:rPr>
          <w:sz w:val="20"/>
          <w:szCs w:val="20"/>
          <w:color w:val="auto"/>
        </w:rPr>
      </w:pPr>
      <w:r>
        <w:rPr>
          <w:rFonts w:ascii="Arial" w:cs="Arial" w:eastAsia="Arial" w:hAnsi="Arial"/>
          <w:sz w:val="18"/>
          <w:szCs w:val="18"/>
          <w:b w:val="1"/>
          <w:bCs w:val="1"/>
          <w:color w:val="49678E"/>
        </w:rPr>
        <w:t xml:space="preserve">Peter T. Sadowski. </w:t>
      </w:r>
      <w:r>
        <w:rPr>
          <w:rFonts w:ascii="Arial" w:cs="Arial" w:eastAsia="Arial" w:hAnsi="Arial"/>
          <w:sz w:val="18"/>
          <w:szCs w:val="18"/>
          <w:color w:val="58595B"/>
        </w:rPr>
        <w:t>Mr. Sadowski has served as Executive Vice President and Chief Legal Officer of FNF since</w:t>
      </w:r>
      <w:r>
        <w:rPr>
          <w:rFonts w:ascii="Arial" w:cs="Arial" w:eastAsia="Arial" w:hAnsi="Arial"/>
          <w:sz w:val="18"/>
          <w:szCs w:val="18"/>
          <w:b w:val="1"/>
          <w:bCs w:val="1"/>
          <w:color w:val="49678E"/>
        </w:rPr>
        <w:t xml:space="preserve"> </w:t>
      </w:r>
      <w:r>
        <w:rPr>
          <w:rFonts w:ascii="Arial" w:cs="Arial" w:eastAsia="Arial" w:hAnsi="Arial"/>
          <w:sz w:val="18"/>
          <w:szCs w:val="18"/>
          <w:color w:val="58595B"/>
        </w:rPr>
        <w:t>2008 and Executive Vice President and General Counsel of FNF from 1999 until 2008. Mr. Sadowski has also served as Executive Vice President and Chief Legal Officer of Cannae since April 2017. Mr. Sadowski is a Trustee of the Folded Flag Foundation and the Vegas Golden Knights Foundation.</w:t>
      </w:r>
    </w:p>
    <w:p>
      <w:pPr>
        <w:spacing w:after="0" w:line="142" w:lineRule="exact"/>
        <w:rPr>
          <w:sz w:val="20"/>
          <w:szCs w:val="20"/>
          <w:color w:val="auto"/>
        </w:rPr>
      </w:pPr>
    </w:p>
    <w:p>
      <w:pPr>
        <w:ind w:left="820" w:right="400"/>
        <w:spacing w:after="0" w:line="233" w:lineRule="auto"/>
        <w:rPr>
          <w:sz w:val="20"/>
          <w:szCs w:val="20"/>
          <w:color w:val="auto"/>
        </w:rPr>
      </w:pPr>
      <w:r>
        <w:rPr>
          <w:rFonts w:ascii="Arial" w:cs="Arial" w:eastAsia="Arial" w:hAnsi="Arial"/>
          <w:sz w:val="18"/>
          <w:szCs w:val="18"/>
          <w:b w:val="1"/>
          <w:bCs w:val="1"/>
          <w:color w:val="49678E"/>
        </w:rPr>
        <w:t xml:space="preserve">Michael L. Gravelle. </w:t>
      </w:r>
      <w:r>
        <w:rPr>
          <w:rFonts w:ascii="Arial" w:cs="Arial" w:eastAsia="Arial" w:hAnsi="Arial"/>
          <w:sz w:val="18"/>
          <w:szCs w:val="18"/>
          <w:color w:val="58595B"/>
        </w:rPr>
        <w:t>Mr. Gravelle has served as the Executive Vice President, General Counsel and Corporate</w:t>
      </w:r>
      <w:r>
        <w:rPr>
          <w:rFonts w:ascii="Arial" w:cs="Arial" w:eastAsia="Arial" w:hAnsi="Arial"/>
          <w:sz w:val="18"/>
          <w:szCs w:val="18"/>
          <w:b w:val="1"/>
          <w:bCs w:val="1"/>
          <w:color w:val="49678E"/>
        </w:rPr>
        <w:t xml:space="preserve"> </w:t>
      </w:r>
      <w:r>
        <w:rPr>
          <w:rFonts w:ascii="Arial" w:cs="Arial" w:eastAsia="Arial" w:hAnsi="Arial"/>
          <w:sz w:val="18"/>
          <w:szCs w:val="18"/>
          <w:color w:val="58595B"/>
        </w:rPr>
        <w:t>Secretary of FNF since January 2010. He has served as Corporate Secretary since April 2008. Mr. Gravelle joined FNF in 2003, serving as Senior Vice President. Mr. Gravelle has also served as Executive Vice President, General Counsel and Corporate Secretary of Cannae since April 2017, as Executive Vice President, General Counsel and Corporate Secretary of F&amp;G since May 2024, and as General Counsel and Corporate Secretary of Jena Acquisition Corporation II since March 2025. Mr. Gravelle previously served as Executive Vice President and General Counsel of Black Knight and its predecessors from January 2014 until December 2023, where he also served as Corporate Secretary from January 2014 until May 2018. He previously served as General Counsel and Corporate Secretary of AUS and ASZ from January 2021 through December 2022, of FTAC II from July 2020 through March 2021, and of FTAC from March 2020 to July 2021.</w:t>
      </w:r>
    </w:p>
    <w:p>
      <w:pPr>
        <w:spacing w:after="0" w:line="392" w:lineRule="exact"/>
        <w:rPr>
          <w:sz w:val="20"/>
          <w:szCs w:val="20"/>
          <w:color w:val="auto"/>
        </w:rPr>
      </w:pPr>
    </w:p>
    <w:p>
      <w:pPr>
        <w:ind w:left="820"/>
        <w:spacing w:after="0"/>
        <w:rPr>
          <w:sz w:val="20"/>
          <w:szCs w:val="20"/>
          <w:color w:val="auto"/>
        </w:rPr>
      </w:pPr>
      <w:r>
        <w:rPr>
          <w:rFonts w:ascii="Arial" w:cs="Arial" w:eastAsia="Arial" w:hAnsi="Arial"/>
          <w:sz w:val="33"/>
          <w:szCs w:val="33"/>
          <w:b w:val="1"/>
          <w:bCs w:val="1"/>
          <w:color w:val="274F78"/>
        </w:rPr>
        <w:t>COMPENSATION DISCUSSION AND ANALYSIS</w:t>
      </w:r>
    </w:p>
    <w:p>
      <w:pPr>
        <w:spacing w:after="0" w:line="204" w:lineRule="exact"/>
        <w:rPr>
          <w:sz w:val="20"/>
          <w:szCs w:val="20"/>
          <w:color w:val="auto"/>
        </w:rPr>
      </w:pPr>
    </w:p>
    <w:p>
      <w:pPr>
        <w:ind w:left="820" w:right="340"/>
        <w:spacing w:after="0" w:line="234" w:lineRule="auto"/>
        <w:rPr>
          <w:sz w:val="20"/>
          <w:szCs w:val="20"/>
          <w:color w:val="auto"/>
        </w:rPr>
      </w:pPr>
      <w:r>
        <w:rPr>
          <w:rFonts w:ascii="Arial" w:cs="Arial" w:eastAsia="Arial" w:hAnsi="Arial"/>
          <w:sz w:val="18"/>
          <w:szCs w:val="18"/>
          <w:i w:val="1"/>
          <w:iCs w:val="1"/>
          <w:color w:val="58595B"/>
        </w:rPr>
        <w:t>The following discussion and analysis of compensation programs should be read with the compensation tables and related disclosures that follow. This discussion contains forward-looking statements that are based on our current plans and expectations regarding future compensation programs. Compensation programs that we adopt in the future may differ materially from the programs summarized in this discussion. The following discussion may also contain statements regarding corporate performance targets and goals. These targets and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146" w:lineRule="exact"/>
        <w:rPr>
          <w:sz w:val="20"/>
          <w:szCs w:val="20"/>
          <w:color w:val="auto"/>
        </w:rPr>
      </w:pPr>
    </w:p>
    <w:p>
      <w:pPr>
        <w:ind w:left="820" w:right="380"/>
        <w:spacing w:after="0" w:line="241" w:lineRule="auto"/>
        <w:rPr>
          <w:sz w:val="20"/>
          <w:szCs w:val="20"/>
          <w:color w:val="auto"/>
        </w:rPr>
      </w:pPr>
      <w:r>
        <w:rPr>
          <w:rFonts w:ascii="Arial" w:cs="Arial" w:eastAsia="Arial" w:hAnsi="Arial"/>
          <w:sz w:val="18"/>
          <w:szCs w:val="18"/>
          <w:color w:val="58595B"/>
        </w:rPr>
        <w:t>In this compensation discussion and analysis, we provide an overview of our approach to compensating our named executive officers in 2025, including the objectives of our compensation programs and the principles upon which our compensation programs and decisions are based. Our named executive officers, and their titles, in 2025 were:</w:t>
      </w:r>
    </w:p>
    <w:p>
      <w:pPr>
        <w:spacing w:after="0" w:line="142" w:lineRule="exact"/>
        <w:rPr>
          <w:sz w:val="20"/>
          <w:szCs w:val="20"/>
          <w:color w:val="auto"/>
        </w:rPr>
      </w:pPr>
    </w:p>
    <w:p>
      <w:pPr>
        <w:ind w:left="1280" w:hanging="286"/>
        <w:spacing w:after="0"/>
        <w:tabs>
          <w:tab w:leader="none" w:pos="1280" w:val="left"/>
        </w:tabs>
        <w:numPr>
          <w:ilvl w:val="0"/>
          <w:numId w:val="41"/>
        </w:numPr>
        <w:rPr>
          <w:rFonts w:ascii="Arial" w:cs="Arial" w:eastAsia="Arial" w:hAnsi="Arial"/>
          <w:sz w:val="18"/>
          <w:szCs w:val="18"/>
          <w:color w:val="58595B"/>
        </w:rPr>
      </w:pPr>
      <w:r>
        <w:rPr>
          <w:rFonts w:ascii="Arial" w:cs="Arial" w:eastAsia="Arial" w:hAnsi="Arial"/>
          <w:sz w:val="18"/>
          <w:szCs w:val="18"/>
          <w:color w:val="58595B"/>
        </w:rPr>
        <w:t>Michael J. Nolan, Chief Executive Officer</w:t>
      </w:r>
    </w:p>
    <w:p>
      <w:pPr>
        <w:spacing w:after="0" w:line="187" w:lineRule="exact"/>
        <w:rPr>
          <w:rFonts w:ascii="Arial" w:cs="Arial" w:eastAsia="Arial" w:hAnsi="Arial"/>
          <w:sz w:val="18"/>
          <w:szCs w:val="18"/>
          <w:color w:val="58595B"/>
        </w:rPr>
      </w:pPr>
    </w:p>
    <w:p>
      <w:pPr>
        <w:ind w:left="1280" w:hanging="286"/>
        <w:spacing w:after="0"/>
        <w:tabs>
          <w:tab w:leader="none" w:pos="1280" w:val="left"/>
        </w:tabs>
        <w:numPr>
          <w:ilvl w:val="0"/>
          <w:numId w:val="41"/>
        </w:numPr>
        <w:rPr>
          <w:rFonts w:ascii="Arial" w:cs="Arial" w:eastAsia="Arial" w:hAnsi="Arial"/>
          <w:sz w:val="18"/>
          <w:szCs w:val="18"/>
          <w:color w:val="58595B"/>
        </w:rPr>
      </w:pPr>
      <w:r>
        <w:rPr>
          <w:rFonts w:ascii="Arial" w:cs="Arial" w:eastAsia="Arial" w:hAnsi="Arial"/>
          <w:sz w:val="18"/>
          <w:szCs w:val="18"/>
          <w:color w:val="58595B"/>
        </w:rPr>
        <w:t>Raymond R. Quirk, Executive Vice-Chairman of our Board</w:t>
      </w:r>
    </w:p>
    <w:p>
      <w:pPr>
        <w:spacing w:after="0" w:line="187" w:lineRule="exact"/>
        <w:rPr>
          <w:rFonts w:ascii="Arial" w:cs="Arial" w:eastAsia="Arial" w:hAnsi="Arial"/>
          <w:sz w:val="18"/>
          <w:szCs w:val="18"/>
          <w:color w:val="58595B"/>
        </w:rPr>
      </w:pPr>
    </w:p>
    <w:p>
      <w:pPr>
        <w:ind w:left="1280" w:hanging="286"/>
        <w:spacing w:after="0"/>
        <w:tabs>
          <w:tab w:leader="none" w:pos="1280" w:val="left"/>
        </w:tabs>
        <w:numPr>
          <w:ilvl w:val="0"/>
          <w:numId w:val="41"/>
        </w:numPr>
        <w:rPr>
          <w:rFonts w:ascii="Arial" w:cs="Arial" w:eastAsia="Arial" w:hAnsi="Arial"/>
          <w:sz w:val="18"/>
          <w:szCs w:val="18"/>
          <w:color w:val="58595B"/>
        </w:rPr>
      </w:pPr>
      <w:r>
        <w:rPr>
          <w:rFonts w:ascii="Arial" w:cs="Arial" w:eastAsia="Arial" w:hAnsi="Arial"/>
          <w:sz w:val="18"/>
          <w:szCs w:val="18"/>
          <w:color w:val="58595B"/>
        </w:rPr>
        <w:t>Anthony J. Park, Executive Vice President and Chief Financial Officer</w:t>
      </w:r>
    </w:p>
    <w:p>
      <w:pPr>
        <w:spacing w:after="0" w:line="187" w:lineRule="exact"/>
        <w:rPr>
          <w:rFonts w:ascii="Arial" w:cs="Arial" w:eastAsia="Arial" w:hAnsi="Arial"/>
          <w:sz w:val="18"/>
          <w:szCs w:val="18"/>
          <w:color w:val="58595B"/>
        </w:rPr>
      </w:pPr>
    </w:p>
    <w:p>
      <w:pPr>
        <w:ind w:left="1280" w:hanging="286"/>
        <w:spacing w:after="0"/>
        <w:tabs>
          <w:tab w:leader="none" w:pos="1280" w:val="left"/>
        </w:tabs>
        <w:numPr>
          <w:ilvl w:val="0"/>
          <w:numId w:val="41"/>
        </w:numPr>
        <w:rPr>
          <w:rFonts w:ascii="Arial" w:cs="Arial" w:eastAsia="Arial" w:hAnsi="Arial"/>
          <w:sz w:val="18"/>
          <w:szCs w:val="18"/>
          <w:color w:val="58595B"/>
        </w:rPr>
      </w:pPr>
      <w:r>
        <w:rPr>
          <w:rFonts w:ascii="Arial" w:cs="Arial" w:eastAsia="Arial" w:hAnsi="Arial"/>
          <w:sz w:val="18"/>
          <w:szCs w:val="18"/>
          <w:color w:val="58595B"/>
        </w:rPr>
        <w:t>Peter T. Sadowski, Executive Vice President and Chief Legal Officer</w:t>
      </w:r>
    </w:p>
    <w:p>
      <w:pPr>
        <w:spacing w:after="0" w:line="187" w:lineRule="exact"/>
        <w:rPr>
          <w:rFonts w:ascii="Arial" w:cs="Arial" w:eastAsia="Arial" w:hAnsi="Arial"/>
          <w:sz w:val="18"/>
          <w:szCs w:val="18"/>
          <w:color w:val="58595B"/>
        </w:rPr>
      </w:pPr>
    </w:p>
    <w:p>
      <w:pPr>
        <w:ind w:left="1280" w:hanging="286"/>
        <w:spacing w:after="0"/>
        <w:tabs>
          <w:tab w:leader="none" w:pos="1280" w:val="left"/>
        </w:tabs>
        <w:numPr>
          <w:ilvl w:val="0"/>
          <w:numId w:val="41"/>
        </w:numPr>
        <w:rPr>
          <w:rFonts w:ascii="Arial" w:cs="Arial" w:eastAsia="Arial" w:hAnsi="Arial"/>
          <w:sz w:val="18"/>
          <w:szCs w:val="18"/>
          <w:color w:val="58595B"/>
        </w:rPr>
      </w:pPr>
      <w:r>
        <w:rPr>
          <w:rFonts w:ascii="Arial" w:cs="Arial" w:eastAsia="Arial" w:hAnsi="Arial"/>
          <w:sz w:val="18"/>
          <w:szCs w:val="18"/>
          <w:color w:val="58595B"/>
        </w:rPr>
        <w:t>Michael L. Gravelle,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124460</wp:posOffset>
            </wp:positionV>
            <wp:extent cx="7144385" cy="297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33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508000</wp:posOffset>
            </wp:positionV>
            <wp:extent cx="7144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37" w:name="page38"/>
    <w:bookmarkEnd w:id="37"/>
    <w:p>
      <w:pPr>
        <w:ind w:left="1180"/>
        <w:spacing w:after="0"/>
        <w:rPr>
          <w:sz w:val="20"/>
          <w:szCs w:val="20"/>
          <w:color w:val="auto"/>
        </w:rPr>
      </w:pPr>
      <w:r>
        <w:rPr>
          <w:rFonts w:ascii="Arial" w:cs="Arial" w:eastAsia="Arial" w:hAnsi="Arial"/>
          <w:sz w:val="33"/>
          <w:szCs w:val="33"/>
          <w:b w:val="1"/>
          <w:bCs w:val="1"/>
          <w:color w:val="274F78"/>
        </w:rPr>
        <w:t>EXECUTIVE SUMMARY</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FINANCIAL HIGHLIGHTS</w:t>
      </w:r>
    </w:p>
    <w:p>
      <w:pPr>
        <w:spacing w:after="0" w:line="193" w:lineRule="exact"/>
        <w:rPr>
          <w:sz w:val="20"/>
          <w:szCs w:val="20"/>
          <w:color w:val="auto"/>
        </w:rPr>
      </w:pPr>
    </w:p>
    <w:p>
      <w:pPr>
        <w:ind w:left="1180" w:right="1000"/>
        <w:spacing w:after="0" w:line="235" w:lineRule="auto"/>
        <w:rPr>
          <w:sz w:val="20"/>
          <w:szCs w:val="20"/>
          <w:color w:val="auto"/>
        </w:rPr>
      </w:pPr>
      <w:r>
        <w:rPr>
          <w:rFonts w:ascii="Arial" w:cs="Arial" w:eastAsia="Arial" w:hAnsi="Arial"/>
          <w:sz w:val="18"/>
          <w:szCs w:val="18"/>
          <w:color w:val="58595B"/>
        </w:rPr>
        <w:t>FNF has a long history of delivering consistent, industry-leading results, driven by a steadfast focus on our customers and shareholders, a culture of employee excellence, and an ability to deliver outstanding performance even in a challenging market environment. FNF generated $14.4 billion of total revenue and $ 602 million of net earnings in 2025. Our strong performance is a testament to our experienced leadership team, strong balance sheet, and diversified business model. Our strong operating and financial performance led to significant returns to our shareholders, including $546 million of cash dividends, $251 million of treasury stock repurchases and $502 million of F&amp;G stock associated with the Second F&amp;G Distribution.</w:t>
      </w:r>
    </w:p>
    <w:p>
      <w:pPr>
        <w:spacing w:after="0" w:line="146" w:lineRule="exact"/>
        <w:rPr>
          <w:sz w:val="20"/>
          <w:szCs w:val="20"/>
          <w:color w:val="auto"/>
        </w:rPr>
      </w:pPr>
    </w:p>
    <w:p>
      <w:pPr>
        <w:ind w:left="1180" w:right="920"/>
        <w:spacing w:after="0" w:line="235" w:lineRule="auto"/>
        <w:rPr>
          <w:sz w:val="20"/>
          <w:szCs w:val="20"/>
          <w:color w:val="auto"/>
        </w:rPr>
      </w:pPr>
      <w:r>
        <w:rPr>
          <w:rFonts w:ascii="Arial" w:cs="Arial" w:eastAsia="Arial" w:hAnsi="Arial"/>
          <w:sz w:val="18"/>
          <w:szCs w:val="18"/>
          <w:color w:val="58595B"/>
        </w:rPr>
        <w:t>2025 saw a continuation of a historically challenging residential real estate market driven by a shortage in the supply of homes for sale, increasing home prices, varying mortgage interest rates, inflation, disrupted labor markets, and geopolitical uncertainties, coupled with a significantly improved commercial real estate market. Our management team has a proven track record of delivering strong results across varying economic cycles, resulting in FNF being well positioned to adjust our operations for adverse changes in real estate activity and to take advantage of increased volume when demand increases. Our Title business delivered $8.5 billion of total revenue in and an industry leading 15.9% adjusted pre-tax title margin.</w:t>
      </w:r>
    </w:p>
    <w:p>
      <w:pPr>
        <w:spacing w:after="0" w:line="146" w:lineRule="exact"/>
        <w:rPr>
          <w:sz w:val="20"/>
          <w:szCs w:val="20"/>
          <w:color w:val="auto"/>
        </w:rPr>
      </w:pPr>
    </w:p>
    <w:p>
      <w:pPr>
        <w:ind w:left="1180" w:right="1000"/>
        <w:spacing w:after="0" w:line="238" w:lineRule="auto"/>
        <w:rPr>
          <w:sz w:val="20"/>
          <w:szCs w:val="20"/>
          <w:color w:val="auto"/>
        </w:rPr>
      </w:pPr>
      <w:r>
        <w:rPr>
          <w:rFonts w:ascii="Arial" w:cs="Arial" w:eastAsia="Arial" w:hAnsi="Arial"/>
          <w:sz w:val="18"/>
          <w:szCs w:val="18"/>
          <w:color w:val="58595B"/>
        </w:rPr>
        <w:t>F&amp;G, our majority-owned subsidiary, continued to execute on its diversified growth strategy in 2025. F&amp;G's assets under management before flow reinsurance grew to $73.1 billion at year-end, up 12% over the prior year, while retained AUM reached $57.6 billion and gross sales were $ 14.6 billion in 2025. F&amp;G contributed 30% of FNF's consolidated adjusted net earnings in 2025, consistent with its average contribution over the past three years and reinforcing its role as an important and durable complement to our Title business.</w:t>
      </w:r>
    </w:p>
    <w:p>
      <w:pPr>
        <w:spacing w:after="0" w:line="144" w:lineRule="exact"/>
        <w:rPr>
          <w:sz w:val="20"/>
          <w:szCs w:val="20"/>
          <w:color w:val="auto"/>
        </w:rPr>
      </w:pPr>
    </w:p>
    <w:p>
      <w:pPr>
        <w:ind w:left="1180" w:right="900"/>
        <w:spacing w:after="0" w:line="235" w:lineRule="auto"/>
        <w:rPr>
          <w:sz w:val="20"/>
          <w:szCs w:val="20"/>
          <w:color w:val="auto"/>
        </w:rPr>
      </w:pPr>
      <w:r>
        <w:rPr>
          <w:rFonts w:ascii="Arial" w:cs="Arial" w:eastAsia="Arial" w:hAnsi="Arial"/>
          <w:sz w:val="18"/>
          <w:szCs w:val="18"/>
          <w:color w:val="58595B"/>
        </w:rPr>
        <w:t>As reflected in the following charts, over the past five years, we have delivered consistently strong consolidated revenue and earnings. We also remain focused on deploying capital to best maximize shareholder value through investments in our business and returning capital to our shareholders. In 2025, we invested $151 million in F&amp;G to help accelerate their retained asset growth and deployed $66 million across eight acquisitions to opportunistically expand our Title business through the market downturn. During the five-year period from January 1, 2021 through December 31, 2025, FNF returned approximately $2.5 billion to our shareholders in the form of cash dividends and approximately $1.3 billion through share repurchases.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200" w:type="dxa"/>
            <w:vAlign w:val="bottom"/>
          </w:tcPr>
          <w:p>
            <w:pPr>
              <w:spacing w:after="0"/>
              <w:rPr>
                <w:sz w:val="24"/>
                <w:szCs w:val="24"/>
                <w:color w:val="auto"/>
              </w:rPr>
            </w:pPr>
          </w:p>
        </w:tc>
        <w:tc>
          <w:tcPr>
            <w:tcW w:w="3600" w:type="dxa"/>
            <w:vAlign w:val="bottom"/>
            <w:tcBorders>
              <w:right w:val="single" w:sz="8" w:color="58595B"/>
            </w:tcBorders>
          </w:tcPr>
          <w:p>
            <w:pPr>
              <w:spacing w:after="0"/>
              <w:rPr>
                <w:sz w:val="24"/>
                <w:szCs w:val="24"/>
                <w:color w:val="auto"/>
              </w:rPr>
            </w:pPr>
          </w:p>
        </w:tc>
        <w:tc>
          <w:tcPr>
            <w:tcW w:w="1080" w:type="dxa"/>
            <w:vAlign w:val="bottom"/>
            <w:tcBorders>
              <w:bottom w:val="single" w:sz="8" w:color="244F78"/>
              <w:right w:val="single" w:sz="8" w:color="244F78"/>
            </w:tcBorders>
            <w:shd w:val="clear" w:color="auto" w:fill="244F78"/>
          </w:tcPr>
          <w:p>
            <w:pPr>
              <w:spacing w:after="0"/>
              <w:rPr>
                <w:sz w:val="24"/>
                <w:szCs w:val="24"/>
                <w:color w:val="auto"/>
              </w:rPr>
            </w:pPr>
          </w:p>
        </w:tc>
        <w:tc>
          <w:tcPr>
            <w:tcW w:w="3240" w:type="dxa"/>
            <w:vAlign w:val="bottom"/>
            <w:tcBorders>
              <w:bottom w:val="single" w:sz="8" w:color="244F78"/>
              <w:right w:val="single" w:sz="8" w:color="244F78"/>
            </w:tcBorders>
            <w:gridSpan w:val="3"/>
            <w:shd w:val="clear" w:color="auto" w:fill="244F78"/>
          </w:tcPr>
          <w:p>
            <w:pPr>
              <w:ind w:left="500"/>
              <w:spacing w:after="0"/>
              <w:rPr>
                <w:sz w:val="20"/>
                <w:szCs w:val="20"/>
                <w:color w:val="auto"/>
              </w:rPr>
            </w:pPr>
            <w:r>
              <w:rPr>
                <w:rFonts w:ascii="Arial" w:cs="Arial" w:eastAsia="Arial" w:hAnsi="Arial"/>
                <w:sz w:val="18"/>
                <w:szCs w:val="18"/>
                <w:b w:val="1"/>
                <w:bCs w:val="1"/>
                <w:color w:val="FFFFFF"/>
              </w:rPr>
              <w:t>Year ended December 31,</w:t>
            </w:r>
          </w:p>
        </w:tc>
        <w:tc>
          <w:tcPr>
            <w:tcW w:w="1060" w:type="dxa"/>
            <w:vAlign w:val="bottom"/>
            <w:tcBorders>
              <w:bottom w:val="single" w:sz="8" w:color="244F78"/>
              <w:right w:val="single" w:sz="8" w:color="58595B"/>
            </w:tcBorders>
            <w:shd w:val="clear" w:color="auto" w:fill="244F78"/>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3600" w:type="dxa"/>
            <w:vAlign w:val="bottom"/>
            <w:tcBorders>
              <w:right w:val="single" w:sz="8" w:color="58595B"/>
            </w:tcBorders>
          </w:tcPr>
          <w:p>
            <w:pPr>
              <w:spacing w:after="0"/>
              <w:rPr>
                <w:sz w:val="24"/>
                <w:szCs w:val="24"/>
                <w:color w:val="auto"/>
              </w:rPr>
            </w:pPr>
          </w:p>
        </w:tc>
        <w:tc>
          <w:tcPr>
            <w:tcW w:w="1080" w:type="dxa"/>
            <w:vAlign w:val="bottom"/>
            <w:tcBorders>
              <w:bottom w:val="single" w:sz="8" w:color="BABCBE"/>
              <w:right w:val="single" w:sz="8" w:color="58595B"/>
            </w:tcBorders>
            <w:shd w:val="clear" w:color="auto" w:fill="BABCBE"/>
          </w:tcPr>
          <w:p>
            <w:pPr>
              <w:jc w:val="center"/>
              <w:spacing w:after="0"/>
              <w:rPr>
                <w:sz w:val="20"/>
                <w:szCs w:val="20"/>
                <w:color w:val="auto"/>
              </w:rPr>
            </w:pPr>
            <w:r>
              <w:rPr>
                <w:rFonts w:ascii="Arial" w:cs="Arial" w:eastAsia="Arial" w:hAnsi="Arial"/>
                <w:sz w:val="15"/>
                <w:szCs w:val="15"/>
                <w:b w:val="1"/>
                <w:bCs w:val="1"/>
                <w:color w:val="FFFFFF"/>
              </w:rPr>
              <w:t>2021</w:t>
            </w:r>
          </w:p>
        </w:tc>
        <w:tc>
          <w:tcPr>
            <w:tcW w:w="1080" w:type="dxa"/>
            <w:vAlign w:val="bottom"/>
            <w:tcBorders>
              <w:bottom w:val="single" w:sz="8" w:color="BABCBE"/>
              <w:right w:val="single" w:sz="8" w:color="58595B"/>
            </w:tcBorders>
            <w:shd w:val="clear" w:color="auto" w:fill="BABCBE"/>
          </w:tcPr>
          <w:p>
            <w:pPr>
              <w:jc w:val="center"/>
              <w:spacing w:after="0"/>
              <w:rPr>
                <w:sz w:val="20"/>
                <w:szCs w:val="20"/>
                <w:color w:val="auto"/>
              </w:rPr>
            </w:pPr>
            <w:r>
              <w:rPr>
                <w:rFonts w:ascii="Arial" w:cs="Arial" w:eastAsia="Arial" w:hAnsi="Arial"/>
                <w:sz w:val="15"/>
                <w:szCs w:val="15"/>
                <w:b w:val="1"/>
                <w:bCs w:val="1"/>
                <w:color w:val="FFFFFF"/>
              </w:rPr>
              <w:t>2022</w:t>
            </w:r>
          </w:p>
        </w:tc>
        <w:tc>
          <w:tcPr>
            <w:tcW w:w="1080" w:type="dxa"/>
            <w:vAlign w:val="bottom"/>
            <w:tcBorders>
              <w:bottom w:val="single" w:sz="8" w:color="BABCBE"/>
              <w:right w:val="single" w:sz="8" w:color="58595B"/>
            </w:tcBorders>
            <w:shd w:val="clear" w:color="auto" w:fill="BABCBE"/>
          </w:tcPr>
          <w:p>
            <w:pPr>
              <w:jc w:val="center"/>
              <w:spacing w:after="0"/>
              <w:rPr>
                <w:sz w:val="20"/>
                <w:szCs w:val="20"/>
                <w:color w:val="auto"/>
              </w:rPr>
            </w:pPr>
            <w:r>
              <w:rPr>
                <w:rFonts w:ascii="Arial" w:cs="Arial" w:eastAsia="Arial" w:hAnsi="Arial"/>
                <w:sz w:val="15"/>
                <w:szCs w:val="15"/>
                <w:b w:val="1"/>
                <w:bCs w:val="1"/>
                <w:color w:val="FFFFFF"/>
              </w:rPr>
              <w:t>2023</w:t>
            </w:r>
          </w:p>
        </w:tc>
        <w:tc>
          <w:tcPr>
            <w:tcW w:w="1080" w:type="dxa"/>
            <w:vAlign w:val="bottom"/>
            <w:tcBorders>
              <w:bottom w:val="single" w:sz="8" w:color="BABCBE"/>
              <w:right w:val="single" w:sz="8" w:color="58595B"/>
            </w:tcBorders>
            <w:shd w:val="clear" w:color="auto" w:fill="BABCBE"/>
          </w:tcPr>
          <w:p>
            <w:pPr>
              <w:jc w:val="center"/>
              <w:spacing w:after="0"/>
              <w:rPr>
                <w:sz w:val="20"/>
                <w:szCs w:val="20"/>
                <w:color w:val="auto"/>
              </w:rPr>
            </w:pPr>
            <w:r>
              <w:rPr>
                <w:rFonts w:ascii="Arial" w:cs="Arial" w:eastAsia="Arial" w:hAnsi="Arial"/>
                <w:sz w:val="15"/>
                <w:szCs w:val="15"/>
                <w:b w:val="1"/>
                <w:bCs w:val="1"/>
                <w:color w:val="FFFFFF"/>
                <w:w w:val="95"/>
              </w:rPr>
              <w:t>2024</w:t>
            </w:r>
          </w:p>
        </w:tc>
        <w:tc>
          <w:tcPr>
            <w:tcW w:w="1060" w:type="dxa"/>
            <w:vAlign w:val="bottom"/>
            <w:tcBorders>
              <w:bottom w:val="single" w:sz="8" w:color="BABCBE"/>
              <w:right w:val="single" w:sz="8" w:color="58595B"/>
            </w:tcBorders>
            <w:shd w:val="clear" w:color="auto" w:fill="BABCBE"/>
          </w:tcPr>
          <w:p>
            <w:pPr>
              <w:jc w:val="center"/>
              <w:spacing w:after="0"/>
              <w:rPr>
                <w:sz w:val="20"/>
                <w:szCs w:val="20"/>
                <w:color w:val="auto"/>
              </w:rPr>
            </w:pPr>
            <w:r>
              <w:rPr>
                <w:rFonts w:ascii="Arial" w:cs="Arial" w:eastAsia="Arial" w:hAnsi="Arial"/>
                <w:sz w:val="15"/>
                <w:szCs w:val="15"/>
                <w:b w:val="1"/>
                <w:bCs w:val="1"/>
                <w:color w:val="FFFFFF"/>
                <w:w w:val="95"/>
              </w:rPr>
              <w:t>2025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58595B"/>
            </w:tcBorders>
          </w:tcPr>
          <w:p>
            <w:pPr>
              <w:spacing w:after="0"/>
              <w:rPr>
                <w:sz w:val="18"/>
                <w:szCs w:val="18"/>
                <w:color w:val="auto"/>
              </w:rPr>
            </w:pPr>
          </w:p>
        </w:tc>
        <w:tc>
          <w:tcPr>
            <w:tcW w:w="3600" w:type="dxa"/>
            <w:vAlign w:val="bottom"/>
            <w:tcBorders>
              <w:top w:val="single" w:sz="8" w:color="58595B"/>
              <w:right w:val="single" w:sz="8" w:color="58595B"/>
            </w:tcBorders>
          </w:tcPr>
          <w:p>
            <w:pPr>
              <w:ind w:left="120"/>
              <w:spacing w:after="0"/>
              <w:rPr>
                <w:sz w:val="20"/>
                <w:szCs w:val="20"/>
                <w:color w:val="auto"/>
              </w:rPr>
            </w:pPr>
            <w:r>
              <w:rPr>
                <w:rFonts w:ascii="Arial" w:cs="Arial" w:eastAsia="Arial" w:hAnsi="Arial"/>
                <w:sz w:val="15"/>
                <w:szCs w:val="15"/>
                <w:i w:val="1"/>
                <w:iCs w:val="1"/>
                <w:color w:val="58585A"/>
              </w:rPr>
              <w:t>Total Revenue Excluding Valuation Gains/Losses</w:t>
            </w:r>
          </w:p>
        </w:tc>
        <w:tc>
          <w:tcPr>
            <w:tcW w:w="1080" w:type="dxa"/>
            <w:vAlign w:val="bottom"/>
            <w:tcBorders>
              <w:top w:val="single" w:sz="8" w:color="58595B"/>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9"/>
              </w:rPr>
              <w:t>$15,908</w:t>
            </w:r>
          </w:p>
        </w:tc>
        <w:tc>
          <w:tcPr>
            <w:tcW w:w="1080" w:type="dxa"/>
            <w:vAlign w:val="bottom"/>
            <w:tcBorders>
              <w:top w:val="single" w:sz="8" w:color="58595B"/>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9"/>
              </w:rPr>
              <w:t>$12,512</w:t>
            </w:r>
          </w:p>
        </w:tc>
        <w:tc>
          <w:tcPr>
            <w:tcW w:w="1080" w:type="dxa"/>
            <w:vAlign w:val="bottom"/>
            <w:tcBorders>
              <w:top w:val="single" w:sz="8" w:color="58595B"/>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9"/>
              </w:rPr>
              <w:t>$11,364</w:t>
            </w:r>
          </w:p>
        </w:tc>
        <w:tc>
          <w:tcPr>
            <w:tcW w:w="1080" w:type="dxa"/>
            <w:vAlign w:val="bottom"/>
            <w:tcBorders>
              <w:top w:val="single" w:sz="8" w:color="58595B"/>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9"/>
              </w:rPr>
              <w:t>$13,870</w:t>
            </w:r>
          </w:p>
        </w:tc>
        <w:tc>
          <w:tcPr>
            <w:tcW w:w="1060" w:type="dxa"/>
            <w:vAlign w:val="bottom"/>
            <w:tcBorders>
              <w:top w:val="single" w:sz="8" w:color="58595B"/>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9"/>
              </w:rPr>
              <w:t>$14,285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200" w:type="dxa"/>
            <w:vAlign w:val="bottom"/>
            <w:tcBorders>
              <w:right w:val="single" w:sz="8" w:color="58595B"/>
            </w:tcBorders>
          </w:tcPr>
          <w:p>
            <w:pPr>
              <w:spacing w:after="0"/>
              <w:rPr>
                <w:sz w:val="9"/>
                <w:szCs w:val="9"/>
                <w:color w:val="auto"/>
              </w:rPr>
            </w:pPr>
          </w:p>
        </w:tc>
        <w:tc>
          <w:tcPr>
            <w:tcW w:w="3600" w:type="dxa"/>
            <w:vAlign w:val="bottom"/>
            <w:tcBorders>
              <w:right w:val="single" w:sz="8" w:color="58595B"/>
            </w:tcBorders>
            <w:vMerge w:val="restart"/>
          </w:tcPr>
          <w:p>
            <w:pPr>
              <w:ind w:left="120"/>
              <w:spacing w:after="0"/>
              <w:rPr>
                <w:sz w:val="20"/>
                <w:szCs w:val="20"/>
                <w:color w:val="auto"/>
              </w:rPr>
            </w:pPr>
            <w:r>
              <w:rPr>
                <w:rFonts w:ascii="Arial" w:cs="Arial" w:eastAsia="Arial" w:hAnsi="Arial"/>
                <w:sz w:val="15"/>
                <w:szCs w:val="15"/>
                <w:i w:val="1"/>
                <w:iCs w:val="1"/>
                <w:color w:val="58585A"/>
              </w:rPr>
              <w:t>(in millions)</w:t>
            </w: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60" w:type="dxa"/>
            <w:vAlign w:val="bottom"/>
            <w:tcBorders>
              <w:right w:val="single" w:sz="8" w:color="58595B"/>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200" w:type="dxa"/>
            <w:vAlign w:val="bottom"/>
            <w:tcBorders>
              <w:right w:val="single" w:sz="8" w:color="58595B"/>
            </w:tcBorders>
          </w:tcPr>
          <w:p>
            <w:pPr>
              <w:spacing w:after="0"/>
              <w:rPr>
                <w:sz w:val="7"/>
                <w:szCs w:val="7"/>
                <w:color w:val="auto"/>
              </w:rPr>
            </w:pPr>
          </w:p>
        </w:tc>
        <w:tc>
          <w:tcPr>
            <w:tcW w:w="3600" w:type="dxa"/>
            <w:vAlign w:val="bottom"/>
            <w:tcBorders>
              <w:right w:val="single" w:sz="8" w:color="58595B"/>
            </w:tcBorders>
            <w:vMerge w:val="continue"/>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60" w:type="dxa"/>
            <w:vAlign w:val="bottom"/>
            <w:tcBorders>
              <w:right w:val="single" w:sz="8" w:color="58595B"/>
            </w:tcBorders>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200" w:type="dxa"/>
            <w:vAlign w:val="bottom"/>
            <w:tcBorders>
              <w:right w:val="single" w:sz="8" w:color="58595B"/>
            </w:tcBorders>
          </w:tcPr>
          <w:p>
            <w:pPr>
              <w:spacing w:after="0"/>
              <w:rPr>
                <w:sz w:val="4"/>
                <w:szCs w:val="4"/>
                <w:color w:val="auto"/>
              </w:rPr>
            </w:pPr>
          </w:p>
        </w:tc>
        <w:tc>
          <w:tcPr>
            <w:tcW w:w="360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60" w:type="dxa"/>
            <w:vAlign w:val="bottom"/>
            <w:tcBorders>
              <w:bottom w:val="single" w:sz="8" w:color="58595B"/>
              <w:right w:val="single" w:sz="8" w:color="58595B"/>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58595B"/>
            </w:tcBorders>
          </w:tcPr>
          <w:p>
            <w:pPr>
              <w:spacing w:after="0"/>
              <w:rPr>
                <w:sz w:val="18"/>
                <w:szCs w:val="18"/>
                <w:color w:val="auto"/>
              </w:rPr>
            </w:pPr>
          </w:p>
        </w:tc>
        <w:tc>
          <w:tcPr>
            <w:tcW w:w="3600" w:type="dxa"/>
            <w:vAlign w:val="bottom"/>
            <w:tcBorders>
              <w:right w:val="single" w:sz="8" w:color="58595B"/>
            </w:tcBorders>
          </w:tcPr>
          <w:p>
            <w:pPr>
              <w:ind w:left="120"/>
              <w:spacing w:after="0"/>
              <w:rPr>
                <w:sz w:val="20"/>
                <w:szCs w:val="20"/>
                <w:color w:val="auto"/>
              </w:rPr>
            </w:pPr>
            <w:r>
              <w:rPr>
                <w:rFonts w:ascii="Arial" w:cs="Arial" w:eastAsia="Arial" w:hAnsi="Arial"/>
                <w:sz w:val="15"/>
                <w:szCs w:val="15"/>
                <w:i w:val="1"/>
                <w:iCs w:val="1"/>
                <w:color w:val="58585A"/>
              </w:rPr>
              <w:t>Net Earnings from Continuing Operations (in</w:t>
            </w:r>
          </w:p>
        </w:tc>
        <w:tc>
          <w:tcPr>
            <w:tcW w:w="10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85A"/>
              </w:rPr>
              <w:t>$2,809</w:t>
            </w:r>
          </w:p>
        </w:tc>
        <w:tc>
          <w:tcPr>
            <w:tcW w:w="10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85A"/>
              </w:rPr>
              <w:t>$1,306</w:t>
            </w:r>
          </w:p>
        </w:tc>
        <w:tc>
          <w:tcPr>
            <w:tcW w:w="10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85A"/>
              </w:rPr>
              <w:t>$518</w:t>
            </w:r>
          </w:p>
        </w:tc>
        <w:tc>
          <w:tcPr>
            <w:tcW w:w="10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5"/>
              </w:rPr>
              <w:t>$1,391</w:t>
            </w:r>
          </w:p>
        </w:tc>
        <w:tc>
          <w:tcPr>
            <w:tcW w:w="10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85A"/>
                <w:w w:val="95"/>
              </w:rPr>
              <w:t>$679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200" w:type="dxa"/>
            <w:vAlign w:val="bottom"/>
            <w:tcBorders>
              <w:right w:val="single" w:sz="8" w:color="58595B"/>
            </w:tcBorders>
          </w:tcPr>
          <w:p>
            <w:pPr>
              <w:spacing w:after="0"/>
              <w:rPr>
                <w:sz w:val="9"/>
                <w:szCs w:val="9"/>
                <w:color w:val="auto"/>
              </w:rPr>
            </w:pPr>
          </w:p>
        </w:tc>
        <w:tc>
          <w:tcPr>
            <w:tcW w:w="3600" w:type="dxa"/>
            <w:vAlign w:val="bottom"/>
            <w:tcBorders>
              <w:right w:val="single" w:sz="8" w:color="58595B"/>
            </w:tcBorders>
            <w:vMerge w:val="restart"/>
          </w:tcPr>
          <w:p>
            <w:pPr>
              <w:ind w:left="120"/>
              <w:spacing w:after="0"/>
              <w:rPr>
                <w:sz w:val="20"/>
                <w:szCs w:val="20"/>
                <w:color w:val="auto"/>
              </w:rPr>
            </w:pPr>
            <w:r>
              <w:rPr>
                <w:rFonts w:ascii="Arial" w:cs="Arial" w:eastAsia="Arial" w:hAnsi="Arial"/>
                <w:sz w:val="15"/>
                <w:szCs w:val="15"/>
                <w:i w:val="1"/>
                <w:iCs w:val="1"/>
                <w:color w:val="58585A"/>
              </w:rPr>
              <w:t>millions)</w:t>
            </w: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80" w:type="dxa"/>
            <w:vAlign w:val="bottom"/>
            <w:tcBorders>
              <w:right w:val="single" w:sz="8" w:color="58595B"/>
            </w:tcBorders>
            <w:vMerge w:val="continue"/>
          </w:tcPr>
          <w:p>
            <w:pPr>
              <w:spacing w:after="0"/>
              <w:rPr>
                <w:sz w:val="9"/>
                <w:szCs w:val="9"/>
                <w:color w:val="auto"/>
              </w:rPr>
            </w:pPr>
          </w:p>
        </w:tc>
        <w:tc>
          <w:tcPr>
            <w:tcW w:w="1060" w:type="dxa"/>
            <w:vAlign w:val="bottom"/>
            <w:tcBorders>
              <w:right w:val="single" w:sz="8" w:color="58595B"/>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200" w:type="dxa"/>
            <w:vAlign w:val="bottom"/>
            <w:tcBorders>
              <w:right w:val="single" w:sz="8" w:color="58595B"/>
            </w:tcBorders>
          </w:tcPr>
          <w:p>
            <w:pPr>
              <w:spacing w:after="0"/>
              <w:rPr>
                <w:sz w:val="7"/>
                <w:szCs w:val="7"/>
                <w:color w:val="auto"/>
              </w:rPr>
            </w:pPr>
          </w:p>
        </w:tc>
        <w:tc>
          <w:tcPr>
            <w:tcW w:w="3600" w:type="dxa"/>
            <w:vAlign w:val="bottom"/>
            <w:tcBorders>
              <w:right w:val="single" w:sz="8" w:color="58595B"/>
            </w:tcBorders>
            <w:vMerge w:val="continue"/>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80" w:type="dxa"/>
            <w:vAlign w:val="bottom"/>
            <w:tcBorders>
              <w:right w:val="single" w:sz="8" w:color="58595B"/>
            </w:tcBorders>
          </w:tcPr>
          <w:p>
            <w:pPr>
              <w:spacing w:after="0"/>
              <w:rPr>
                <w:sz w:val="7"/>
                <w:szCs w:val="7"/>
                <w:color w:val="auto"/>
              </w:rPr>
            </w:pPr>
          </w:p>
        </w:tc>
        <w:tc>
          <w:tcPr>
            <w:tcW w:w="1060" w:type="dxa"/>
            <w:vAlign w:val="bottom"/>
            <w:tcBorders>
              <w:right w:val="single" w:sz="8" w:color="58595B"/>
            </w:tcBorders>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200" w:type="dxa"/>
            <w:vAlign w:val="bottom"/>
            <w:tcBorders>
              <w:right w:val="single" w:sz="8" w:color="58595B"/>
            </w:tcBorders>
          </w:tcPr>
          <w:p>
            <w:pPr>
              <w:spacing w:after="0"/>
              <w:rPr>
                <w:sz w:val="4"/>
                <w:szCs w:val="4"/>
                <w:color w:val="auto"/>
              </w:rPr>
            </w:pPr>
          </w:p>
        </w:tc>
        <w:tc>
          <w:tcPr>
            <w:tcW w:w="360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60" w:type="dxa"/>
            <w:vAlign w:val="bottom"/>
            <w:tcBorders>
              <w:bottom w:val="single" w:sz="8" w:color="58595B"/>
              <w:right w:val="single" w:sz="8" w:color="58595B"/>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200" w:type="dxa"/>
            <w:vAlign w:val="bottom"/>
            <w:tcBorders>
              <w:right w:val="single" w:sz="8" w:color="58595B"/>
            </w:tcBorders>
          </w:tcPr>
          <w:p>
            <w:pPr>
              <w:spacing w:after="0"/>
              <w:rPr>
                <w:sz w:val="20"/>
                <w:szCs w:val="20"/>
                <w:color w:val="auto"/>
              </w:rPr>
            </w:pPr>
          </w:p>
        </w:tc>
        <w:tc>
          <w:tcPr>
            <w:tcW w:w="3600" w:type="dxa"/>
            <w:vAlign w:val="bottom"/>
            <w:tcBorders>
              <w:right w:val="single" w:sz="8" w:color="58595B"/>
            </w:tcBorders>
          </w:tcPr>
          <w:p>
            <w:pPr>
              <w:ind w:left="120"/>
              <w:spacing w:after="0"/>
              <w:rPr>
                <w:sz w:val="20"/>
                <w:szCs w:val="20"/>
                <w:color w:val="auto"/>
              </w:rPr>
            </w:pPr>
            <w:r>
              <w:rPr>
                <w:rFonts w:ascii="Arial" w:cs="Arial" w:eastAsia="Arial" w:hAnsi="Arial"/>
                <w:sz w:val="15"/>
                <w:szCs w:val="15"/>
                <w:i w:val="1"/>
                <w:iCs w:val="1"/>
                <w:color w:val="58585A"/>
              </w:rPr>
              <w:t>Adjusted Title Revenue (in millions)</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5"/>
              </w:rPr>
              <w:t>$11,890</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rPr>
              <w:t>$9,549</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rPr>
              <w:t>$7,047</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5"/>
              </w:rPr>
              <w:t>$7,708</w:t>
            </w:r>
          </w:p>
        </w:tc>
        <w:tc>
          <w:tcPr>
            <w:tcW w:w="10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rPr>
              <w:t>$8,568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200" w:type="dxa"/>
            <w:vAlign w:val="bottom"/>
            <w:tcBorders>
              <w:right w:val="single" w:sz="8" w:color="58595B"/>
            </w:tcBorders>
          </w:tcPr>
          <w:p>
            <w:pPr>
              <w:spacing w:after="0"/>
              <w:rPr>
                <w:sz w:val="4"/>
                <w:szCs w:val="4"/>
                <w:color w:val="auto"/>
              </w:rPr>
            </w:pPr>
          </w:p>
        </w:tc>
        <w:tc>
          <w:tcPr>
            <w:tcW w:w="360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60" w:type="dxa"/>
            <w:vAlign w:val="bottom"/>
            <w:tcBorders>
              <w:bottom w:val="single" w:sz="8" w:color="58595B"/>
              <w:right w:val="single" w:sz="8" w:color="58595B"/>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200" w:type="dxa"/>
            <w:vAlign w:val="bottom"/>
            <w:tcBorders>
              <w:right w:val="single" w:sz="8" w:color="58595B"/>
            </w:tcBorders>
          </w:tcPr>
          <w:p>
            <w:pPr>
              <w:spacing w:after="0"/>
              <w:rPr>
                <w:sz w:val="20"/>
                <w:szCs w:val="20"/>
                <w:color w:val="auto"/>
              </w:rPr>
            </w:pPr>
          </w:p>
        </w:tc>
        <w:tc>
          <w:tcPr>
            <w:tcW w:w="3600" w:type="dxa"/>
            <w:vAlign w:val="bottom"/>
            <w:tcBorders>
              <w:right w:val="single" w:sz="8" w:color="58595B"/>
            </w:tcBorders>
          </w:tcPr>
          <w:p>
            <w:pPr>
              <w:ind w:left="120"/>
              <w:spacing w:after="0"/>
              <w:rPr>
                <w:sz w:val="20"/>
                <w:szCs w:val="20"/>
                <w:color w:val="auto"/>
              </w:rPr>
            </w:pPr>
            <w:r>
              <w:rPr>
                <w:rFonts w:ascii="Arial" w:cs="Arial" w:eastAsia="Arial" w:hAnsi="Arial"/>
                <w:sz w:val="15"/>
                <w:szCs w:val="15"/>
                <w:i w:val="1"/>
                <w:iCs w:val="1"/>
                <w:color w:val="58585A"/>
              </w:rPr>
              <w:t>Adjusted Pre-Tax Margin</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8"/>
              </w:rPr>
              <w:t>21.7%</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8"/>
              </w:rPr>
              <w:t>16.7%</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8"/>
              </w:rPr>
              <w:t>13.7%</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8"/>
              </w:rPr>
              <w:t>15.1%</w:t>
            </w:r>
          </w:p>
        </w:tc>
        <w:tc>
          <w:tcPr>
            <w:tcW w:w="10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85A"/>
                <w:w w:val="98"/>
              </w:rPr>
              <w:t>15.9%</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200" w:type="dxa"/>
            <w:vAlign w:val="bottom"/>
            <w:tcBorders>
              <w:right w:val="single" w:sz="8" w:color="58595B"/>
            </w:tcBorders>
          </w:tcPr>
          <w:p>
            <w:pPr>
              <w:spacing w:after="0"/>
              <w:rPr>
                <w:sz w:val="4"/>
                <w:szCs w:val="4"/>
                <w:color w:val="auto"/>
              </w:rPr>
            </w:pPr>
          </w:p>
        </w:tc>
        <w:tc>
          <w:tcPr>
            <w:tcW w:w="360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060" w:type="dxa"/>
            <w:vAlign w:val="bottom"/>
            <w:tcBorders>
              <w:bottom w:val="single" w:sz="8" w:color="58595B"/>
              <w:right w:val="single" w:sz="8" w:color="58595B"/>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4800" w:type="dxa"/>
            <w:vAlign w:val="bottom"/>
            <w:tcBorders>
              <w:right w:val="single" w:sz="8" w:color="5B769B"/>
            </w:tcBorders>
            <w:gridSpan w:val="2"/>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1080" w:type="dxa"/>
            <w:vAlign w:val="bottom"/>
            <w:tcBorders>
              <w:right w:val="single" w:sz="8" w:color="5B769B"/>
            </w:tcBorders>
            <w:shd w:val="clear" w:color="auto" w:fill="5B769B"/>
          </w:tcPr>
          <w:p>
            <w:pPr>
              <w:spacing w:after="0"/>
              <w:rPr>
                <w:sz w:val="24"/>
                <w:szCs w:val="24"/>
                <w:color w:val="auto"/>
              </w:rPr>
            </w:pPr>
          </w:p>
        </w:tc>
        <w:tc>
          <w:tcPr>
            <w:tcW w:w="1080" w:type="dxa"/>
            <w:vAlign w:val="bottom"/>
            <w:tcBorders>
              <w:right w:val="single" w:sz="8" w:color="5B769B"/>
            </w:tcBorders>
            <w:shd w:val="clear" w:color="auto" w:fill="5B769B"/>
          </w:tcPr>
          <w:p>
            <w:pPr>
              <w:spacing w:after="0"/>
              <w:rPr>
                <w:sz w:val="24"/>
                <w:szCs w:val="24"/>
                <w:color w:val="auto"/>
              </w:rPr>
            </w:pPr>
          </w:p>
        </w:tc>
        <w:tc>
          <w:tcPr>
            <w:tcW w:w="1080" w:type="dxa"/>
            <w:vAlign w:val="bottom"/>
            <w:tcBorders>
              <w:right w:val="single" w:sz="8" w:color="5B769B"/>
            </w:tcBorders>
            <w:shd w:val="clear" w:color="auto" w:fill="5B769B"/>
          </w:tcPr>
          <w:p>
            <w:pPr>
              <w:spacing w:after="0"/>
              <w:rPr>
                <w:sz w:val="24"/>
                <w:szCs w:val="24"/>
                <w:color w:val="auto"/>
              </w:rPr>
            </w:pPr>
          </w:p>
        </w:tc>
        <w:tc>
          <w:tcPr>
            <w:tcW w:w="1080" w:type="dxa"/>
            <w:vAlign w:val="bottom"/>
            <w:tcBorders>
              <w:right w:val="single" w:sz="8" w:color="5B769B"/>
            </w:tcBorders>
            <w:shd w:val="clear" w:color="auto" w:fill="5B769B"/>
          </w:tcPr>
          <w:p>
            <w:pPr>
              <w:spacing w:after="0"/>
              <w:rPr>
                <w:sz w:val="24"/>
                <w:szCs w:val="24"/>
                <w:color w:val="auto"/>
              </w:rPr>
            </w:pPr>
          </w:p>
        </w:tc>
        <w:tc>
          <w:tcPr>
            <w:tcW w:w="2120" w:type="dxa"/>
            <w:vAlign w:val="bottom"/>
            <w:gridSpan w:val="2"/>
            <w:shd w:val="clear" w:color="auto" w:fill="5B769B"/>
          </w:tcPr>
          <w:p>
            <w:pPr>
              <w:jc w:val="right"/>
              <w:ind w:right="340"/>
              <w:spacing w:after="0"/>
              <w:rPr>
                <w:sz w:val="20"/>
                <w:szCs w:val="20"/>
                <w:color w:val="auto"/>
              </w:rPr>
            </w:pPr>
            <w:r>
              <w:rPr>
                <w:rFonts w:ascii="Arial" w:cs="Arial" w:eastAsia="Arial" w:hAnsi="Arial"/>
                <w:sz w:val="18"/>
                <w:szCs w:val="18"/>
                <w:color w:val="FFFFFF"/>
              </w:rPr>
              <w:t>34</w:t>
            </w:r>
          </w:p>
        </w:tc>
        <w:tc>
          <w:tcPr>
            <w:tcW w:w="0" w:type="dxa"/>
            <w:vAlign w:val="bottom"/>
          </w:tcPr>
          <w:p>
            <w:pPr>
              <w:spacing w:after="0"/>
              <w:rPr>
                <w:sz w:val="1"/>
                <w:szCs w:val="1"/>
                <w:color w:val="auto"/>
              </w:rPr>
            </w:pPr>
          </w:p>
        </w:tc>
      </w:tr>
      <w:tr>
        <w:trPr>
          <w:trHeight w:val="139"/>
        </w:trPr>
        <w:tc>
          <w:tcPr>
            <w:tcW w:w="1200" w:type="dxa"/>
            <w:vAlign w:val="bottom"/>
            <w:tcBorders>
              <w:right w:val="single" w:sz="8" w:color="5B769B"/>
            </w:tcBorders>
            <w:shd w:val="clear" w:color="auto" w:fill="5B769B"/>
          </w:tcPr>
          <w:p>
            <w:pPr>
              <w:spacing w:after="0"/>
              <w:rPr>
                <w:sz w:val="12"/>
                <w:szCs w:val="12"/>
                <w:color w:val="auto"/>
              </w:rPr>
            </w:pPr>
          </w:p>
        </w:tc>
        <w:tc>
          <w:tcPr>
            <w:tcW w:w="3600" w:type="dxa"/>
            <w:vAlign w:val="bottom"/>
            <w:tcBorders>
              <w:right w:val="single" w:sz="8" w:color="5B769B"/>
            </w:tcBorders>
            <w:shd w:val="clear" w:color="auto" w:fill="5B769B"/>
          </w:tcPr>
          <w:p>
            <w:pPr>
              <w:spacing w:after="0"/>
              <w:rPr>
                <w:sz w:val="12"/>
                <w:szCs w:val="12"/>
                <w:color w:val="auto"/>
              </w:rPr>
            </w:pPr>
          </w:p>
        </w:tc>
        <w:tc>
          <w:tcPr>
            <w:tcW w:w="1080" w:type="dxa"/>
            <w:vAlign w:val="bottom"/>
            <w:tcBorders>
              <w:right w:val="single" w:sz="8" w:color="5B769B"/>
            </w:tcBorders>
            <w:shd w:val="clear" w:color="auto" w:fill="5B769B"/>
          </w:tcPr>
          <w:p>
            <w:pPr>
              <w:spacing w:after="0"/>
              <w:rPr>
                <w:sz w:val="12"/>
                <w:szCs w:val="12"/>
                <w:color w:val="auto"/>
              </w:rPr>
            </w:pPr>
          </w:p>
        </w:tc>
        <w:tc>
          <w:tcPr>
            <w:tcW w:w="1080" w:type="dxa"/>
            <w:vAlign w:val="bottom"/>
            <w:tcBorders>
              <w:right w:val="single" w:sz="8" w:color="5B769B"/>
            </w:tcBorders>
            <w:shd w:val="clear" w:color="auto" w:fill="5B769B"/>
          </w:tcPr>
          <w:p>
            <w:pPr>
              <w:spacing w:after="0"/>
              <w:rPr>
                <w:sz w:val="12"/>
                <w:szCs w:val="12"/>
                <w:color w:val="auto"/>
              </w:rPr>
            </w:pPr>
          </w:p>
        </w:tc>
        <w:tc>
          <w:tcPr>
            <w:tcW w:w="1080" w:type="dxa"/>
            <w:vAlign w:val="bottom"/>
            <w:tcBorders>
              <w:right w:val="single" w:sz="8" w:color="5B769B"/>
            </w:tcBorders>
            <w:shd w:val="clear" w:color="auto" w:fill="5B769B"/>
          </w:tcPr>
          <w:p>
            <w:pPr>
              <w:spacing w:after="0"/>
              <w:rPr>
                <w:sz w:val="12"/>
                <w:szCs w:val="12"/>
                <w:color w:val="auto"/>
              </w:rPr>
            </w:pPr>
          </w:p>
        </w:tc>
        <w:tc>
          <w:tcPr>
            <w:tcW w:w="1080" w:type="dxa"/>
            <w:vAlign w:val="bottom"/>
            <w:tcBorders>
              <w:right w:val="single" w:sz="8" w:color="5B769B"/>
            </w:tcBorders>
            <w:shd w:val="clear" w:color="auto" w:fill="5B769B"/>
          </w:tcPr>
          <w:p>
            <w:pPr>
              <w:spacing w:after="0"/>
              <w:rPr>
                <w:sz w:val="12"/>
                <w:szCs w:val="12"/>
                <w:color w:val="auto"/>
              </w:rPr>
            </w:pPr>
          </w:p>
        </w:tc>
        <w:tc>
          <w:tcPr>
            <w:tcW w:w="1060" w:type="dxa"/>
            <w:vAlign w:val="bottom"/>
            <w:tcBorders>
              <w:right w:val="single" w:sz="8" w:color="5B769B"/>
            </w:tcBorders>
            <w:shd w:val="clear" w:color="auto" w:fill="5B769B"/>
          </w:tcPr>
          <w:p>
            <w:pPr>
              <w:spacing w:after="0"/>
              <w:rPr>
                <w:sz w:val="12"/>
                <w:szCs w:val="12"/>
                <w:color w:val="auto"/>
              </w:rPr>
            </w:pPr>
          </w:p>
        </w:tc>
        <w:tc>
          <w:tcPr>
            <w:tcW w:w="1060" w:type="dxa"/>
            <w:vAlign w:val="bottom"/>
            <w:shd w:val="clear" w:color="auto" w:fill="5B769B"/>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Borders>
              <w:right w:val="single" w:sz="8" w:color="274F78"/>
            </w:tcBorders>
            <w:shd w:val="clear" w:color="auto" w:fill="274F78"/>
          </w:tcPr>
          <w:p>
            <w:pPr>
              <w:spacing w:after="0"/>
              <w:rPr>
                <w:sz w:val="17"/>
                <w:szCs w:val="17"/>
                <w:color w:val="auto"/>
              </w:rPr>
            </w:pPr>
          </w:p>
        </w:tc>
        <w:tc>
          <w:tcPr>
            <w:tcW w:w="3600" w:type="dxa"/>
            <w:vAlign w:val="bottom"/>
            <w:tcBorders>
              <w:right w:val="single" w:sz="8" w:color="274F78"/>
            </w:tcBorders>
            <w:shd w:val="clear" w:color="auto" w:fill="274F78"/>
          </w:tcPr>
          <w:p>
            <w:pPr>
              <w:spacing w:after="0"/>
              <w:rPr>
                <w:sz w:val="17"/>
                <w:szCs w:val="17"/>
                <w:color w:val="auto"/>
              </w:rPr>
            </w:pPr>
          </w:p>
        </w:tc>
        <w:tc>
          <w:tcPr>
            <w:tcW w:w="1080" w:type="dxa"/>
            <w:vAlign w:val="bottom"/>
            <w:tcBorders>
              <w:right w:val="single" w:sz="8" w:color="274F78"/>
            </w:tcBorders>
            <w:shd w:val="clear" w:color="auto" w:fill="274F78"/>
          </w:tcPr>
          <w:p>
            <w:pPr>
              <w:spacing w:after="0"/>
              <w:rPr>
                <w:sz w:val="17"/>
                <w:szCs w:val="17"/>
                <w:color w:val="auto"/>
              </w:rPr>
            </w:pPr>
          </w:p>
        </w:tc>
        <w:tc>
          <w:tcPr>
            <w:tcW w:w="1080" w:type="dxa"/>
            <w:vAlign w:val="bottom"/>
            <w:tcBorders>
              <w:right w:val="single" w:sz="8" w:color="274F78"/>
            </w:tcBorders>
            <w:shd w:val="clear" w:color="auto" w:fill="274F78"/>
          </w:tcPr>
          <w:p>
            <w:pPr>
              <w:spacing w:after="0"/>
              <w:rPr>
                <w:sz w:val="17"/>
                <w:szCs w:val="17"/>
                <w:color w:val="auto"/>
              </w:rPr>
            </w:pPr>
          </w:p>
        </w:tc>
        <w:tc>
          <w:tcPr>
            <w:tcW w:w="1080" w:type="dxa"/>
            <w:vAlign w:val="bottom"/>
            <w:tcBorders>
              <w:right w:val="single" w:sz="8" w:color="274F78"/>
            </w:tcBorders>
            <w:shd w:val="clear" w:color="auto" w:fill="274F78"/>
          </w:tcPr>
          <w:p>
            <w:pPr>
              <w:spacing w:after="0"/>
              <w:rPr>
                <w:sz w:val="17"/>
                <w:szCs w:val="17"/>
                <w:color w:val="auto"/>
              </w:rPr>
            </w:pPr>
          </w:p>
        </w:tc>
        <w:tc>
          <w:tcPr>
            <w:tcW w:w="1080" w:type="dxa"/>
            <w:vAlign w:val="bottom"/>
            <w:tcBorders>
              <w:right w:val="single" w:sz="8" w:color="274F78"/>
            </w:tcBorders>
            <w:shd w:val="clear" w:color="auto" w:fill="274F78"/>
          </w:tcPr>
          <w:p>
            <w:pPr>
              <w:spacing w:after="0"/>
              <w:rPr>
                <w:sz w:val="17"/>
                <w:szCs w:val="17"/>
                <w:color w:val="auto"/>
              </w:rPr>
            </w:pPr>
          </w:p>
        </w:tc>
        <w:tc>
          <w:tcPr>
            <w:tcW w:w="1060" w:type="dxa"/>
            <w:vAlign w:val="bottom"/>
            <w:tcBorders>
              <w:right w:val="single" w:sz="8" w:color="274F78"/>
            </w:tcBorders>
            <w:shd w:val="clear" w:color="auto" w:fill="274F78"/>
          </w:tcPr>
          <w:p>
            <w:pPr>
              <w:spacing w:after="0"/>
              <w:rPr>
                <w:sz w:val="17"/>
                <w:szCs w:val="17"/>
                <w:color w:val="auto"/>
              </w:rPr>
            </w:pPr>
          </w:p>
        </w:tc>
        <w:tc>
          <w:tcPr>
            <w:tcW w:w="1060" w:type="dxa"/>
            <w:vAlign w:val="bottom"/>
            <w:shd w:val="clear" w:color="auto" w:fill="274F78"/>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2" w:right="339" w:bottom="1440" w:gutter="0" w:footer="0" w:header="0"/>
        </w:sectPr>
      </w:pPr>
    </w:p>
    <w:bookmarkStart w:id="38" w:name="page39"/>
    <w:bookmarkEnd w:id="38"/>
    <w:p>
      <w:pPr>
        <w:jc w:val="center"/>
        <w:ind w:left="700"/>
        <w:spacing w:after="0"/>
        <w:rPr>
          <w:sz w:val="20"/>
          <w:szCs w:val="20"/>
          <w:color w:val="auto"/>
        </w:rPr>
      </w:pPr>
      <w:r>
        <w:rPr>
          <w:rFonts w:ascii="Arial" w:cs="Arial" w:eastAsia="Arial" w:hAnsi="Arial"/>
          <w:sz w:val="21"/>
          <w:szCs w:val="21"/>
          <w:b w:val="1"/>
          <w:bCs w:val="1"/>
          <w:color w:val="244F78"/>
        </w:rPr>
        <w:t>TOTAL REVENUE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4"/>
          <w:szCs w:val="14"/>
          <w:color w:val="274F78"/>
        </w:rPr>
        <w:t>(</w:t>
      </w:r>
      <w:r>
        <w:rPr>
          <w:rFonts w:ascii="Arial" w:cs="Arial" w:eastAsia="Arial" w:hAnsi="Arial"/>
          <w:sz w:val="14"/>
          <w:szCs w:val="14"/>
          <w:b w:val="1"/>
          <w:bCs w:val="1"/>
          <w:color w:val="274F78"/>
        </w:rPr>
        <w:t>EXCLUDING VALUATION GAINS/LOSSES</w:t>
      </w:r>
      <w:r>
        <w:rPr>
          <w:rFonts w:ascii="Arial" w:cs="Arial" w:eastAsia="Arial" w:hAnsi="Arial"/>
          <w:sz w:val="14"/>
          <w:szCs w:val="14"/>
          <w:color w:val="244F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111125</wp:posOffset>
            </wp:positionV>
            <wp:extent cx="4452620" cy="1572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2620" cy="157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274F78"/>
        </w:rPr>
        <w:t>NET EARNINGS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135890</wp:posOffset>
            </wp:positionV>
            <wp:extent cx="4593590" cy="17291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9359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274F78"/>
        </w:rPr>
        <w:t>ADJUSTED TITLE REVENUE AND ADJUSTED PRE-TAX TITLE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130175</wp:posOffset>
            </wp:positionV>
            <wp:extent cx="7144385" cy="2402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240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35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508000</wp:posOffset>
            </wp:positionV>
            <wp:extent cx="71443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39" w:name="page40"/>
    <w:bookmarkEnd w:id="39"/>
    <w:p>
      <w:pPr>
        <w:ind w:left="1180"/>
        <w:spacing w:after="0"/>
        <w:rPr>
          <w:sz w:val="20"/>
          <w:szCs w:val="20"/>
          <w:color w:val="auto"/>
        </w:rPr>
      </w:pPr>
      <w:r>
        <w:rPr>
          <w:rFonts w:ascii="Arial" w:cs="Arial" w:eastAsia="Arial" w:hAnsi="Arial"/>
          <w:sz w:val="23"/>
          <w:szCs w:val="23"/>
          <w:b w:val="1"/>
          <w:bCs w:val="1"/>
          <w:color w:val="5E769B"/>
        </w:rPr>
        <w:t>PAY FOR PERFORMANCE</w:t>
      </w:r>
    </w:p>
    <w:p>
      <w:pPr>
        <w:spacing w:after="0" w:line="193" w:lineRule="exact"/>
        <w:rPr>
          <w:sz w:val="20"/>
          <w:szCs w:val="20"/>
          <w:color w:val="auto"/>
        </w:rPr>
      </w:pPr>
    </w:p>
    <w:p>
      <w:pPr>
        <w:ind w:left="1180" w:right="960"/>
        <w:spacing w:after="0" w:line="247" w:lineRule="auto"/>
        <w:rPr>
          <w:sz w:val="20"/>
          <w:szCs w:val="20"/>
          <w:color w:val="auto"/>
        </w:rPr>
      </w:pPr>
      <w:r>
        <w:rPr>
          <w:rFonts w:ascii="Arial" w:cs="Arial" w:eastAsia="Arial" w:hAnsi="Arial"/>
          <w:sz w:val="18"/>
          <w:szCs w:val="18"/>
          <w:color w:val="58595B"/>
        </w:rPr>
        <w:t>Our compensation committee takes great care to develop and refine an executive compensation program that recognizes our stewardship responsibility to shareholders while our talent supports a culture of growth, innovation, and performance.</w:t>
      </w:r>
    </w:p>
    <w:p>
      <w:pPr>
        <w:spacing w:after="0" w:line="137" w:lineRule="exact"/>
        <w:rPr>
          <w:sz w:val="20"/>
          <w:szCs w:val="20"/>
          <w:color w:val="auto"/>
        </w:rPr>
      </w:pPr>
    </w:p>
    <w:p>
      <w:pPr>
        <w:ind w:left="1180" w:right="1060"/>
        <w:spacing w:after="0" w:line="266" w:lineRule="auto"/>
        <w:rPr>
          <w:sz w:val="20"/>
          <w:szCs w:val="20"/>
          <w:color w:val="auto"/>
        </w:rPr>
      </w:pPr>
      <w:r>
        <w:rPr>
          <w:rFonts w:ascii="Arial" w:cs="Arial" w:eastAsia="Arial" w:hAnsi="Arial"/>
          <w:sz w:val="18"/>
          <w:szCs w:val="18"/>
          <w:color w:val="58595B"/>
        </w:rPr>
        <w:t>The primary goal of our executive compensation programs in 2025 was to drive continued growth and successful execution of our strategic business objectives. We believe our programs achieve this goal by:</w:t>
      </w:r>
    </w:p>
    <w:p>
      <w:pPr>
        <w:spacing w:after="0" w:line="120" w:lineRule="exact"/>
        <w:rPr>
          <w:sz w:val="20"/>
          <w:szCs w:val="20"/>
          <w:color w:val="auto"/>
        </w:rPr>
      </w:pPr>
    </w:p>
    <w:p>
      <w:pPr>
        <w:ind w:left="1640" w:right="1200" w:hanging="286"/>
        <w:spacing w:after="0" w:line="266" w:lineRule="auto"/>
        <w:tabs>
          <w:tab w:leader="none" w:pos="1640" w:val="left"/>
        </w:tabs>
        <w:numPr>
          <w:ilvl w:val="0"/>
          <w:numId w:val="42"/>
        </w:numPr>
        <w:rPr>
          <w:rFonts w:ascii="Arial" w:cs="Arial" w:eastAsia="Arial" w:hAnsi="Arial"/>
          <w:sz w:val="18"/>
          <w:szCs w:val="18"/>
          <w:color w:val="58595B"/>
        </w:rPr>
      </w:pPr>
      <w:r>
        <w:rPr>
          <w:rFonts w:ascii="Arial" w:cs="Arial" w:eastAsia="Arial" w:hAnsi="Arial"/>
          <w:sz w:val="18"/>
          <w:szCs w:val="18"/>
          <w:color w:val="58595B"/>
        </w:rPr>
        <w:t>Tying material portions of our named executive officers' compensation to the performance of our core title operations;</w:t>
      </w:r>
    </w:p>
    <w:p>
      <w:pPr>
        <w:spacing w:after="0" w:line="120" w:lineRule="exact"/>
        <w:rPr>
          <w:rFonts w:ascii="Arial" w:cs="Arial" w:eastAsia="Arial" w:hAnsi="Arial"/>
          <w:sz w:val="18"/>
          <w:szCs w:val="18"/>
          <w:color w:val="58595B"/>
        </w:rPr>
      </w:pPr>
    </w:p>
    <w:p>
      <w:pPr>
        <w:ind w:left="1640" w:right="1320" w:hanging="286"/>
        <w:spacing w:after="0" w:line="247" w:lineRule="auto"/>
        <w:tabs>
          <w:tab w:leader="none" w:pos="1640" w:val="left"/>
        </w:tabs>
        <w:numPr>
          <w:ilvl w:val="0"/>
          <w:numId w:val="42"/>
        </w:numPr>
        <w:rPr>
          <w:rFonts w:ascii="Arial" w:cs="Arial" w:eastAsia="Arial" w:hAnsi="Arial"/>
          <w:sz w:val="18"/>
          <w:szCs w:val="18"/>
          <w:color w:val="58595B"/>
        </w:rPr>
      </w:pPr>
      <w:r>
        <w:rPr>
          <w:rFonts w:ascii="Arial" w:cs="Arial" w:eastAsia="Arial" w:hAnsi="Arial"/>
          <w:sz w:val="18"/>
          <w:szCs w:val="18"/>
          <w:color w:val="58595B"/>
        </w:rPr>
        <w:t>Structuring our performance-based programs to focus our named executive officers on attaining pre-established, objectively determinable key performance goals that are aligned with and support our key strategic business objectives, which, in turn, are aimed at growing long-term value for our shareholders;</w:t>
      </w:r>
    </w:p>
    <w:p>
      <w:pPr>
        <w:spacing w:after="0" w:line="137" w:lineRule="exact"/>
        <w:rPr>
          <w:rFonts w:ascii="Arial" w:cs="Arial" w:eastAsia="Arial" w:hAnsi="Arial"/>
          <w:sz w:val="18"/>
          <w:szCs w:val="18"/>
          <w:color w:val="58595B"/>
        </w:rPr>
      </w:pPr>
    </w:p>
    <w:p>
      <w:pPr>
        <w:ind w:left="1640" w:right="1260" w:hanging="286"/>
        <w:spacing w:after="0" w:line="266" w:lineRule="auto"/>
        <w:tabs>
          <w:tab w:leader="none" w:pos="1640" w:val="left"/>
        </w:tabs>
        <w:numPr>
          <w:ilvl w:val="0"/>
          <w:numId w:val="42"/>
        </w:numPr>
        <w:rPr>
          <w:rFonts w:ascii="Arial" w:cs="Arial" w:eastAsia="Arial" w:hAnsi="Arial"/>
          <w:sz w:val="18"/>
          <w:szCs w:val="18"/>
          <w:color w:val="58595B"/>
        </w:rPr>
      </w:pPr>
      <w:r>
        <w:rPr>
          <w:rFonts w:ascii="Arial" w:cs="Arial" w:eastAsia="Arial" w:hAnsi="Arial"/>
          <w:sz w:val="18"/>
          <w:szCs w:val="18"/>
          <w:color w:val="58595B"/>
        </w:rPr>
        <w:t>Recognizing our executives' leadership abilities, scope of responsibilities, experience, effectiveness, and individual performance achievements; and</w:t>
      </w:r>
    </w:p>
    <w:p>
      <w:pPr>
        <w:spacing w:after="0" w:line="120" w:lineRule="exact"/>
        <w:rPr>
          <w:rFonts w:ascii="Arial" w:cs="Arial" w:eastAsia="Arial" w:hAnsi="Arial"/>
          <w:sz w:val="18"/>
          <w:szCs w:val="18"/>
          <w:color w:val="58595B"/>
        </w:rPr>
      </w:pPr>
    </w:p>
    <w:p>
      <w:pPr>
        <w:ind w:left="1640" w:right="1460" w:hanging="286"/>
        <w:spacing w:after="0" w:line="266" w:lineRule="auto"/>
        <w:tabs>
          <w:tab w:leader="none" w:pos="1640" w:val="left"/>
        </w:tabs>
        <w:numPr>
          <w:ilvl w:val="0"/>
          <w:numId w:val="42"/>
        </w:numPr>
        <w:rPr>
          <w:rFonts w:ascii="Arial" w:cs="Arial" w:eastAsia="Arial" w:hAnsi="Arial"/>
          <w:sz w:val="18"/>
          <w:szCs w:val="18"/>
          <w:color w:val="58595B"/>
        </w:rPr>
      </w:pPr>
      <w:r>
        <w:rPr>
          <w:rFonts w:ascii="Arial" w:cs="Arial" w:eastAsia="Arial" w:hAnsi="Arial"/>
          <w:sz w:val="18"/>
          <w:szCs w:val="18"/>
          <w:color w:val="58595B"/>
        </w:rPr>
        <w:t>Attracting, motivating, and retaining a highly qualified and effective management team that can deliver superior performance and build shareholder value over the long term.</w:t>
      </w:r>
    </w:p>
    <w:p>
      <w:pPr>
        <w:spacing w:after="0" w:line="120" w:lineRule="exact"/>
        <w:rPr>
          <w:sz w:val="20"/>
          <w:szCs w:val="20"/>
          <w:color w:val="auto"/>
        </w:rPr>
      </w:pPr>
    </w:p>
    <w:p>
      <w:pPr>
        <w:ind w:left="1180" w:right="980"/>
        <w:spacing w:after="0" w:line="266" w:lineRule="auto"/>
        <w:rPr>
          <w:sz w:val="20"/>
          <w:szCs w:val="20"/>
          <w:color w:val="auto"/>
        </w:rPr>
      </w:pPr>
      <w:r>
        <w:rPr>
          <w:rFonts w:ascii="Arial" w:cs="Arial" w:eastAsia="Arial" w:hAnsi="Arial"/>
          <w:sz w:val="18"/>
          <w:szCs w:val="18"/>
          <w:color w:val="58595B"/>
        </w:rPr>
        <w:t>As in past years, there was a direct correlation between our named executive officers' pay and our performance in 2025. Here are a few highlights:</w:t>
      </w:r>
    </w:p>
    <w:p>
      <w:pPr>
        <w:spacing w:after="0" w:line="120" w:lineRule="exact"/>
        <w:rPr>
          <w:sz w:val="20"/>
          <w:szCs w:val="20"/>
          <w:color w:val="auto"/>
        </w:rPr>
      </w:pPr>
    </w:p>
    <w:p>
      <w:pPr>
        <w:ind w:left="1640" w:right="920" w:hanging="286"/>
        <w:spacing w:after="0" w:line="236" w:lineRule="auto"/>
        <w:tabs>
          <w:tab w:leader="none" w:pos="1640" w:val="left"/>
        </w:tabs>
        <w:numPr>
          <w:ilvl w:val="0"/>
          <w:numId w:val="43"/>
        </w:numPr>
        <w:rPr>
          <w:rFonts w:ascii="Arial" w:cs="Arial" w:eastAsia="Arial" w:hAnsi="Arial"/>
          <w:sz w:val="18"/>
          <w:szCs w:val="18"/>
          <w:color w:val="58595B"/>
        </w:rPr>
      </w:pPr>
      <w:r>
        <w:rPr>
          <w:rFonts w:ascii="Arial" w:cs="Arial" w:eastAsia="Arial" w:hAnsi="Arial"/>
          <w:sz w:val="18"/>
          <w:szCs w:val="18"/>
          <w:color w:val="58595B"/>
        </w:rPr>
        <w:t>We exceeded both our adjusted title revenue and adjusted pre-tax title margin targets as set by our compensation committee under our annual incentive plan. We exceeded our 2025 performance expectations despite a very difficult economic environment, including historically high mortgage rates and a real estate market that has been in a downward trend. Consistent with this strong performance, our named executive officers earned an annual incentive payout equal to 200% of their respective target annual incentive opportunities. See the "FNF Annual Incentive Performance Measures and Results" section below.</w:t>
      </w:r>
    </w:p>
    <w:p>
      <w:pPr>
        <w:spacing w:after="0" w:line="146" w:lineRule="exact"/>
        <w:rPr>
          <w:rFonts w:ascii="Arial" w:cs="Arial" w:eastAsia="Arial" w:hAnsi="Arial"/>
          <w:sz w:val="18"/>
          <w:szCs w:val="18"/>
          <w:color w:val="58595B"/>
        </w:rPr>
      </w:pPr>
    </w:p>
    <w:p>
      <w:pPr>
        <w:jc w:val="both"/>
        <w:ind w:left="1640" w:right="1500" w:hanging="286"/>
        <w:spacing w:after="0" w:line="247" w:lineRule="auto"/>
        <w:tabs>
          <w:tab w:leader="none" w:pos="1640" w:val="left"/>
        </w:tabs>
        <w:numPr>
          <w:ilvl w:val="0"/>
          <w:numId w:val="43"/>
        </w:numPr>
        <w:rPr>
          <w:rFonts w:ascii="Arial" w:cs="Arial" w:eastAsia="Arial" w:hAnsi="Arial"/>
          <w:sz w:val="18"/>
          <w:szCs w:val="18"/>
          <w:color w:val="58595B"/>
        </w:rPr>
      </w:pPr>
      <w:r>
        <w:rPr>
          <w:rFonts w:ascii="Arial" w:cs="Arial" w:eastAsia="Arial" w:hAnsi="Arial"/>
          <w:sz w:val="18"/>
          <w:szCs w:val="18"/>
          <w:color w:val="58595B"/>
        </w:rPr>
        <w:t>We exceeded the quarterly adjusted pre-tax title margin goals set by our compensation committee as performance criteria for our 2025 restricted stock awards. As a result, these awards will vest upon the passage of time, subject to each executive's continued employment with us.</w:t>
      </w:r>
    </w:p>
    <w:p>
      <w:pPr>
        <w:spacing w:after="0" w:line="137" w:lineRule="exact"/>
        <w:rPr>
          <w:sz w:val="20"/>
          <w:szCs w:val="20"/>
          <w:color w:val="auto"/>
        </w:rPr>
      </w:pPr>
    </w:p>
    <w:p>
      <w:pPr>
        <w:ind w:left="1180" w:right="920"/>
        <w:spacing w:after="0" w:line="234" w:lineRule="auto"/>
        <w:rPr>
          <w:sz w:val="20"/>
          <w:szCs w:val="20"/>
          <w:color w:val="auto"/>
        </w:rPr>
      </w:pPr>
      <w:r>
        <w:rPr>
          <w:rFonts w:ascii="Arial" w:cs="Arial" w:eastAsia="Arial" w:hAnsi="Arial"/>
          <w:sz w:val="18"/>
          <w:szCs w:val="18"/>
          <w:color w:val="58595B"/>
        </w:rPr>
        <w:t>We continued to use adjusted pre-tax title margin as the primary performance objective for our 2025 cash-based annual incentive plan, with 75% of the award tied to this objective and the remaining 25% tied to achievement of adjusted title revenue. We also continued to use adjusted pre-tax title margin as the performance-based vesting condition in our 2025 long-term performance-based restricted stock awards. Our compensation committee considered whether this measure should be used in both the annual incentive plan and our long-term incentive awards. In recognition of the fact that it is one of the most important measures to our investors of the financial performance of our business, the committee determined it should be used in both programs. The committee determined it should be used in our cash-based annual incentive plan because it is a leading measure of operating performance and efficiency, has a strong correlation to our annual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36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5" w:right="339" w:bottom="1440" w:gutter="0" w:footer="0" w:header="0"/>
        </w:sectPr>
      </w:pPr>
    </w:p>
    <w:bookmarkStart w:id="40" w:name="page41"/>
    <w:bookmarkEnd w:id="40"/>
    <w:p>
      <w:pPr>
        <w:ind w:left="820" w:right="400"/>
        <w:spacing w:after="0" w:line="238" w:lineRule="auto"/>
        <w:rPr>
          <w:sz w:val="20"/>
          <w:szCs w:val="20"/>
          <w:color w:val="auto"/>
        </w:rPr>
      </w:pPr>
      <w:r>
        <w:rPr>
          <w:rFonts w:ascii="Arial" w:cs="Arial" w:eastAsia="Arial" w:hAnsi="Arial"/>
          <w:sz w:val="18"/>
          <w:szCs w:val="18"/>
          <w:color w:val="58595B"/>
        </w:rPr>
        <w:t>strategic plan and is directly affected by the actions of our executives in both strong and weak real estate markets. The committee determined it should be used in our long-term performance-based restricted stock awards because it reflects our ability to convert revenue into operating profits for shareholders and measures our progress toward achieving our long-term strategy, and therefore can have a significant impact on our long-term stock price and investor expectations.</w:t>
      </w:r>
    </w:p>
    <w:p>
      <w:pPr>
        <w:spacing w:after="0" w:line="144" w:lineRule="exact"/>
        <w:rPr>
          <w:sz w:val="20"/>
          <w:szCs w:val="20"/>
          <w:color w:val="auto"/>
        </w:rPr>
      </w:pPr>
    </w:p>
    <w:p>
      <w:pPr>
        <w:ind w:left="820" w:right="380"/>
        <w:spacing w:after="0" w:line="241" w:lineRule="auto"/>
        <w:rPr>
          <w:sz w:val="20"/>
          <w:szCs w:val="20"/>
          <w:color w:val="auto"/>
        </w:rPr>
      </w:pPr>
      <w:r>
        <w:rPr>
          <w:rFonts w:ascii="Arial" w:cs="Arial" w:eastAsia="Arial" w:hAnsi="Arial"/>
          <w:sz w:val="18"/>
          <w:szCs w:val="18"/>
          <w:color w:val="58595B"/>
        </w:rPr>
        <w:t>Note that the financial measures used as performance targets for our named executive officers described in this discussion are non-GAAP measures and differ from the comparable GAAP measures reported in our financial statements. The measures are adjusted to exclude the impact of certain non-recurring and other items. We explain how we calculate these measures in the "Analysis of Compensation Components" section below.</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69B"/>
        </w:rPr>
        <w:t>SHAREHOLDER VOTE ON 2024 EXECUTIVE COMPENSATION</w:t>
      </w:r>
    </w:p>
    <w:p>
      <w:pPr>
        <w:spacing w:after="0" w:line="193" w:lineRule="exact"/>
        <w:rPr>
          <w:sz w:val="20"/>
          <w:szCs w:val="20"/>
          <w:color w:val="auto"/>
        </w:rPr>
      </w:pPr>
    </w:p>
    <w:p>
      <w:pPr>
        <w:ind w:left="820" w:right="420"/>
        <w:spacing w:after="0" w:line="238" w:lineRule="auto"/>
        <w:rPr>
          <w:sz w:val="20"/>
          <w:szCs w:val="20"/>
          <w:color w:val="auto"/>
        </w:rPr>
      </w:pPr>
      <w:r>
        <w:rPr>
          <w:rFonts w:ascii="Arial" w:cs="Arial" w:eastAsia="Arial" w:hAnsi="Arial"/>
          <w:sz w:val="18"/>
          <w:szCs w:val="18"/>
          <w:color w:val="58595B"/>
        </w:rPr>
        <w:t>At our 2025 annual meeting of shareholders, we held a non-binding advisory vote, also called a "say on pay" vote, on the compensation of our named executive officers in 2024 as disclosed in the 2025 proxy statement. Approximately 94.1% of the votes cast were voted in favor of our "say-on-pay" proposal. The compensation committee considered these results when evaluating our executive compensation programs and determined to keep the current executive compensation platform in place without any changes.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69B"/>
        </w:rPr>
        <w:t>SHAREHOLDER OUTREACH IN 2025</w:t>
      </w:r>
    </w:p>
    <w:p>
      <w:pPr>
        <w:spacing w:after="0" w:line="193" w:lineRule="exact"/>
        <w:rPr>
          <w:sz w:val="20"/>
          <w:szCs w:val="20"/>
          <w:color w:val="auto"/>
        </w:rPr>
      </w:pPr>
    </w:p>
    <w:p>
      <w:pPr>
        <w:ind w:left="820" w:right="400"/>
        <w:spacing w:after="0" w:line="232" w:lineRule="auto"/>
        <w:rPr>
          <w:sz w:val="20"/>
          <w:szCs w:val="20"/>
          <w:color w:val="auto"/>
        </w:rPr>
      </w:pPr>
      <w:r>
        <w:rPr>
          <w:rFonts w:ascii="Arial" w:cs="Arial" w:eastAsia="Arial" w:hAnsi="Arial"/>
          <w:sz w:val="18"/>
          <w:szCs w:val="18"/>
          <w:color w:val="58595B"/>
        </w:rPr>
        <w:t>Our compensation committee is committed to listening and responding to the views of our shareholders in creating and tailoring our executive compensation programs. In connection with our 2025 annual meeting of shareholders, we reached out to our 15 largest shareholders to request engagement regarding the proposals in our 2025 proxy statement, including the proposal to redomesticate from Delaware to Nevada, and spoke with four of those shareholders who collectively held more than 20% of our common stock. Following the 2025 annual meeting of shareholders and the 2024 "say on pay" shareholder vote, our Chief Executive Officer and Chief Financial Officer met with our investors in break-out sessions at investor conferences, as well as in independent one-on-one investor meetings, to discuss our business and stock price performance, and to discuss and receive feedback on our compensation programs. In this regard, we met with investors at four investor conferences and in numerous one-on-one meetings. The investors with whom we met in 2025 represented approximately 50% of our top 20 active shareholders, who collectively owned more than 24% of our shares as of December 31, 2025. Generally, our shareholders did not express any concerns about FNF's executive compensation plans and practices in 2025.</w:t>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69B"/>
        </w:rPr>
        <w:t>GOVERNANCE AND COMPENSATION BEST PRACTICES</w:t>
      </w:r>
    </w:p>
    <w:p>
      <w:pPr>
        <w:spacing w:after="0" w:line="193" w:lineRule="exact"/>
        <w:rPr>
          <w:sz w:val="20"/>
          <w:szCs w:val="20"/>
          <w:color w:val="auto"/>
        </w:rPr>
      </w:pPr>
    </w:p>
    <w:p>
      <w:pPr>
        <w:ind w:left="820" w:right="520"/>
        <w:spacing w:after="0" w:line="241" w:lineRule="auto"/>
        <w:rPr>
          <w:sz w:val="20"/>
          <w:szCs w:val="20"/>
          <w:color w:val="auto"/>
        </w:rPr>
      </w:pPr>
      <w:r>
        <w:rPr>
          <w:rFonts w:ascii="Arial" w:cs="Arial" w:eastAsia="Arial" w:hAnsi="Arial"/>
          <w:sz w:val="18"/>
          <w:szCs w:val="18"/>
          <w:color w:val="58595B"/>
        </w:rPr>
        <w:t>We periodically review our compensation programs and make adjustments that are believed to be in the best interests of our company and our shareholders. As part of this process, we review compensation trends and consider current best practices, and make changes in our compensation programs when we deem it appropriate, all with the goal of continually improving our approach to executive compensation.</w:t>
      </w:r>
    </w:p>
    <w:p>
      <w:pPr>
        <w:spacing w:after="0" w:line="142" w:lineRule="exact"/>
        <w:rPr>
          <w:sz w:val="20"/>
          <w:szCs w:val="20"/>
          <w:color w:val="auto"/>
        </w:rPr>
      </w:pPr>
    </w:p>
    <w:p>
      <w:pPr>
        <w:ind w:left="820"/>
        <w:spacing w:after="0"/>
        <w:rPr>
          <w:sz w:val="20"/>
          <w:szCs w:val="20"/>
          <w:color w:val="auto"/>
        </w:rPr>
      </w:pPr>
      <w:r>
        <w:rPr>
          <w:rFonts w:ascii="Arial" w:cs="Arial" w:eastAsia="Arial" w:hAnsi="Arial"/>
          <w:sz w:val="18"/>
          <w:szCs w:val="18"/>
          <w:color w:val="58595B"/>
        </w:rPr>
        <w:t>Some of the best practices adopted by our compensation committee or full board of directors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124460</wp:posOffset>
            </wp:positionV>
            <wp:extent cx="7144385" cy="297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37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508000</wp:posOffset>
            </wp:positionV>
            <wp:extent cx="71443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41" w:name="page42"/>
    <w:bookmarkEnd w:id="41"/>
    <w:p>
      <w:pPr>
        <w:ind w:left="3180"/>
        <w:spacing w:after="0"/>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953770</wp:posOffset>
            </wp:positionH>
            <wp:positionV relativeFrom="page">
              <wp:posOffset>636905</wp:posOffset>
            </wp:positionV>
            <wp:extent cx="2872105" cy="5360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72105" cy="5360035"/>
                    </a:xfrm>
                    <a:prstGeom prst="rect">
                      <a:avLst/>
                    </a:prstGeom>
                    <a:noFill/>
                  </pic:spPr>
                </pic:pic>
              </a:graphicData>
            </a:graphic>
          </wp:anchor>
        </w:drawing>
        <w:t>Things We Do</w:t>
      </w:r>
    </w:p>
    <w:p>
      <w:pPr>
        <w:spacing w:after="0" w:line="160" w:lineRule="exact"/>
        <w:rPr>
          <w:sz w:val="20"/>
          <w:szCs w:val="20"/>
          <w:color w:val="auto"/>
        </w:rPr>
      </w:pPr>
    </w:p>
    <w:p>
      <w:pPr>
        <w:ind w:left="1740" w:right="40" w:hanging="386"/>
        <w:spacing w:after="0" w:line="186" w:lineRule="auto"/>
        <w:tabs>
          <w:tab w:leader="none" w:pos="1740" w:val="left"/>
        </w:tabs>
        <w:numPr>
          <w:ilvl w:val="0"/>
          <w:numId w:val="44"/>
        </w:numPr>
        <w:rPr>
          <w:rFonts w:ascii="MS PGothic" w:cs="MS PGothic" w:eastAsia="MS PGothic" w:hAnsi="MS PGothic"/>
          <w:sz w:val="30"/>
          <w:szCs w:val="30"/>
          <w:color w:val="244F78"/>
          <w:vertAlign w:val="subscript"/>
        </w:rPr>
      </w:pPr>
      <w:r>
        <w:rPr>
          <w:rFonts w:ascii="Arial" w:cs="Arial" w:eastAsia="Arial" w:hAnsi="Arial"/>
          <w:sz w:val="15"/>
          <w:szCs w:val="15"/>
          <w:color w:val="58595B"/>
        </w:rPr>
        <w:t>Deliver total compensation predominantly through variable pay</w:t>
      </w:r>
    </w:p>
    <w:p>
      <w:pPr>
        <w:spacing w:after="0" w:line="139" w:lineRule="exact"/>
        <w:rPr>
          <w:rFonts w:ascii="MS PGothic" w:cs="MS PGothic" w:eastAsia="MS PGothic" w:hAnsi="MS PGothic"/>
          <w:sz w:val="30"/>
          <w:szCs w:val="30"/>
          <w:color w:val="244F78"/>
          <w:vertAlign w:val="subscript"/>
        </w:rPr>
      </w:pPr>
    </w:p>
    <w:p>
      <w:pPr>
        <w:ind w:left="1740" w:hanging="386"/>
        <w:spacing w:after="0"/>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95B"/>
        </w:rPr>
        <w:t>Maintain robust stock ownership requirements</w:t>
      </w:r>
    </w:p>
    <w:p>
      <w:pPr>
        <w:spacing w:after="0" w:line="160" w:lineRule="exact"/>
        <w:rPr>
          <w:rFonts w:ascii="MS PGothic" w:cs="MS PGothic" w:eastAsia="MS PGothic" w:hAnsi="MS PGothic"/>
          <w:sz w:val="15"/>
          <w:szCs w:val="15"/>
          <w:color w:val="244F78"/>
        </w:rPr>
      </w:pPr>
    </w:p>
    <w:p>
      <w:pPr>
        <w:ind w:left="1740" w:right="820" w:hanging="386"/>
        <w:spacing w:after="0" w:line="186" w:lineRule="auto"/>
        <w:tabs>
          <w:tab w:leader="none" w:pos="1740" w:val="left"/>
        </w:tabs>
        <w:numPr>
          <w:ilvl w:val="0"/>
          <w:numId w:val="44"/>
        </w:numPr>
        <w:rPr>
          <w:rFonts w:ascii="MS PGothic" w:cs="MS PGothic" w:eastAsia="MS PGothic" w:hAnsi="MS PGothic"/>
          <w:sz w:val="30"/>
          <w:szCs w:val="30"/>
          <w:color w:val="244F78"/>
          <w:vertAlign w:val="subscript"/>
        </w:rPr>
      </w:pPr>
      <w:r>
        <w:rPr>
          <w:rFonts w:ascii="Arial" w:cs="Arial" w:eastAsia="Arial" w:hAnsi="Arial"/>
          <w:sz w:val="15"/>
          <w:szCs w:val="15"/>
          <w:color w:val="58595B"/>
        </w:rPr>
        <w:t>Maintain a clawback policy for incentive-based compensation</w:t>
      </w:r>
    </w:p>
    <w:p>
      <w:pPr>
        <w:spacing w:after="0" w:line="139" w:lineRule="exact"/>
        <w:rPr>
          <w:rFonts w:ascii="MS PGothic" w:cs="MS PGothic" w:eastAsia="MS PGothic" w:hAnsi="MS PGothic"/>
          <w:sz w:val="30"/>
          <w:szCs w:val="30"/>
          <w:color w:val="244F78"/>
          <w:vertAlign w:val="subscript"/>
        </w:rPr>
      </w:pPr>
    </w:p>
    <w:p>
      <w:pPr>
        <w:ind w:left="1740"/>
        <w:spacing w:after="0"/>
        <w:rPr>
          <w:rFonts w:ascii="MS PGothic" w:cs="MS PGothic" w:eastAsia="MS PGothic" w:hAnsi="MS PGothic"/>
          <w:sz w:val="30"/>
          <w:szCs w:val="30"/>
          <w:color w:val="244F78"/>
          <w:vertAlign w:val="subscript"/>
        </w:rPr>
      </w:pPr>
      <w:r>
        <w:rPr>
          <w:rFonts w:ascii="Arial" w:cs="Arial" w:eastAsia="Arial" w:hAnsi="Arial"/>
          <w:sz w:val="15"/>
          <w:szCs w:val="15"/>
          <w:color w:val="58595B"/>
        </w:rPr>
        <w:t>High ratio of performance-based compensation to total</w:t>
      </w:r>
    </w:p>
    <w:p>
      <w:pPr>
        <w:spacing w:after="0" w:line="14" w:lineRule="exact"/>
        <w:rPr>
          <w:rFonts w:ascii="MS PGothic" w:cs="MS PGothic" w:eastAsia="MS PGothic" w:hAnsi="MS PGothic"/>
          <w:sz w:val="30"/>
          <w:szCs w:val="30"/>
          <w:color w:val="244F78"/>
          <w:vertAlign w:val="subscript"/>
        </w:rPr>
      </w:pPr>
    </w:p>
    <w:p>
      <w:pPr>
        <w:ind w:left="1740" w:right="20" w:hanging="386"/>
        <w:spacing w:after="0" w:line="250" w:lineRule="auto"/>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95B"/>
        </w:rPr>
        <w:t>compensation, and a low ratio for fixed benefits/perquisites (non-performance-based)</w:t>
      </w:r>
    </w:p>
    <w:p>
      <w:pPr>
        <w:spacing w:after="0" w:line="131" w:lineRule="exact"/>
        <w:rPr>
          <w:rFonts w:ascii="MS PGothic" w:cs="MS PGothic" w:eastAsia="MS PGothic" w:hAnsi="MS PGothic"/>
          <w:sz w:val="15"/>
          <w:szCs w:val="15"/>
          <w:color w:val="244F78"/>
        </w:rPr>
      </w:pPr>
    </w:p>
    <w:p>
      <w:pPr>
        <w:ind w:left="1740" w:hanging="386"/>
        <w:spacing w:after="0"/>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95B"/>
        </w:rPr>
        <w:t>Undertake an annual review of compensation risk</w:t>
      </w:r>
    </w:p>
    <w:p>
      <w:pPr>
        <w:spacing w:after="0" w:line="160" w:lineRule="exact"/>
        <w:rPr>
          <w:rFonts w:ascii="MS PGothic" w:cs="MS PGothic" w:eastAsia="MS PGothic" w:hAnsi="MS PGothic"/>
          <w:sz w:val="15"/>
          <w:szCs w:val="15"/>
          <w:color w:val="244F78"/>
        </w:rPr>
      </w:pPr>
    </w:p>
    <w:p>
      <w:pPr>
        <w:ind w:left="1740" w:hanging="386"/>
        <w:spacing w:after="0"/>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85A"/>
        </w:rPr>
        <w:t>Limit perquisites</w:t>
      </w:r>
    </w:p>
    <w:p>
      <w:pPr>
        <w:spacing w:after="0" w:line="160" w:lineRule="exact"/>
        <w:rPr>
          <w:rFonts w:ascii="MS PGothic" w:cs="MS PGothic" w:eastAsia="MS PGothic" w:hAnsi="MS PGothic"/>
          <w:sz w:val="15"/>
          <w:szCs w:val="15"/>
          <w:color w:val="244F78"/>
        </w:rPr>
      </w:pPr>
    </w:p>
    <w:p>
      <w:pPr>
        <w:ind w:left="1740"/>
        <w:spacing w:after="0"/>
        <w:rPr>
          <w:rFonts w:ascii="MS PGothic" w:cs="MS PGothic" w:eastAsia="MS PGothic" w:hAnsi="MS PGothic"/>
          <w:sz w:val="15"/>
          <w:szCs w:val="15"/>
          <w:color w:val="244F78"/>
        </w:rPr>
      </w:pPr>
      <w:r>
        <w:rPr>
          <w:rFonts w:ascii="Arial" w:cs="Arial" w:eastAsia="Arial" w:hAnsi="Arial"/>
          <w:sz w:val="15"/>
          <w:szCs w:val="15"/>
          <w:color w:val="58585A"/>
        </w:rPr>
        <w:t>Have performance-based vesting provision in restricted</w:t>
      </w:r>
    </w:p>
    <w:p>
      <w:pPr>
        <w:spacing w:after="0" w:line="14" w:lineRule="exact"/>
        <w:rPr>
          <w:rFonts w:ascii="MS PGothic" w:cs="MS PGothic" w:eastAsia="MS PGothic" w:hAnsi="MS PGothic"/>
          <w:sz w:val="15"/>
          <w:szCs w:val="15"/>
          <w:color w:val="244F78"/>
        </w:rPr>
      </w:pPr>
    </w:p>
    <w:p>
      <w:pPr>
        <w:ind w:left="1740" w:right="60" w:hanging="386"/>
        <w:spacing w:after="0" w:line="250" w:lineRule="auto"/>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85A"/>
        </w:rPr>
        <w:t>stock grants to our officers, including our named executive officers</w:t>
      </w:r>
    </w:p>
    <w:p>
      <w:pPr>
        <w:spacing w:after="0" w:line="131" w:lineRule="exact"/>
        <w:rPr>
          <w:rFonts w:ascii="MS PGothic" w:cs="MS PGothic" w:eastAsia="MS PGothic" w:hAnsi="MS PGothic"/>
          <w:sz w:val="15"/>
          <w:szCs w:val="15"/>
          <w:color w:val="244F78"/>
        </w:rPr>
      </w:pPr>
    </w:p>
    <w:p>
      <w:pPr>
        <w:ind w:left="1740" w:right="100"/>
        <w:spacing w:after="0" w:line="267" w:lineRule="auto"/>
        <w:rPr>
          <w:rFonts w:ascii="MS PGothic" w:cs="MS PGothic" w:eastAsia="MS PGothic" w:hAnsi="MS PGothic"/>
          <w:sz w:val="15"/>
          <w:szCs w:val="15"/>
          <w:color w:val="244F78"/>
        </w:rPr>
      </w:pPr>
      <w:r>
        <w:rPr>
          <w:rFonts w:ascii="Arial" w:cs="Arial" w:eastAsia="Arial" w:hAnsi="Arial"/>
          <w:sz w:val="14"/>
          <w:szCs w:val="14"/>
          <w:color w:val="58585A"/>
        </w:rPr>
        <w:t>Require that any dividends or dividend equivalents on restricted stock and other awards are subject to the same</w:t>
      </w:r>
    </w:p>
    <w:p>
      <w:pPr>
        <w:ind w:left="1740" w:hanging="386"/>
        <w:spacing w:after="0" w:line="243" w:lineRule="auto"/>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85A"/>
        </w:rPr>
        <w:t>underlying vesting requirements applicable to the awards – that is, no payment of dividends or dividend equivalents are made unless and until the award vests</w:t>
      </w:r>
    </w:p>
    <w:p>
      <w:pPr>
        <w:spacing w:after="0" w:line="139" w:lineRule="exact"/>
        <w:rPr>
          <w:rFonts w:ascii="MS PGothic" w:cs="MS PGothic" w:eastAsia="MS PGothic" w:hAnsi="MS PGothic"/>
          <w:sz w:val="15"/>
          <w:szCs w:val="15"/>
          <w:color w:val="244F78"/>
        </w:rPr>
      </w:pPr>
    </w:p>
    <w:p>
      <w:pPr>
        <w:ind w:left="1740" w:right="160" w:hanging="386"/>
        <w:spacing w:after="0" w:line="186" w:lineRule="auto"/>
        <w:tabs>
          <w:tab w:leader="none" w:pos="1740" w:val="left"/>
        </w:tabs>
        <w:numPr>
          <w:ilvl w:val="0"/>
          <w:numId w:val="44"/>
        </w:numPr>
        <w:rPr>
          <w:rFonts w:ascii="MS PGothic" w:cs="MS PGothic" w:eastAsia="MS PGothic" w:hAnsi="MS PGothic"/>
          <w:sz w:val="30"/>
          <w:szCs w:val="30"/>
          <w:color w:val="244F78"/>
          <w:vertAlign w:val="subscript"/>
        </w:rPr>
      </w:pPr>
      <w:r>
        <w:rPr>
          <w:rFonts w:ascii="Arial" w:cs="Arial" w:eastAsia="Arial" w:hAnsi="Arial"/>
          <w:sz w:val="15"/>
          <w:szCs w:val="15"/>
          <w:color w:val="58585A"/>
        </w:rPr>
        <w:t>Have transparent executive compensation disclosures in our annual proxy statements</w:t>
      </w:r>
    </w:p>
    <w:p>
      <w:pPr>
        <w:spacing w:after="0" w:line="139" w:lineRule="exact"/>
        <w:rPr>
          <w:rFonts w:ascii="MS PGothic" w:cs="MS PGothic" w:eastAsia="MS PGothic" w:hAnsi="MS PGothic"/>
          <w:sz w:val="30"/>
          <w:szCs w:val="30"/>
          <w:color w:val="244F78"/>
          <w:vertAlign w:val="subscript"/>
        </w:rPr>
      </w:pPr>
    </w:p>
    <w:p>
      <w:pPr>
        <w:ind w:left="1740" w:right="100" w:hanging="386"/>
        <w:spacing w:after="0" w:line="186" w:lineRule="auto"/>
        <w:tabs>
          <w:tab w:leader="none" w:pos="1740" w:val="left"/>
        </w:tabs>
        <w:numPr>
          <w:ilvl w:val="0"/>
          <w:numId w:val="44"/>
        </w:numPr>
        <w:rPr>
          <w:rFonts w:ascii="MS PGothic" w:cs="MS PGothic" w:eastAsia="MS PGothic" w:hAnsi="MS PGothic"/>
          <w:sz w:val="30"/>
          <w:szCs w:val="30"/>
          <w:color w:val="244F78"/>
          <w:vertAlign w:val="subscript"/>
        </w:rPr>
      </w:pPr>
      <w:r>
        <w:rPr>
          <w:rFonts w:ascii="Arial" w:cs="Arial" w:eastAsia="Arial" w:hAnsi="Arial"/>
          <w:sz w:val="15"/>
          <w:szCs w:val="15"/>
          <w:color w:val="58585A"/>
        </w:rPr>
        <w:t>Use a thorough methodology for comparing our executive compensation to market practices</w:t>
      </w:r>
    </w:p>
    <w:p>
      <w:pPr>
        <w:spacing w:after="0" w:line="139" w:lineRule="exact"/>
        <w:rPr>
          <w:rFonts w:ascii="MS PGothic" w:cs="MS PGothic" w:eastAsia="MS PGothic" w:hAnsi="MS PGothic"/>
          <w:sz w:val="30"/>
          <w:szCs w:val="30"/>
          <w:color w:val="244F78"/>
          <w:vertAlign w:val="subscript"/>
        </w:rPr>
      </w:pPr>
    </w:p>
    <w:p>
      <w:pPr>
        <w:ind w:left="1740" w:right="300" w:hanging="386"/>
        <w:spacing w:after="0" w:line="271" w:lineRule="auto"/>
        <w:tabs>
          <w:tab w:leader="none" w:pos="1740" w:val="left"/>
        </w:tabs>
        <w:numPr>
          <w:ilvl w:val="0"/>
          <w:numId w:val="44"/>
        </w:numPr>
        <w:rPr>
          <w:rFonts w:ascii="MS PGothic" w:cs="MS PGothic" w:eastAsia="MS PGothic" w:hAnsi="MS PGothic"/>
          <w:sz w:val="29"/>
          <w:szCs w:val="29"/>
          <w:color w:val="244F78"/>
          <w:vertAlign w:val="subscript"/>
        </w:rPr>
      </w:pPr>
      <w:r>
        <w:rPr>
          <w:rFonts w:ascii="Arial" w:cs="Arial" w:eastAsia="Arial" w:hAnsi="Arial"/>
          <w:sz w:val="14"/>
          <w:szCs w:val="14"/>
          <w:color w:val="58585A"/>
        </w:rPr>
        <w:t>Have a policy that annual grants of restricted stock will utilize a vesting schedule of not less than three years Retain an independent compensation consultant that</w:t>
      </w:r>
    </w:p>
    <w:p>
      <w:pPr>
        <w:jc w:val="both"/>
        <w:ind w:left="1740" w:right="240" w:hanging="386"/>
        <w:spacing w:after="0" w:line="205" w:lineRule="auto"/>
        <w:tabs>
          <w:tab w:leader="none" w:pos="1740" w:val="left"/>
        </w:tabs>
        <w:numPr>
          <w:ilvl w:val="0"/>
          <w:numId w:val="44"/>
        </w:numPr>
        <w:rPr>
          <w:rFonts w:ascii="MS PGothic" w:cs="MS PGothic" w:eastAsia="MS PGothic" w:hAnsi="MS PGothic"/>
          <w:sz w:val="29"/>
          <w:szCs w:val="29"/>
          <w:color w:val="244F78"/>
          <w:vertAlign w:val="subscript"/>
        </w:rPr>
      </w:pPr>
      <w:r>
        <w:rPr>
          <w:rFonts w:ascii="Arial" w:cs="Arial" w:eastAsia="Arial" w:hAnsi="Arial"/>
          <w:sz w:val="14"/>
          <w:szCs w:val="14"/>
          <w:color w:val="58585A"/>
        </w:rPr>
        <w:t>reports solely to our compensation committee, and that does not provide our compensation committee services other than executive compensation consulting</w:t>
      </w:r>
    </w:p>
    <w:p>
      <w:pPr>
        <w:spacing w:after="0" w:line="141" w:lineRule="exact"/>
        <w:rPr>
          <w:rFonts w:ascii="MS PGothic" w:cs="MS PGothic" w:eastAsia="MS PGothic" w:hAnsi="MS PGothic"/>
          <w:sz w:val="29"/>
          <w:szCs w:val="29"/>
          <w:color w:val="244F78"/>
          <w:vertAlign w:val="subscript"/>
        </w:rPr>
      </w:pPr>
    </w:p>
    <w:p>
      <w:pPr>
        <w:ind w:left="1740" w:hanging="386"/>
        <w:spacing w:after="0"/>
        <w:tabs>
          <w:tab w:leader="none" w:pos="1740" w:val="left"/>
        </w:tabs>
        <w:numPr>
          <w:ilvl w:val="0"/>
          <w:numId w:val="44"/>
        </w:numPr>
        <w:rPr>
          <w:rFonts w:ascii="MS PGothic" w:cs="MS PGothic" w:eastAsia="MS PGothic" w:hAnsi="MS PGothic"/>
          <w:sz w:val="15"/>
          <w:szCs w:val="15"/>
          <w:color w:val="244F78"/>
        </w:rPr>
      </w:pPr>
      <w:r>
        <w:rPr>
          <w:rFonts w:ascii="Arial" w:cs="Arial" w:eastAsia="Arial" w:hAnsi="Arial"/>
          <w:sz w:val="15"/>
          <w:szCs w:val="15"/>
          <w:color w:val="58585A"/>
        </w:rPr>
        <w:t>Cap payouts on incentive awards</w:t>
      </w:r>
    </w:p>
    <w:p>
      <w:pPr>
        <w:spacing w:after="0" w:line="160" w:lineRule="exact"/>
        <w:rPr>
          <w:rFonts w:ascii="MS PGothic" w:cs="MS PGothic" w:eastAsia="MS PGothic" w:hAnsi="MS PGothic"/>
          <w:sz w:val="15"/>
          <w:szCs w:val="15"/>
          <w:color w:val="244F78"/>
        </w:rPr>
      </w:pPr>
    </w:p>
    <w:p>
      <w:pPr>
        <w:ind w:left="1740" w:right="140" w:hanging="386"/>
        <w:spacing w:after="0" w:line="194" w:lineRule="auto"/>
        <w:tabs>
          <w:tab w:leader="none" w:pos="1740" w:val="left"/>
        </w:tabs>
        <w:numPr>
          <w:ilvl w:val="0"/>
          <w:numId w:val="44"/>
        </w:numPr>
        <w:rPr>
          <w:rFonts w:ascii="MS PGothic" w:cs="MS PGothic" w:eastAsia="MS PGothic" w:hAnsi="MS PGothic"/>
          <w:sz w:val="29"/>
          <w:szCs w:val="29"/>
          <w:color w:val="244F78"/>
          <w:vertAlign w:val="subscript"/>
        </w:rPr>
      </w:pPr>
      <w:r>
        <w:rPr>
          <w:rFonts w:ascii="Arial" w:cs="Arial" w:eastAsia="Arial" w:hAnsi="Arial"/>
          <w:sz w:val="14"/>
          <w:szCs w:val="14"/>
          <w:color w:val="58585A"/>
        </w:rPr>
        <w:t>Use non-discretionary, pre-established, objectively determinable performance goals for our incentive awards</w:t>
      </w:r>
    </w:p>
    <w:p>
      <w:pPr>
        <w:spacing w:after="0" w:line="140" w:lineRule="exact"/>
        <w:rPr>
          <w:rFonts w:ascii="MS PGothic" w:cs="MS PGothic" w:eastAsia="MS PGothic" w:hAnsi="MS PGothic"/>
          <w:sz w:val="29"/>
          <w:szCs w:val="29"/>
          <w:color w:val="244F78"/>
          <w:vertAlign w:val="subscript"/>
        </w:rPr>
      </w:pPr>
    </w:p>
    <w:p>
      <w:pPr>
        <w:ind w:left="1740" w:right="220" w:hanging="386"/>
        <w:spacing w:after="0" w:line="186" w:lineRule="auto"/>
        <w:tabs>
          <w:tab w:leader="none" w:pos="1740" w:val="left"/>
        </w:tabs>
        <w:numPr>
          <w:ilvl w:val="0"/>
          <w:numId w:val="44"/>
        </w:numPr>
        <w:rPr>
          <w:rFonts w:ascii="MS PGothic" w:cs="MS PGothic" w:eastAsia="MS PGothic" w:hAnsi="MS PGothic"/>
          <w:sz w:val="30"/>
          <w:szCs w:val="30"/>
          <w:color w:val="244F78"/>
          <w:vertAlign w:val="subscript"/>
        </w:rPr>
      </w:pPr>
      <w:r>
        <w:rPr>
          <w:rFonts w:ascii="Arial" w:cs="Arial" w:eastAsia="Arial" w:hAnsi="Arial"/>
          <w:sz w:val="15"/>
          <w:szCs w:val="15"/>
          <w:color w:val="58585A"/>
        </w:rPr>
        <w:t>Utilize a below market run rate for the number of annual shares granted under our equity incentive plan</w:t>
      </w:r>
    </w:p>
    <w:p>
      <w:pPr>
        <w:spacing w:after="0" w:line="20" w:lineRule="exact"/>
        <w:rPr>
          <w:sz w:val="20"/>
          <w:szCs w:val="20"/>
          <w:color w:val="auto"/>
        </w:rPr>
      </w:pPr>
      <w:r>
        <w:rPr>
          <w:sz w:val="20"/>
          <w:szCs w:val="20"/>
          <w:color w:val="auto"/>
        </w:rPr>
        <w:br w:type="column"/>
      </w:r>
    </w:p>
    <w:p>
      <w:pPr>
        <w:ind w:left="1501"/>
        <w:spacing w:after="0"/>
        <w:rPr>
          <w:sz w:val="20"/>
          <w:szCs w:val="20"/>
          <w:color w:val="auto"/>
        </w:rPr>
      </w:pPr>
      <w:r>
        <w:rPr>
          <w:rFonts w:ascii="Arial" w:cs="Arial" w:eastAsia="Arial" w:hAnsi="Arial"/>
          <w:sz w:val="15"/>
          <w:szCs w:val="15"/>
          <w:b w:val="1"/>
          <w:bCs w:val="1"/>
          <w:color w:val="FFFFFF"/>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-155575</wp:posOffset>
            </wp:positionV>
            <wp:extent cx="2738755" cy="2355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38755" cy="2355215"/>
                    </a:xfrm>
                    <a:prstGeom prst="rect">
                      <a:avLst/>
                    </a:prstGeom>
                    <a:noFill/>
                  </pic:spPr>
                </pic:pic>
              </a:graphicData>
            </a:graphic>
          </wp:anchor>
        </w:drawing>
      </w:r>
    </w:p>
    <w:p>
      <w:pPr>
        <w:spacing w:after="0" w:line="226" w:lineRule="exact"/>
        <w:rPr>
          <w:sz w:val="20"/>
          <w:szCs w:val="20"/>
          <w:color w:val="auto"/>
        </w:rPr>
      </w:pPr>
    </w:p>
    <w:p>
      <w:pPr>
        <w:ind w:left="361" w:hanging="361"/>
        <w:spacing w:after="0"/>
        <w:tabs>
          <w:tab w:leader="none" w:pos="361" w:val="left"/>
        </w:tabs>
        <w:numPr>
          <w:ilvl w:val="0"/>
          <w:numId w:val="45"/>
        </w:numPr>
        <w:rPr>
          <w:rFonts w:ascii="Times New Roman" w:cs="Times New Roman" w:eastAsia="Times New Roman" w:hAnsi="Times New Roman"/>
          <w:sz w:val="15"/>
          <w:szCs w:val="15"/>
          <w:b w:val="1"/>
          <w:bCs w:val="1"/>
          <w:color w:val="244F78"/>
        </w:rPr>
      </w:pPr>
      <w:r>
        <w:rPr>
          <w:rFonts w:ascii="Arial" w:cs="Arial" w:eastAsia="Arial" w:hAnsi="Arial"/>
          <w:sz w:val="15"/>
          <w:szCs w:val="15"/>
          <w:color w:val="58595B"/>
        </w:rPr>
        <w:t>Provide tax gross-ups or reimbursement of taxes</w:t>
      </w:r>
    </w:p>
    <w:p>
      <w:pPr>
        <w:spacing w:after="0" w:line="245" w:lineRule="exact"/>
        <w:rPr>
          <w:rFonts w:ascii="Times New Roman" w:cs="Times New Roman" w:eastAsia="Times New Roman" w:hAnsi="Times New Roman"/>
          <w:sz w:val="15"/>
          <w:szCs w:val="15"/>
          <w:b w:val="1"/>
          <w:bCs w:val="1"/>
          <w:color w:val="244F78"/>
        </w:rPr>
      </w:pPr>
    </w:p>
    <w:p>
      <w:pPr>
        <w:ind w:left="361" w:hanging="357"/>
        <w:spacing w:after="0"/>
        <w:tabs>
          <w:tab w:leader="none" w:pos="361" w:val="left"/>
        </w:tabs>
        <w:numPr>
          <w:ilvl w:val="0"/>
          <w:numId w:val="45"/>
        </w:numPr>
        <w:rPr>
          <w:rFonts w:ascii="Arial" w:cs="Arial" w:eastAsia="Arial" w:hAnsi="Arial"/>
          <w:sz w:val="15"/>
          <w:szCs w:val="15"/>
          <w:b w:val="1"/>
          <w:bCs w:val="1"/>
          <w:color w:val="244F78"/>
        </w:rPr>
      </w:pPr>
      <w:r>
        <w:rPr>
          <w:rFonts w:ascii="Arial" w:cs="Arial" w:eastAsia="Arial" w:hAnsi="Arial"/>
          <w:sz w:val="15"/>
          <w:szCs w:val="15"/>
          <w:color w:val="58595B"/>
        </w:rPr>
        <w:t>Have liberal change in control definitions</w:t>
      </w:r>
    </w:p>
    <w:p>
      <w:pPr>
        <w:spacing w:after="0" w:line="160" w:lineRule="exact"/>
        <w:rPr>
          <w:rFonts w:ascii="Arial" w:cs="Arial" w:eastAsia="Arial" w:hAnsi="Arial"/>
          <w:sz w:val="15"/>
          <w:szCs w:val="15"/>
          <w:b w:val="1"/>
          <w:bCs w:val="1"/>
          <w:color w:val="244F78"/>
        </w:rPr>
      </w:pPr>
    </w:p>
    <w:p>
      <w:pPr>
        <w:jc w:val="both"/>
        <w:ind w:left="361" w:right="1300"/>
        <w:spacing w:after="0" w:line="267" w:lineRule="auto"/>
        <w:rPr>
          <w:rFonts w:ascii="Arial" w:cs="Arial" w:eastAsia="Arial" w:hAnsi="Arial"/>
          <w:sz w:val="15"/>
          <w:szCs w:val="15"/>
          <w:b w:val="1"/>
          <w:bCs w:val="1"/>
          <w:color w:val="244F78"/>
        </w:rPr>
      </w:pPr>
      <w:r>
        <w:rPr>
          <w:rFonts w:ascii="Arial" w:cs="Arial" w:eastAsia="Arial" w:hAnsi="Arial"/>
          <w:sz w:val="14"/>
          <w:szCs w:val="14"/>
          <w:color w:val="58595B"/>
        </w:rPr>
        <w:t>Include modified single trigger severance provisions – which provide severance upon a voluntary termination</w:t>
      </w:r>
    </w:p>
    <w:p>
      <w:pPr>
        <w:ind w:left="361" w:right="1420" w:hanging="357"/>
        <w:spacing w:after="0" w:line="183" w:lineRule="auto"/>
        <w:tabs>
          <w:tab w:leader="none" w:pos="361" w:val="left"/>
        </w:tabs>
        <w:numPr>
          <w:ilvl w:val="0"/>
          <w:numId w:val="45"/>
        </w:numPr>
        <w:rPr>
          <w:rFonts w:ascii="Arial" w:cs="Arial" w:eastAsia="Arial" w:hAnsi="Arial"/>
          <w:sz w:val="26"/>
          <w:szCs w:val="26"/>
          <w:b w:val="1"/>
          <w:bCs w:val="1"/>
          <w:color w:val="244F78"/>
          <w:vertAlign w:val="subscript"/>
        </w:rPr>
      </w:pPr>
      <w:r>
        <w:rPr>
          <w:rFonts w:ascii="Arial" w:cs="Arial" w:eastAsia="Arial" w:hAnsi="Arial"/>
          <w:sz w:val="14"/>
          <w:szCs w:val="14"/>
          <w:color w:val="58595B"/>
        </w:rPr>
        <w:t>of employment following a change in control – in our executive employment agreements</w:t>
      </w:r>
    </w:p>
    <w:p>
      <w:pPr>
        <w:spacing w:after="0" w:line="200" w:lineRule="exact"/>
        <w:rPr>
          <w:rFonts w:ascii="Arial" w:cs="Arial" w:eastAsia="Arial" w:hAnsi="Arial"/>
          <w:sz w:val="26"/>
          <w:szCs w:val="26"/>
          <w:b w:val="1"/>
          <w:bCs w:val="1"/>
          <w:color w:val="244F78"/>
          <w:vertAlign w:val="subscript"/>
        </w:rPr>
      </w:pPr>
    </w:p>
    <w:p>
      <w:pPr>
        <w:spacing w:after="0" w:line="347" w:lineRule="exact"/>
        <w:rPr>
          <w:rFonts w:ascii="Arial" w:cs="Arial" w:eastAsia="Arial" w:hAnsi="Arial"/>
          <w:sz w:val="26"/>
          <w:szCs w:val="26"/>
          <w:b w:val="1"/>
          <w:bCs w:val="1"/>
          <w:color w:val="244F78"/>
          <w:vertAlign w:val="subscript"/>
        </w:rPr>
      </w:pPr>
    </w:p>
    <w:p>
      <w:pPr>
        <w:ind w:left="361" w:right="1320" w:hanging="357"/>
        <w:spacing w:after="0" w:line="186" w:lineRule="auto"/>
        <w:tabs>
          <w:tab w:leader="none" w:pos="361" w:val="left"/>
        </w:tabs>
        <w:numPr>
          <w:ilvl w:val="0"/>
          <w:numId w:val="45"/>
        </w:numPr>
        <w:rPr>
          <w:rFonts w:ascii="Arial" w:cs="Arial" w:eastAsia="Arial" w:hAnsi="Arial"/>
          <w:sz w:val="27"/>
          <w:szCs w:val="27"/>
          <w:b w:val="1"/>
          <w:bCs w:val="1"/>
          <w:color w:val="244F78"/>
          <w:vertAlign w:val="subscript"/>
        </w:rPr>
      </w:pPr>
      <w:r>
        <w:rPr>
          <w:rFonts w:ascii="Arial" w:cs="Arial" w:eastAsia="Arial" w:hAnsi="Arial"/>
          <w:sz w:val="14"/>
          <w:szCs w:val="14"/>
          <w:color w:val="58585A"/>
        </w:rPr>
        <w:t>Allow hedging and pledging transactions involving our securities without board approval</w:t>
      </w:r>
    </w:p>
    <w:p>
      <w:pPr>
        <w:spacing w:after="0" w:line="226" w:lineRule="exact"/>
        <w:rPr>
          <w:rFonts w:ascii="Arial" w:cs="Arial" w:eastAsia="Arial" w:hAnsi="Arial"/>
          <w:sz w:val="27"/>
          <w:szCs w:val="27"/>
          <w:b w:val="1"/>
          <w:bCs w:val="1"/>
          <w:color w:val="244F78"/>
          <w:vertAlign w:val="subscript"/>
        </w:rPr>
      </w:pPr>
    </w:p>
    <w:p>
      <w:pPr>
        <w:ind w:left="361"/>
        <w:spacing w:after="0"/>
        <w:rPr>
          <w:rFonts w:ascii="Arial" w:cs="Arial" w:eastAsia="Arial" w:hAnsi="Arial"/>
          <w:sz w:val="27"/>
          <w:szCs w:val="27"/>
          <w:b w:val="1"/>
          <w:bCs w:val="1"/>
          <w:color w:val="244F78"/>
          <w:vertAlign w:val="subscript"/>
        </w:rPr>
      </w:pPr>
      <w:r>
        <w:rPr>
          <w:rFonts w:ascii="Arial" w:cs="Arial" w:eastAsia="Arial" w:hAnsi="Arial"/>
          <w:sz w:val="15"/>
          <w:szCs w:val="15"/>
          <w:color w:val="58585A"/>
        </w:rPr>
        <w:t>Have multi-year guarantees for salary increases, non-</w:t>
      </w:r>
    </w:p>
    <w:p>
      <w:pPr>
        <w:spacing w:after="0" w:line="14" w:lineRule="exact"/>
        <w:rPr>
          <w:rFonts w:ascii="Arial" w:cs="Arial" w:eastAsia="Arial" w:hAnsi="Arial"/>
          <w:sz w:val="27"/>
          <w:szCs w:val="27"/>
          <w:b w:val="1"/>
          <w:bCs w:val="1"/>
          <w:color w:val="244F78"/>
          <w:vertAlign w:val="subscript"/>
        </w:rPr>
      </w:pPr>
    </w:p>
    <w:p>
      <w:pPr>
        <w:ind w:left="361" w:right="1160" w:hanging="357"/>
        <w:spacing w:after="0" w:line="285" w:lineRule="auto"/>
        <w:tabs>
          <w:tab w:leader="none" w:pos="361" w:val="left"/>
        </w:tabs>
        <w:numPr>
          <w:ilvl w:val="0"/>
          <w:numId w:val="45"/>
        </w:numPr>
        <w:rPr>
          <w:rFonts w:ascii="Arial" w:cs="Arial" w:eastAsia="Arial" w:hAnsi="Arial"/>
          <w:sz w:val="14"/>
          <w:szCs w:val="14"/>
          <w:b w:val="1"/>
          <w:bCs w:val="1"/>
          <w:color w:val="244F78"/>
        </w:rPr>
      </w:pPr>
      <w:r>
        <w:rPr>
          <w:rFonts w:ascii="Arial" w:cs="Arial" w:eastAsia="Arial" w:hAnsi="Arial"/>
          <w:sz w:val="14"/>
          <w:szCs w:val="14"/>
          <w:color w:val="58585A"/>
        </w:rPr>
        <w:t>performance-based bonuses or guaranteed equity compensation in our executive employment agreements</w:t>
      </w:r>
    </w:p>
    <w:p>
      <w:pPr>
        <w:spacing w:after="0" w:line="4901" w:lineRule="exact"/>
        <w:rPr>
          <w:sz w:val="20"/>
          <w:szCs w:val="20"/>
          <w:color w:val="auto"/>
        </w:rPr>
      </w:pPr>
    </w:p>
    <w:p>
      <w:pPr>
        <w:sectPr>
          <w:pgSz w:w="11900" w:h="16838" w:orient="portrait"/>
          <w:cols w:equalWidth="0" w:num="2">
            <w:col w:w="5600" w:space="439"/>
            <w:col w:w="5201"/>
          </w:cols>
          <w:pgMar w:left="320" w:top="1076" w:right="339" w:bottom="1440" w:gutter="0" w:footer="0" w:header="0"/>
        </w:sectPr>
      </w:pPr>
    </w:p>
    <w:p>
      <w:pPr>
        <w:spacing w:after="0" w:line="12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COMPONENTS OF TOTAL COMPENSATION AND PAY MIX</w:t>
      </w:r>
    </w:p>
    <w:p>
      <w:pPr>
        <w:spacing w:after="0" w:line="131" w:lineRule="exact"/>
        <w:rPr>
          <w:sz w:val="20"/>
          <w:szCs w:val="20"/>
          <w:color w:val="auto"/>
        </w:rPr>
      </w:pPr>
    </w:p>
    <w:p>
      <w:pPr>
        <w:ind w:left="1180" w:right="1020"/>
        <w:spacing w:after="0" w:line="238" w:lineRule="auto"/>
        <w:rPr>
          <w:sz w:val="20"/>
          <w:szCs w:val="20"/>
          <w:color w:val="auto"/>
        </w:rPr>
      </w:pPr>
      <w:r>
        <w:rPr>
          <w:rFonts w:ascii="Arial" w:cs="Arial" w:eastAsia="Arial" w:hAnsi="Arial"/>
          <w:sz w:val="18"/>
          <w:szCs w:val="18"/>
          <w:color w:val="58595B"/>
        </w:rPr>
        <w:t>We compensate our executive officers primarily through a mix of base salary, annual cash incentives and long-term equity-based incentives. We also provide our executive officers with the same retirement and employee benefit plans that are offered to our other employees, as well as limited other benefits, although these items are not significant components of our compensation programs. The following table provides information regarding the elements of compensation provided to our named executive officers in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38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6" w:right="339" w:bottom="1440" w:gutter="0" w:footer="0" w:header="0"/>
          <w:type w:val="continuous"/>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3238500</wp:posOffset>
            </wp:positionH>
            <wp:positionV relativeFrom="page">
              <wp:posOffset>519430</wp:posOffset>
            </wp:positionV>
            <wp:extent cx="15875" cy="383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 cy="383540"/>
                    </a:xfrm>
                    <a:prstGeom prst="rect">
                      <a:avLst/>
                    </a:prstGeom>
                    <a:noFill/>
                  </pic:spPr>
                </pic:pic>
              </a:graphicData>
            </a:graphic>
          </wp:anchor>
        </w:drawing>
        <w:drawing>
          <wp:anchor simplePos="0" relativeHeight="251657728" behindDoc="1" locked="0" layoutInCell="0" allowOverlap="1">
            <wp:simplePos x="0" y="0"/>
            <wp:positionH relativeFrom="page">
              <wp:posOffset>2134870</wp:posOffset>
            </wp:positionH>
            <wp:positionV relativeFrom="page">
              <wp:posOffset>519430</wp:posOffset>
            </wp:positionV>
            <wp:extent cx="15875" cy="383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75" cy="383540"/>
                    </a:xfrm>
                    <a:prstGeom prst="rect">
                      <a:avLst/>
                    </a:prstGeom>
                    <a:noFill/>
                  </pic:spPr>
                </pic:pic>
              </a:graphicData>
            </a:graphic>
          </wp:anchor>
        </w:drawing>
      </w:r>
    </w:p>
    <w:tbl>
      <w:tblPr>
        <w:tblLayout w:type="fixed"/>
        <w:tblInd w:w="830" w:type="dxa"/>
        <w:tblCellMar>
          <w:top w:w="0" w:type="dxa"/>
          <w:left w:w="0" w:type="dxa"/>
          <w:bottom w:w="0" w:type="dxa"/>
          <w:right w:w="0" w:type="dxa"/>
        </w:tblCellMar>
      </w:tblPr>
      <w:tr>
        <w:trPr>
          <w:trHeight w:val="271"/>
        </w:trPr>
        <w:tc>
          <w:tcPr>
            <w:tcW w:w="1900" w:type="dxa"/>
            <w:vAlign w:val="bottom"/>
            <w:tcBorders>
              <w:top w:val="single" w:sz="8" w:color="auto"/>
              <w:left w:val="single" w:sz="8" w:color="auto"/>
              <w:right w:val="single" w:sz="8" w:color="234E77"/>
            </w:tcBorders>
            <w:shd w:val="clear" w:color="auto" w:fill="234E77"/>
          </w:tcPr>
          <w:p>
            <w:pPr>
              <w:ind w:left="100"/>
              <w:spacing w:after="0"/>
              <w:rPr>
                <w:sz w:val="20"/>
                <w:szCs w:val="20"/>
                <w:color w:val="auto"/>
              </w:rPr>
            </w:pPr>
            <w:r>
              <w:rPr>
                <w:rFonts w:ascii="Arial" w:cs="Arial" w:eastAsia="Arial" w:hAnsi="Arial"/>
                <w:sz w:val="16"/>
                <w:szCs w:val="16"/>
                <w:b w:val="1"/>
                <w:bCs w:val="1"/>
                <w:color w:val="FFFFFF"/>
              </w:rPr>
              <w:t>Category of</w:t>
            </w:r>
          </w:p>
        </w:tc>
        <w:tc>
          <w:tcPr>
            <w:tcW w:w="1740" w:type="dxa"/>
            <w:vAlign w:val="bottom"/>
            <w:tcBorders>
              <w:top w:val="single" w:sz="8" w:color="auto"/>
              <w:right w:val="single" w:sz="8" w:color="234E77"/>
            </w:tcBorders>
            <w:shd w:val="clear" w:color="auto" w:fill="234E77"/>
          </w:tcPr>
          <w:p>
            <w:pPr>
              <w:ind w:left="80"/>
              <w:spacing w:after="0"/>
              <w:rPr>
                <w:sz w:val="20"/>
                <w:szCs w:val="20"/>
                <w:color w:val="auto"/>
              </w:rPr>
            </w:pPr>
            <w:r>
              <w:rPr>
                <w:rFonts w:ascii="Arial" w:cs="Arial" w:eastAsia="Arial" w:hAnsi="Arial"/>
                <w:sz w:val="16"/>
                <w:szCs w:val="16"/>
                <w:b w:val="1"/>
                <w:bCs w:val="1"/>
                <w:color w:val="FFFFFF"/>
              </w:rPr>
              <w:t>Type of</w:t>
            </w:r>
          </w:p>
        </w:tc>
        <w:tc>
          <w:tcPr>
            <w:tcW w:w="5360" w:type="dxa"/>
            <w:vAlign w:val="bottom"/>
            <w:tcBorders>
              <w:top w:val="single" w:sz="8" w:color="auto"/>
              <w:right w:val="single" w:sz="8" w:color="auto"/>
            </w:tcBorders>
            <w:shd w:val="clear" w:color="auto" w:fill="234E77"/>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900" w:type="dxa"/>
            <w:vAlign w:val="bottom"/>
            <w:tcBorders>
              <w:left w:val="single" w:sz="8" w:color="auto"/>
              <w:right w:val="single" w:sz="8" w:color="234E77"/>
            </w:tcBorders>
            <w:shd w:val="clear" w:color="auto" w:fill="234E77"/>
          </w:tcPr>
          <w:p>
            <w:pPr>
              <w:ind w:left="100"/>
              <w:spacing w:after="0"/>
              <w:rPr>
                <w:sz w:val="20"/>
                <w:szCs w:val="20"/>
                <w:color w:val="auto"/>
              </w:rPr>
            </w:pPr>
            <w:r>
              <w:rPr>
                <w:rFonts w:ascii="Arial" w:cs="Arial" w:eastAsia="Arial" w:hAnsi="Arial"/>
                <w:sz w:val="16"/>
                <w:szCs w:val="16"/>
                <w:b w:val="1"/>
                <w:bCs w:val="1"/>
                <w:color w:val="FFFFFF"/>
              </w:rPr>
              <w:t>Compensation</w:t>
            </w:r>
          </w:p>
        </w:tc>
        <w:tc>
          <w:tcPr>
            <w:tcW w:w="1740" w:type="dxa"/>
            <w:vAlign w:val="bottom"/>
            <w:tcBorders>
              <w:right w:val="single" w:sz="8" w:color="234E77"/>
            </w:tcBorders>
            <w:shd w:val="clear" w:color="auto" w:fill="234E77"/>
          </w:tcPr>
          <w:p>
            <w:pPr>
              <w:ind w:left="80"/>
              <w:spacing w:after="0"/>
              <w:rPr>
                <w:sz w:val="20"/>
                <w:szCs w:val="20"/>
                <w:color w:val="auto"/>
              </w:rPr>
            </w:pPr>
            <w:r>
              <w:rPr>
                <w:rFonts w:ascii="Arial" w:cs="Arial" w:eastAsia="Arial" w:hAnsi="Arial"/>
                <w:sz w:val="16"/>
                <w:szCs w:val="16"/>
                <w:b w:val="1"/>
                <w:bCs w:val="1"/>
                <w:color w:val="FFFFFF"/>
              </w:rPr>
              <w:t>Compensation</w:t>
            </w:r>
          </w:p>
        </w:tc>
        <w:tc>
          <w:tcPr>
            <w:tcW w:w="5360" w:type="dxa"/>
            <w:vAlign w:val="bottom"/>
            <w:tcBorders>
              <w:right w:val="single" w:sz="8" w:color="auto"/>
            </w:tcBorders>
            <w:shd w:val="clear" w:color="auto" w:fill="234E77"/>
          </w:tcPr>
          <w:p>
            <w:pPr>
              <w:ind w:left="80"/>
              <w:spacing w:after="0"/>
              <w:rPr>
                <w:sz w:val="20"/>
                <w:szCs w:val="20"/>
                <w:color w:val="auto"/>
              </w:rPr>
            </w:pPr>
            <w:r>
              <w:rPr>
                <w:rFonts w:ascii="Arial" w:cs="Arial" w:eastAsia="Arial" w:hAnsi="Arial"/>
                <w:sz w:val="16"/>
                <w:szCs w:val="16"/>
                <w:b w:val="1"/>
                <w:bCs w:val="1"/>
                <w:color w:val="FFFFFF"/>
              </w:rPr>
              <w:t>Purpose of the Compensation</w:t>
            </w:r>
          </w:p>
        </w:tc>
        <w:tc>
          <w:tcPr>
            <w:tcW w:w="0" w:type="dxa"/>
            <w:vAlign w:val="bottom"/>
          </w:tcPr>
          <w:p>
            <w:pPr>
              <w:spacing w:after="0"/>
              <w:rPr>
                <w:sz w:val="1"/>
                <w:szCs w:val="1"/>
                <w:color w:val="auto"/>
              </w:rPr>
            </w:pPr>
          </w:p>
        </w:tc>
      </w:tr>
      <w:tr>
        <w:trPr>
          <w:trHeight w:val="76"/>
        </w:trPr>
        <w:tc>
          <w:tcPr>
            <w:tcW w:w="1900" w:type="dxa"/>
            <w:vAlign w:val="bottom"/>
            <w:tcBorders>
              <w:left w:val="single" w:sz="8" w:color="auto"/>
              <w:bottom w:val="single" w:sz="8" w:color="auto"/>
              <w:right w:val="single" w:sz="8" w:color="234E77"/>
            </w:tcBorders>
            <w:shd w:val="clear" w:color="auto" w:fill="234E77"/>
          </w:tcPr>
          <w:p>
            <w:pPr>
              <w:spacing w:after="0"/>
              <w:rPr>
                <w:sz w:val="6"/>
                <w:szCs w:val="6"/>
                <w:color w:val="auto"/>
              </w:rPr>
            </w:pPr>
          </w:p>
        </w:tc>
        <w:tc>
          <w:tcPr>
            <w:tcW w:w="1740" w:type="dxa"/>
            <w:vAlign w:val="bottom"/>
            <w:tcBorders>
              <w:bottom w:val="single" w:sz="8" w:color="auto"/>
              <w:right w:val="single" w:sz="8" w:color="234E77"/>
            </w:tcBorders>
            <w:shd w:val="clear" w:color="auto" w:fill="234E77"/>
          </w:tcPr>
          <w:p>
            <w:pPr>
              <w:spacing w:after="0"/>
              <w:rPr>
                <w:sz w:val="6"/>
                <w:szCs w:val="6"/>
                <w:color w:val="auto"/>
              </w:rPr>
            </w:pPr>
          </w:p>
        </w:tc>
        <w:tc>
          <w:tcPr>
            <w:tcW w:w="5360" w:type="dxa"/>
            <w:vAlign w:val="bottom"/>
            <w:tcBorders>
              <w:bottom w:val="single" w:sz="8" w:color="auto"/>
              <w:right w:val="single" w:sz="8" w:color="auto"/>
            </w:tcBorders>
            <w:shd w:val="clear" w:color="auto" w:fill="234E77"/>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58595B"/>
              </w:rPr>
              <w:t>Fixed Cash</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Salary</w:t>
            </w:r>
          </w:p>
        </w:tc>
        <w:tc>
          <w:tcPr>
            <w:tcW w:w="5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58585A"/>
              </w:rPr>
              <w:t>Salary provides a level of assured, regularly paid, cash compensation that is</w:t>
            </w:r>
          </w:p>
        </w:tc>
        <w:tc>
          <w:tcPr>
            <w:tcW w:w="0" w:type="dxa"/>
            <w:vAlign w:val="bottom"/>
          </w:tcPr>
          <w:p>
            <w:pPr>
              <w:spacing w:after="0"/>
              <w:rPr>
                <w:sz w:val="1"/>
                <w:szCs w:val="1"/>
                <w:color w:val="auto"/>
              </w:rPr>
            </w:pPr>
          </w:p>
        </w:tc>
      </w:tr>
      <w:tr>
        <w:trPr>
          <w:trHeight w:val="120"/>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Compensation</w:t>
            </w:r>
          </w:p>
        </w:tc>
        <w:tc>
          <w:tcPr>
            <w:tcW w:w="1740" w:type="dxa"/>
            <w:vAlign w:val="bottom"/>
            <w:tcBorders>
              <w:right w:val="single" w:sz="8" w:color="auto"/>
            </w:tcBorders>
            <w:vMerge w:val="continue"/>
          </w:tcPr>
          <w:p>
            <w:pPr>
              <w:spacing w:after="0"/>
              <w:rPr>
                <w:sz w:val="10"/>
                <w:szCs w:val="10"/>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competitive and helps attract and retain key employees.</w:t>
            </w:r>
          </w:p>
        </w:tc>
        <w:tc>
          <w:tcPr>
            <w:tcW w:w="0" w:type="dxa"/>
            <w:vAlign w:val="bottom"/>
          </w:tcPr>
          <w:p>
            <w:pPr>
              <w:spacing w:after="0"/>
              <w:rPr>
                <w:sz w:val="1"/>
                <w:szCs w:val="1"/>
                <w:color w:val="auto"/>
              </w:rPr>
            </w:pPr>
          </w:p>
        </w:tc>
      </w:tr>
      <w:tr>
        <w:trPr>
          <w:trHeight w:val="82"/>
        </w:trPr>
        <w:tc>
          <w:tcPr>
            <w:tcW w:w="19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900" w:type="dxa"/>
            <w:vAlign w:val="bottom"/>
            <w:tcBorders>
              <w:left w:val="single" w:sz="8" w:color="auto"/>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5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58595B"/>
              </w:rPr>
              <w:t>Short-term</w:t>
            </w:r>
          </w:p>
        </w:tc>
        <w:tc>
          <w:tcPr>
            <w:tcW w:w="1740" w:type="dxa"/>
            <w:vAlign w:val="bottom"/>
            <w:tcBorders>
              <w:right w:val="single" w:sz="8" w:color="auto"/>
            </w:tcBorders>
          </w:tcPr>
          <w:p>
            <w:pPr>
              <w:spacing w:after="0"/>
              <w:rPr>
                <w:sz w:val="19"/>
                <w:szCs w:val="19"/>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Performance-based cash incentives under our annual incentive plan are</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Performance-</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Annual Cash Incentive</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designed to motivate our employees to work towards achieving our key annual</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based Cash</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w w:val="99"/>
              </w:rPr>
              <w:t>Tied to Financial Metrics</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vMerge w:val="continue"/>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536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5"/>
                <w:szCs w:val="15"/>
                <w:color w:val="58585A"/>
              </w:rPr>
              <w:t>adjusted title revenue and adjusted pre-tax title margin goals.</w:t>
            </w:r>
          </w:p>
        </w:tc>
        <w:tc>
          <w:tcPr>
            <w:tcW w:w="0" w:type="dxa"/>
            <w:vAlign w:val="bottom"/>
          </w:tcPr>
          <w:p>
            <w:pPr>
              <w:spacing w:after="0"/>
              <w:rPr>
                <w:sz w:val="1"/>
                <w:szCs w:val="1"/>
                <w:color w:val="auto"/>
              </w:rPr>
            </w:pPr>
          </w:p>
        </w:tc>
      </w:tr>
      <w:tr>
        <w:trPr>
          <w:trHeight w:val="197"/>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58595B"/>
              </w:rPr>
              <w:t>Incentives</w:t>
            </w:r>
          </w:p>
        </w:tc>
        <w:tc>
          <w:tcPr>
            <w:tcW w:w="174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Performance-based</w:t>
            </w:r>
          </w:p>
        </w:tc>
        <w:tc>
          <w:tcPr>
            <w:tcW w:w="5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58585A"/>
              </w:rPr>
              <w:t>Performance-based restricted stock helps to tie our named executive officers’</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long-term financial interests to our adjusted pre-tax title margin and to the long-</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Long-term Equity</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Restricted Stock</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term financial interests of our shareholders, as well as to retain key executives</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Incentives</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Tied to Financial</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through a three-year vesting period and maintain a market competitive position</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Metrics</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for total compensation.</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900" w:type="dxa"/>
            <w:vAlign w:val="bottom"/>
            <w:tcBorders>
              <w:left w:val="single" w:sz="8" w:color="auto"/>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5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190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ESPP, 401(k) Plan,</w:t>
            </w:r>
          </w:p>
        </w:tc>
        <w:tc>
          <w:tcPr>
            <w:tcW w:w="53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58585A"/>
              </w:rPr>
              <w:t>Our named executive officers’ benefits generally mirror our company-wide</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employee benefit programs. For security safety reasons and to make travel</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b w:val="1"/>
                <w:bCs w:val="1"/>
                <w:color w:val="58595B"/>
              </w:rPr>
              <w:t>Benefits &amp; Other</w:t>
            </w: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health insurance and</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more efficient and productive for our named executive officers, they are eligible</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other benefits</w:t>
            </w: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58585A"/>
              </w:rPr>
              <w:t>to travel on our corporate aircraft.</w:t>
            </w:r>
          </w:p>
        </w:tc>
        <w:tc>
          <w:tcPr>
            <w:tcW w:w="0" w:type="dxa"/>
            <w:vAlign w:val="bottom"/>
          </w:tcPr>
          <w:p>
            <w:pPr>
              <w:spacing w:after="0"/>
              <w:rPr>
                <w:sz w:val="1"/>
                <w:szCs w:val="1"/>
                <w:color w:val="auto"/>
              </w:rPr>
            </w:pPr>
          </w:p>
        </w:tc>
      </w:tr>
      <w:tr>
        <w:trPr>
          <w:trHeight w:val="86"/>
        </w:trPr>
        <w:tc>
          <w:tcPr>
            <w:tcW w:w="190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5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5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69B"/>
        </w:rPr>
        <w:t>ALLOCATION OF TOTAL COMPENSATION FOR 2025</w:t>
      </w:r>
    </w:p>
    <w:p>
      <w:pPr>
        <w:spacing w:after="0" w:line="193" w:lineRule="exact"/>
        <w:rPr>
          <w:sz w:val="20"/>
          <w:szCs w:val="20"/>
          <w:color w:val="auto"/>
        </w:rPr>
      </w:pPr>
    </w:p>
    <w:p>
      <w:pPr>
        <w:ind w:left="820" w:right="340"/>
        <w:spacing w:after="0" w:line="266" w:lineRule="auto"/>
        <w:rPr>
          <w:sz w:val="20"/>
          <w:szCs w:val="20"/>
          <w:color w:val="auto"/>
        </w:rPr>
      </w:pPr>
      <w:r>
        <w:rPr>
          <w:rFonts w:ascii="Arial" w:cs="Arial" w:eastAsia="Arial" w:hAnsi="Arial"/>
          <w:sz w:val="18"/>
          <w:szCs w:val="18"/>
          <w:color w:val="58595B"/>
        </w:rPr>
        <w:t>The following chart and table show the average allocation of 2025 Total Compensation reported in the Summary Compensation Table among the components of our compensation programs: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274F78"/>
        </w:rPr>
        <w:t>NAMED EXECUTIVE OFFICERS’</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8595B"/>
        </w:rPr>
        <w:t>2025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116205</wp:posOffset>
            </wp:positionV>
            <wp:extent cx="7144385" cy="24098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39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625475</wp:posOffset>
            </wp:positionV>
            <wp:extent cx="71443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7" w:right="879" w:bottom="1440" w:gutter="0" w:footer="0" w:header="0"/>
        </w:sectPr>
      </w:pPr>
    </w:p>
    <w:bookmarkStart w:id="43" w:name="page44"/>
    <w:bookmarkEnd w:id="43"/>
    <w:p>
      <w:pPr>
        <w:jc w:val="center"/>
        <w:spacing w:after="0"/>
        <w:rPr>
          <w:sz w:val="20"/>
          <w:szCs w:val="20"/>
          <w:color w:val="auto"/>
        </w:rPr>
      </w:pPr>
      <w:r>
        <w:rPr>
          <w:rFonts w:ascii="Arial" w:cs="Arial" w:eastAsia="Arial" w:hAnsi="Arial"/>
          <w:sz w:val="23"/>
          <w:szCs w:val="23"/>
          <w:b w:val="1"/>
          <w:bCs w:val="1"/>
          <w:color w:val="5E769B"/>
        </w:rPr>
        <w:t>2025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5539105</wp:posOffset>
            </wp:positionH>
            <wp:positionV relativeFrom="paragraph">
              <wp:posOffset>96520</wp:posOffset>
            </wp:positionV>
            <wp:extent cx="15875" cy="805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75" cy="80581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96520</wp:posOffset>
            </wp:positionV>
            <wp:extent cx="15875" cy="805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75" cy="80581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96520</wp:posOffset>
            </wp:positionV>
            <wp:extent cx="15875" cy="805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875" cy="80581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96520</wp:posOffset>
            </wp:positionV>
            <wp:extent cx="15875" cy="8058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875" cy="80581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96520</wp:posOffset>
            </wp:positionV>
            <wp:extent cx="15875" cy="805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75" cy="805815"/>
                    </a:xfrm>
                    <a:prstGeom prst="rect">
                      <a:avLst/>
                    </a:prstGeom>
                    <a:noFill/>
                  </pic:spPr>
                </pic:pic>
              </a:graphicData>
            </a:graphic>
          </wp:anchor>
        </w:drawing>
      </w:r>
    </w:p>
    <w:p>
      <w:pPr>
        <w:spacing w:after="0" w:line="112" w:lineRule="exact"/>
        <w:rPr>
          <w:sz w:val="20"/>
          <w:szCs w:val="20"/>
          <w:color w:val="auto"/>
        </w:rPr>
      </w:pPr>
    </w:p>
    <w:tbl>
      <w:tblPr>
        <w:tblLayout w:type="fixed"/>
        <w:tblInd w:w="1190" w:type="dxa"/>
        <w:tblCellMar>
          <w:top w:w="0" w:type="dxa"/>
          <w:left w:w="0" w:type="dxa"/>
          <w:bottom w:w="0" w:type="dxa"/>
          <w:right w:w="0" w:type="dxa"/>
        </w:tblCellMar>
      </w:tblPr>
      <w:tr>
        <w:trPr>
          <w:trHeight w:val="587"/>
        </w:trPr>
        <w:tc>
          <w:tcPr>
            <w:tcW w:w="1920" w:type="dxa"/>
            <w:vAlign w:val="bottom"/>
            <w:tcBorders>
              <w:right w:val="single" w:sz="8" w:color="auto"/>
            </w:tcBorders>
          </w:tcPr>
          <w:p>
            <w:pPr>
              <w:spacing w:after="0"/>
              <w:rPr>
                <w:sz w:val="24"/>
                <w:szCs w:val="24"/>
                <w:color w:val="auto"/>
              </w:rPr>
            </w:pPr>
          </w:p>
        </w:tc>
        <w:tc>
          <w:tcPr>
            <w:tcW w:w="820" w:type="dxa"/>
            <w:vAlign w:val="bottom"/>
            <w:tcBorders>
              <w:top w:val="single" w:sz="8" w:color="auto"/>
              <w:right w:val="single" w:sz="8" w:color="234E77"/>
            </w:tcBorders>
            <w:shd w:val="clear" w:color="auto" w:fill="234E77"/>
          </w:tcPr>
          <w:p>
            <w:pPr>
              <w:spacing w:after="0"/>
              <w:rPr>
                <w:sz w:val="24"/>
                <w:szCs w:val="24"/>
                <w:color w:val="auto"/>
              </w:rPr>
            </w:pPr>
          </w:p>
        </w:tc>
        <w:tc>
          <w:tcPr>
            <w:tcW w:w="1000" w:type="dxa"/>
            <w:vAlign w:val="bottom"/>
            <w:tcBorders>
              <w:top w:val="single" w:sz="8" w:color="auto"/>
              <w:right w:val="single" w:sz="8" w:color="234E77"/>
            </w:tcBorders>
            <w:shd w:val="clear" w:color="auto" w:fill="234E77"/>
          </w:tcPr>
          <w:p>
            <w:pPr>
              <w:spacing w:after="0"/>
              <w:rPr>
                <w:sz w:val="24"/>
                <w:szCs w:val="24"/>
                <w:color w:val="auto"/>
              </w:rPr>
            </w:pPr>
          </w:p>
        </w:tc>
        <w:tc>
          <w:tcPr>
            <w:tcW w:w="1240" w:type="dxa"/>
            <w:vAlign w:val="bottom"/>
            <w:tcBorders>
              <w:top w:val="single" w:sz="8" w:color="auto"/>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Performance-</w:t>
            </w:r>
          </w:p>
        </w:tc>
        <w:tc>
          <w:tcPr>
            <w:tcW w:w="1160" w:type="dxa"/>
            <w:vAlign w:val="bottom"/>
            <w:tcBorders>
              <w:top w:val="single" w:sz="8" w:color="auto"/>
              <w:right w:val="single" w:sz="8" w:color="234E77"/>
            </w:tcBorders>
            <w:shd w:val="clear" w:color="auto" w:fill="234E77"/>
          </w:tcPr>
          <w:p>
            <w:pPr>
              <w:spacing w:after="0"/>
              <w:rPr>
                <w:sz w:val="24"/>
                <w:szCs w:val="24"/>
                <w:color w:val="auto"/>
              </w:rPr>
            </w:pPr>
          </w:p>
        </w:tc>
        <w:tc>
          <w:tcPr>
            <w:tcW w:w="1440" w:type="dxa"/>
            <w:vAlign w:val="bottom"/>
            <w:tcBorders>
              <w:top w:val="single" w:sz="8" w:color="auto"/>
              <w:right w:val="single" w:sz="8" w:color="234E77"/>
            </w:tcBorders>
            <w:shd w:val="clear" w:color="auto" w:fill="234E77"/>
          </w:tcPr>
          <w:p>
            <w:pPr>
              <w:spacing w:after="0"/>
              <w:rPr>
                <w:sz w:val="24"/>
                <w:szCs w:val="24"/>
                <w:color w:val="auto"/>
              </w:rPr>
            </w:pPr>
          </w:p>
        </w:tc>
        <w:tc>
          <w:tcPr>
            <w:tcW w:w="1420" w:type="dxa"/>
            <w:vAlign w:val="bottom"/>
            <w:tcBorders>
              <w:top w:val="single" w:sz="8" w:color="auto"/>
              <w:right w:val="single" w:sz="8" w:color="auto"/>
            </w:tcBorders>
            <w:shd w:val="clear" w:color="auto" w:fill="234E77"/>
          </w:tcPr>
          <w:p>
            <w:pPr>
              <w:spacing w:after="0"/>
              <w:rPr>
                <w:sz w:val="24"/>
                <w:szCs w:val="24"/>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820" w:type="dxa"/>
            <w:vAlign w:val="bottom"/>
            <w:tcBorders>
              <w:right w:val="single" w:sz="8" w:color="234E77"/>
            </w:tcBorders>
            <w:shd w:val="clear" w:color="auto" w:fill="234E77"/>
          </w:tcPr>
          <w:p>
            <w:pPr>
              <w:spacing w:after="0"/>
              <w:rPr>
                <w:sz w:val="16"/>
                <w:szCs w:val="16"/>
                <w:color w:val="auto"/>
              </w:rPr>
            </w:pPr>
          </w:p>
        </w:tc>
        <w:tc>
          <w:tcPr>
            <w:tcW w:w="1000" w:type="dxa"/>
            <w:vAlign w:val="bottom"/>
            <w:tcBorders>
              <w:right w:val="single" w:sz="8" w:color="234E77"/>
            </w:tcBorders>
            <w:shd w:val="clear" w:color="auto" w:fill="234E77"/>
          </w:tcPr>
          <w:p>
            <w:pPr>
              <w:ind w:left="180"/>
              <w:spacing w:after="0"/>
              <w:rPr>
                <w:sz w:val="20"/>
                <w:szCs w:val="20"/>
                <w:color w:val="auto"/>
              </w:rPr>
            </w:pPr>
            <w:r>
              <w:rPr>
                <w:rFonts w:ascii="Arial" w:cs="Arial" w:eastAsia="Arial" w:hAnsi="Arial"/>
                <w:sz w:val="16"/>
                <w:szCs w:val="16"/>
                <w:b w:val="1"/>
                <w:bCs w:val="1"/>
                <w:color w:val="FFFFFF"/>
              </w:rPr>
              <w:t>Annual</w:t>
            </w:r>
          </w:p>
        </w:tc>
        <w:tc>
          <w:tcPr>
            <w:tcW w:w="124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based</w:t>
            </w:r>
          </w:p>
        </w:tc>
        <w:tc>
          <w:tcPr>
            <w:tcW w:w="1160" w:type="dxa"/>
            <w:vAlign w:val="bottom"/>
            <w:tcBorders>
              <w:right w:val="single" w:sz="8" w:color="234E77"/>
            </w:tcBorders>
            <w:shd w:val="clear" w:color="auto" w:fill="234E77"/>
          </w:tcPr>
          <w:p>
            <w:pPr>
              <w:spacing w:after="0"/>
              <w:rPr>
                <w:sz w:val="16"/>
                <w:szCs w:val="16"/>
                <w:color w:val="auto"/>
              </w:rPr>
            </w:pPr>
          </w:p>
        </w:tc>
        <w:tc>
          <w:tcPr>
            <w:tcW w:w="1440" w:type="dxa"/>
            <w:vAlign w:val="bottom"/>
            <w:tcBorders>
              <w:right w:val="single" w:sz="8" w:color="234E77"/>
            </w:tcBorders>
            <w:shd w:val="clear" w:color="auto" w:fill="234E77"/>
          </w:tcPr>
          <w:p>
            <w:pPr>
              <w:spacing w:after="0"/>
              <w:rPr>
                <w:sz w:val="16"/>
                <w:szCs w:val="16"/>
                <w:color w:val="auto"/>
              </w:rPr>
            </w:pPr>
          </w:p>
        </w:tc>
        <w:tc>
          <w:tcPr>
            <w:tcW w:w="1420" w:type="dxa"/>
            <w:vAlign w:val="bottom"/>
            <w:tcBorders>
              <w:right w:val="single" w:sz="8" w:color="auto"/>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Performance-</w:t>
            </w:r>
          </w:p>
        </w:tc>
      </w:tr>
      <w:tr>
        <w:trPr>
          <w:trHeight w:val="185"/>
        </w:trPr>
        <w:tc>
          <w:tcPr>
            <w:tcW w:w="1920" w:type="dxa"/>
            <w:vAlign w:val="bottom"/>
            <w:tcBorders>
              <w:right w:val="single" w:sz="8" w:color="auto"/>
            </w:tcBorders>
          </w:tcPr>
          <w:p>
            <w:pPr>
              <w:spacing w:after="0"/>
              <w:rPr>
                <w:sz w:val="16"/>
                <w:szCs w:val="16"/>
                <w:color w:val="auto"/>
              </w:rPr>
            </w:pPr>
          </w:p>
        </w:tc>
        <w:tc>
          <w:tcPr>
            <w:tcW w:w="820" w:type="dxa"/>
            <w:vAlign w:val="bottom"/>
            <w:tcBorders>
              <w:right w:val="single" w:sz="8" w:color="234E77"/>
            </w:tcBorders>
            <w:shd w:val="clear" w:color="auto" w:fill="234E77"/>
          </w:tcPr>
          <w:p>
            <w:pPr>
              <w:spacing w:after="0"/>
              <w:rPr>
                <w:sz w:val="16"/>
                <w:szCs w:val="16"/>
                <w:color w:val="auto"/>
              </w:rPr>
            </w:pPr>
          </w:p>
        </w:tc>
        <w:tc>
          <w:tcPr>
            <w:tcW w:w="1000" w:type="dxa"/>
            <w:vAlign w:val="bottom"/>
            <w:tcBorders>
              <w:right w:val="single" w:sz="8" w:color="234E77"/>
            </w:tcBorders>
            <w:shd w:val="clear" w:color="auto" w:fill="234E77"/>
          </w:tcPr>
          <w:p>
            <w:pPr>
              <w:ind w:left="240"/>
              <w:spacing w:after="0"/>
              <w:rPr>
                <w:sz w:val="20"/>
                <w:szCs w:val="20"/>
                <w:color w:val="auto"/>
              </w:rPr>
            </w:pPr>
            <w:r>
              <w:rPr>
                <w:rFonts w:ascii="Arial" w:cs="Arial" w:eastAsia="Arial" w:hAnsi="Arial"/>
                <w:sz w:val="16"/>
                <w:szCs w:val="16"/>
                <w:b w:val="1"/>
                <w:bCs w:val="1"/>
                <w:color w:val="FFFFFF"/>
              </w:rPr>
              <w:t>Cash</w:t>
            </w:r>
          </w:p>
        </w:tc>
        <w:tc>
          <w:tcPr>
            <w:tcW w:w="124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Restricted</w:t>
            </w:r>
          </w:p>
        </w:tc>
        <w:tc>
          <w:tcPr>
            <w:tcW w:w="116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Benefits</w:t>
            </w:r>
          </w:p>
        </w:tc>
        <w:tc>
          <w:tcPr>
            <w:tcW w:w="144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1420" w:type="dxa"/>
            <w:vAlign w:val="bottom"/>
            <w:tcBorders>
              <w:right w:val="single" w:sz="8" w:color="auto"/>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based</w:t>
            </w:r>
          </w:p>
        </w:tc>
      </w:tr>
      <w:tr>
        <w:trPr>
          <w:trHeight w:val="225"/>
        </w:trPr>
        <w:tc>
          <w:tcPr>
            <w:tcW w:w="1920" w:type="dxa"/>
            <w:vAlign w:val="bottom"/>
            <w:tcBorders>
              <w:right w:val="single" w:sz="8" w:color="auto"/>
            </w:tcBorders>
          </w:tcPr>
          <w:p>
            <w:pPr>
              <w:spacing w:after="0"/>
              <w:rPr>
                <w:sz w:val="19"/>
                <w:szCs w:val="19"/>
                <w:color w:val="auto"/>
              </w:rPr>
            </w:pPr>
          </w:p>
        </w:tc>
        <w:tc>
          <w:tcPr>
            <w:tcW w:w="820" w:type="dxa"/>
            <w:vAlign w:val="bottom"/>
            <w:tcBorders>
              <w:right w:val="single" w:sz="8" w:color="234E77"/>
            </w:tcBorders>
            <w:shd w:val="clear" w:color="auto" w:fill="234E77"/>
          </w:tcPr>
          <w:p>
            <w:pPr>
              <w:ind w:left="140"/>
              <w:spacing w:after="0"/>
              <w:rPr>
                <w:sz w:val="20"/>
                <w:szCs w:val="20"/>
                <w:color w:val="auto"/>
              </w:rPr>
            </w:pPr>
            <w:r>
              <w:rPr>
                <w:rFonts w:ascii="Arial" w:cs="Arial" w:eastAsia="Arial" w:hAnsi="Arial"/>
                <w:sz w:val="16"/>
                <w:szCs w:val="16"/>
                <w:b w:val="1"/>
                <w:bCs w:val="1"/>
                <w:color w:val="FFFFFF"/>
              </w:rPr>
              <w:t>Salary</w:t>
            </w:r>
          </w:p>
        </w:tc>
        <w:tc>
          <w:tcPr>
            <w:tcW w:w="1000" w:type="dxa"/>
            <w:vAlign w:val="bottom"/>
            <w:tcBorders>
              <w:right w:val="single" w:sz="8" w:color="234E77"/>
            </w:tcBorders>
            <w:shd w:val="clear" w:color="auto" w:fill="234E77"/>
          </w:tcPr>
          <w:p>
            <w:pPr>
              <w:ind w:left="80"/>
              <w:spacing w:after="0"/>
              <w:rPr>
                <w:sz w:val="20"/>
                <w:szCs w:val="20"/>
                <w:color w:val="auto"/>
              </w:rPr>
            </w:pPr>
            <w:r>
              <w:rPr>
                <w:rFonts w:ascii="Arial" w:cs="Arial" w:eastAsia="Arial" w:hAnsi="Arial"/>
                <w:sz w:val="16"/>
                <w:szCs w:val="16"/>
                <w:b w:val="1"/>
                <w:bCs w:val="1"/>
                <w:color w:val="FFFFFF"/>
              </w:rPr>
              <w:t>Incentives</w:t>
            </w:r>
          </w:p>
        </w:tc>
        <w:tc>
          <w:tcPr>
            <w:tcW w:w="124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Stock</w:t>
            </w:r>
          </w:p>
        </w:tc>
        <w:tc>
          <w:tcPr>
            <w:tcW w:w="116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and Other</w:t>
            </w:r>
          </w:p>
        </w:tc>
        <w:tc>
          <w:tcPr>
            <w:tcW w:w="144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Compensation</w:t>
            </w:r>
          </w:p>
        </w:tc>
        <w:tc>
          <w:tcPr>
            <w:tcW w:w="1420" w:type="dxa"/>
            <w:vAlign w:val="bottom"/>
            <w:tcBorders>
              <w:right w:val="single" w:sz="8" w:color="auto"/>
            </w:tcBorders>
            <w:shd w:val="clear" w:color="auto" w:fill="234E77"/>
          </w:tcPr>
          <w:p>
            <w:pPr>
              <w:jc w:val="center"/>
              <w:spacing w:after="0"/>
              <w:rPr>
                <w:sz w:val="20"/>
                <w:szCs w:val="20"/>
                <w:color w:val="auto"/>
              </w:rPr>
            </w:pPr>
            <w:r>
              <w:rPr>
                <w:rFonts w:ascii="Arial" w:cs="Arial" w:eastAsia="Arial" w:hAnsi="Arial"/>
                <w:sz w:val="16"/>
                <w:szCs w:val="16"/>
                <w:b w:val="1"/>
                <w:bCs w:val="1"/>
                <w:color w:val="FFFFFF"/>
              </w:rPr>
              <w:t>Compensation</w:t>
            </w:r>
          </w:p>
        </w:tc>
      </w:tr>
      <w:tr>
        <w:trPr>
          <w:trHeight w:val="76"/>
        </w:trPr>
        <w:tc>
          <w:tcPr>
            <w:tcW w:w="19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234E77"/>
            </w:tcBorders>
            <w:shd w:val="clear" w:color="auto" w:fill="234E77"/>
          </w:tcPr>
          <w:p>
            <w:pPr>
              <w:spacing w:after="0"/>
              <w:rPr>
                <w:sz w:val="6"/>
                <w:szCs w:val="6"/>
                <w:color w:val="auto"/>
              </w:rPr>
            </w:pPr>
          </w:p>
        </w:tc>
        <w:tc>
          <w:tcPr>
            <w:tcW w:w="1000" w:type="dxa"/>
            <w:vAlign w:val="bottom"/>
            <w:tcBorders>
              <w:bottom w:val="single" w:sz="8" w:color="auto"/>
              <w:right w:val="single" w:sz="8" w:color="234E77"/>
            </w:tcBorders>
            <w:shd w:val="clear" w:color="auto" w:fill="234E77"/>
          </w:tcPr>
          <w:p>
            <w:pPr>
              <w:spacing w:after="0"/>
              <w:rPr>
                <w:sz w:val="6"/>
                <w:szCs w:val="6"/>
                <w:color w:val="auto"/>
              </w:rPr>
            </w:pPr>
          </w:p>
        </w:tc>
        <w:tc>
          <w:tcPr>
            <w:tcW w:w="1240" w:type="dxa"/>
            <w:vAlign w:val="bottom"/>
            <w:tcBorders>
              <w:bottom w:val="single" w:sz="8" w:color="auto"/>
              <w:right w:val="single" w:sz="8" w:color="234E77"/>
            </w:tcBorders>
            <w:shd w:val="clear" w:color="auto" w:fill="234E77"/>
          </w:tcPr>
          <w:p>
            <w:pPr>
              <w:spacing w:after="0"/>
              <w:rPr>
                <w:sz w:val="6"/>
                <w:szCs w:val="6"/>
                <w:color w:val="auto"/>
              </w:rPr>
            </w:pPr>
          </w:p>
        </w:tc>
        <w:tc>
          <w:tcPr>
            <w:tcW w:w="1160" w:type="dxa"/>
            <w:vAlign w:val="bottom"/>
            <w:tcBorders>
              <w:bottom w:val="single" w:sz="8" w:color="auto"/>
              <w:right w:val="single" w:sz="8" w:color="234E77"/>
            </w:tcBorders>
            <w:shd w:val="clear" w:color="auto" w:fill="234E77"/>
          </w:tcPr>
          <w:p>
            <w:pPr>
              <w:spacing w:after="0"/>
              <w:rPr>
                <w:sz w:val="6"/>
                <w:szCs w:val="6"/>
                <w:color w:val="auto"/>
              </w:rPr>
            </w:pPr>
          </w:p>
        </w:tc>
        <w:tc>
          <w:tcPr>
            <w:tcW w:w="1440" w:type="dxa"/>
            <w:vAlign w:val="bottom"/>
            <w:tcBorders>
              <w:bottom w:val="single" w:sz="8" w:color="auto"/>
              <w:right w:val="single" w:sz="8" w:color="234E77"/>
            </w:tcBorders>
            <w:shd w:val="clear" w:color="auto" w:fill="234E77"/>
          </w:tcPr>
          <w:p>
            <w:pPr>
              <w:spacing w:after="0"/>
              <w:rPr>
                <w:sz w:val="6"/>
                <w:szCs w:val="6"/>
                <w:color w:val="auto"/>
              </w:rPr>
            </w:pPr>
          </w:p>
        </w:tc>
        <w:tc>
          <w:tcPr>
            <w:tcW w:w="1420" w:type="dxa"/>
            <w:vAlign w:val="bottom"/>
            <w:tcBorders>
              <w:bottom w:val="single" w:sz="8" w:color="auto"/>
              <w:right w:val="single" w:sz="8" w:color="auto"/>
            </w:tcBorders>
            <w:shd w:val="clear" w:color="auto" w:fill="234E77"/>
          </w:tcPr>
          <w:p>
            <w:pPr>
              <w:spacing w:after="0"/>
              <w:rPr>
                <w:sz w:val="6"/>
                <w:szCs w:val="6"/>
                <w:color w:val="auto"/>
              </w:rPr>
            </w:pPr>
          </w:p>
        </w:tc>
      </w:tr>
      <w:tr>
        <w:trPr>
          <w:trHeight w:val="276"/>
        </w:trPr>
        <w:tc>
          <w:tcPr>
            <w:tcW w:w="1920" w:type="dxa"/>
            <w:vAlign w:val="bottom"/>
            <w:tcBorders>
              <w:left w:val="single" w:sz="8" w:color="333333"/>
              <w:right w:val="single" w:sz="8" w:color="333333"/>
            </w:tcBorders>
          </w:tcPr>
          <w:p>
            <w:pPr>
              <w:ind w:left="80"/>
              <w:spacing w:after="0"/>
              <w:rPr>
                <w:sz w:val="20"/>
                <w:szCs w:val="20"/>
                <w:color w:val="auto"/>
              </w:rPr>
            </w:pPr>
            <w:r>
              <w:rPr>
                <w:rFonts w:ascii="Arial" w:cs="Arial" w:eastAsia="Arial" w:hAnsi="Arial"/>
                <w:sz w:val="15"/>
                <w:szCs w:val="15"/>
                <w:color w:val="58595B"/>
              </w:rPr>
              <w:t>Michael J. Nolan</w:t>
            </w:r>
          </w:p>
        </w:tc>
        <w:tc>
          <w:tcPr>
            <w:tcW w:w="8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9.3%</w:t>
            </w:r>
          </w:p>
        </w:tc>
        <w:tc>
          <w:tcPr>
            <w:tcW w:w="1000" w:type="dxa"/>
            <w:vAlign w:val="bottom"/>
            <w:tcBorders>
              <w:right w:val="single" w:sz="8" w:color="333333"/>
            </w:tcBorders>
          </w:tcPr>
          <w:p>
            <w:pPr>
              <w:ind w:left="260"/>
              <w:spacing w:after="0"/>
              <w:rPr>
                <w:sz w:val="20"/>
                <w:szCs w:val="20"/>
                <w:color w:val="auto"/>
              </w:rPr>
            </w:pPr>
            <w:r>
              <w:rPr>
                <w:rFonts w:ascii="Arial" w:cs="Arial" w:eastAsia="Arial" w:hAnsi="Arial"/>
                <w:sz w:val="16"/>
                <w:szCs w:val="16"/>
                <w:color w:val="58595B"/>
              </w:rPr>
              <w:t>37.8%</w:t>
            </w:r>
          </w:p>
        </w:tc>
        <w:tc>
          <w:tcPr>
            <w:tcW w:w="12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49.4%</w:t>
            </w:r>
          </w:p>
        </w:tc>
        <w:tc>
          <w:tcPr>
            <w:tcW w:w="116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3.5%</w:t>
            </w:r>
          </w:p>
        </w:tc>
        <w:tc>
          <w:tcPr>
            <w:tcW w:w="14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7"/>
              </w:rPr>
              <w:t>100%</w:t>
            </w:r>
          </w:p>
        </w:tc>
        <w:tc>
          <w:tcPr>
            <w:tcW w:w="14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87.2%</w:t>
            </w:r>
          </w:p>
        </w:tc>
      </w:tr>
      <w:tr>
        <w:trPr>
          <w:trHeight w:val="86"/>
        </w:trPr>
        <w:tc>
          <w:tcPr>
            <w:tcW w:w="1920" w:type="dxa"/>
            <w:vAlign w:val="bottom"/>
            <w:tcBorders>
              <w:left w:val="single" w:sz="8" w:color="333333"/>
              <w:bottom w:val="single" w:sz="8" w:color="auto"/>
              <w:right w:val="single" w:sz="8" w:color="333333"/>
            </w:tcBorders>
          </w:tcPr>
          <w:p>
            <w:pPr>
              <w:spacing w:after="0"/>
              <w:rPr>
                <w:sz w:val="7"/>
                <w:szCs w:val="7"/>
                <w:color w:val="auto"/>
              </w:rPr>
            </w:pPr>
          </w:p>
        </w:tc>
        <w:tc>
          <w:tcPr>
            <w:tcW w:w="820" w:type="dxa"/>
            <w:vAlign w:val="bottom"/>
            <w:tcBorders>
              <w:bottom w:val="single" w:sz="8" w:color="auto"/>
              <w:right w:val="single" w:sz="8" w:color="333333"/>
            </w:tcBorders>
          </w:tcPr>
          <w:p>
            <w:pPr>
              <w:spacing w:after="0"/>
              <w:rPr>
                <w:sz w:val="7"/>
                <w:szCs w:val="7"/>
                <w:color w:val="auto"/>
              </w:rPr>
            </w:pPr>
          </w:p>
        </w:tc>
        <w:tc>
          <w:tcPr>
            <w:tcW w:w="1000" w:type="dxa"/>
            <w:vAlign w:val="bottom"/>
            <w:tcBorders>
              <w:bottom w:val="single" w:sz="8" w:color="auto"/>
              <w:right w:val="single" w:sz="8" w:color="333333"/>
            </w:tcBorders>
          </w:tcPr>
          <w:p>
            <w:pPr>
              <w:spacing w:after="0"/>
              <w:rPr>
                <w:sz w:val="7"/>
                <w:szCs w:val="7"/>
                <w:color w:val="auto"/>
              </w:rPr>
            </w:pPr>
          </w:p>
        </w:tc>
        <w:tc>
          <w:tcPr>
            <w:tcW w:w="1240" w:type="dxa"/>
            <w:vAlign w:val="bottom"/>
            <w:tcBorders>
              <w:bottom w:val="single" w:sz="8" w:color="auto"/>
              <w:right w:val="single" w:sz="8" w:color="333333"/>
            </w:tcBorders>
          </w:tcPr>
          <w:p>
            <w:pPr>
              <w:spacing w:after="0"/>
              <w:rPr>
                <w:sz w:val="7"/>
                <w:szCs w:val="7"/>
                <w:color w:val="auto"/>
              </w:rPr>
            </w:pPr>
          </w:p>
        </w:tc>
        <w:tc>
          <w:tcPr>
            <w:tcW w:w="1160" w:type="dxa"/>
            <w:vAlign w:val="bottom"/>
            <w:tcBorders>
              <w:bottom w:val="single" w:sz="8" w:color="auto"/>
              <w:right w:val="single" w:sz="8" w:color="333333"/>
            </w:tcBorders>
          </w:tcPr>
          <w:p>
            <w:pPr>
              <w:spacing w:after="0"/>
              <w:rPr>
                <w:sz w:val="7"/>
                <w:szCs w:val="7"/>
                <w:color w:val="auto"/>
              </w:rPr>
            </w:pPr>
          </w:p>
        </w:tc>
        <w:tc>
          <w:tcPr>
            <w:tcW w:w="1440" w:type="dxa"/>
            <w:vAlign w:val="bottom"/>
            <w:tcBorders>
              <w:bottom w:val="single" w:sz="8" w:color="auto"/>
              <w:right w:val="single" w:sz="8" w:color="333333"/>
            </w:tcBorders>
          </w:tcPr>
          <w:p>
            <w:pPr>
              <w:spacing w:after="0"/>
              <w:rPr>
                <w:sz w:val="7"/>
                <w:szCs w:val="7"/>
                <w:color w:val="auto"/>
              </w:rPr>
            </w:pPr>
          </w:p>
        </w:tc>
        <w:tc>
          <w:tcPr>
            <w:tcW w:w="1420" w:type="dxa"/>
            <w:vAlign w:val="bottom"/>
            <w:tcBorders>
              <w:bottom w:val="single" w:sz="8" w:color="auto"/>
              <w:right w:val="single" w:sz="8" w:color="333333"/>
            </w:tcBorders>
          </w:tcPr>
          <w:p>
            <w:pPr>
              <w:spacing w:after="0"/>
              <w:rPr>
                <w:sz w:val="7"/>
                <w:szCs w:val="7"/>
                <w:color w:val="auto"/>
              </w:rPr>
            </w:pPr>
          </w:p>
        </w:tc>
      </w:tr>
      <w:tr>
        <w:trPr>
          <w:trHeight w:val="276"/>
        </w:trPr>
        <w:tc>
          <w:tcPr>
            <w:tcW w:w="1920" w:type="dxa"/>
            <w:vAlign w:val="bottom"/>
            <w:tcBorders>
              <w:left w:val="single" w:sz="8" w:color="333333"/>
              <w:right w:val="single" w:sz="8" w:color="333333"/>
            </w:tcBorders>
          </w:tcPr>
          <w:p>
            <w:pPr>
              <w:ind w:left="80"/>
              <w:spacing w:after="0"/>
              <w:rPr>
                <w:sz w:val="20"/>
                <w:szCs w:val="20"/>
                <w:color w:val="auto"/>
              </w:rPr>
            </w:pPr>
            <w:r>
              <w:rPr>
                <w:rFonts w:ascii="Arial" w:cs="Arial" w:eastAsia="Arial" w:hAnsi="Arial"/>
                <w:sz w:val="15"/>
                <w:szCs w:val="15"/>
                <w:color w:val="58595B"/>
              </w:rPr>
              <w:t>Raymond R. Quirk</w:t>
            </w:r>
          </w:p>
        </w:tc>
        <w:tc>
          <w:tcPr>
            <w:tcW w:w="8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9.4%</w:t>
            </w:r>
          </w:p>
        </w:tc>
        <w:tc>
          <w:tcPr>
            <w:tcW w:w="1000" w:type="dxa"/>
            <w:vAlign w:val="bottom"/>
            <w:tcBorders>
              <w:right w:val="single" w:sz="8" w:color="333333"/>
            </w:tcBorders>
          </w:tcPr>
          <w:p>
            <w:pPr>
              <w:ind w:left="260"/>
              <w:spacing w:after="0"/>
              <w:rPr>
                <w:sz w:val="20"/>
                <w:szCs w:val="20"/>
                <w:color w:val="auto"/>
              </w:rPr>
            </w:pPr>
            <w:r>
              <w:rPr>
                <w:rFonts w:ascii="Arial" w:cs="Arial" w:eastAsia="Arial" w:hAnsi="Arial"/>
                <w:sz w:val="16"/>
                <w:szCs w:val="16"/>
                <w:color w:val="58595B"/>
              </w:rPr>
              <w:t>28.3%</w:t>
            </w:r>
          </w:p>
        </w:tc>
        <w:tc>
          <w:tcPr>
            <w:tcW w:w="12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54.9%</w:t>
            </w:r>
          </w:p>
        </w:tc>
        <w:tc>
          <w:tcPr>
            <w:tcW w:w="116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7.4%</w:t>
            </w:r>
          </w:p>
        </w:tc>
        <w:tc>
          <w:tcPr>
            <w:tcW w:w="14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7"/>
              </w:rPr>
              <w:t>100%</w:t>
            </w:r>
          </w:p>
        </w:tc>
        <w:tc>
          <w:tcPr>
            <w:tcW w:w="14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83.2%</w:t>
            </w:r>
          </w:p>
        </w:tc>
      </w:tr>
      <w:tr>
        <w:trPr>
          <w:trHeight w:val="86"/>
        </w:trPr>
        <w:tc>
          <w:tcPr>
            <w:tcW w:w="1920" w:type="dxa"/>
            <w:vAlign w:val="bottom"/>
            <w:tcBorders>
              <w:left w:val="single" w:sz="8" w:color="333333"/>
              <w:bottom w:val="single" w:sz="8" w:color="auto"/>
              <w:right w:val="single" w:sz="8" w:color="333333"/>
            </w:tcBorders>
          </w:tcPr>
          <w:p>
            <w:pPr>
              <w:spacing w:after="0"/>
              <w:rPr>
                <w:sz w:val="7"/>
                <w:szCs w:val="7"/>
                <w:color w:val="auto"/>
              </w:rPr>
            </w:pPr>
          </w:p>
        </w:tc>
        <w:tc>
          <w:tcPr>
            <w:tcW w:w="820" w:type="dxa"/>
            <w:vAlign w:val="bottom"/>
            <w:tcBorders>
              <w:bottom w:val="single" w:sz="8" w:color="auto"/>
              <w:right w:val="single" w:sz="8" w:color="333333"/>
            </w:tcBorders>
          </w:tcPr>
          <w:p>
            <w:pPr>
              <w:spacing w:after="0"/>
              <w:rPr>
                <w:sz w:val="7"/>
                <w:szCs w:val="7"/>
                <w:color w:val="auto"/>
              </w:rPr>
            </w:pPr>
          </w:p>
        </w:tc>
        <w:tc>
          <w:tcPr>
            <w:tcW w:w="1000" w:type="dxa"/>
            <w:vAlign w:val="bottom"/>
            <w:tcBorders>
              <w:bottom w:val="single" w:sz="8" w:color="auto"/>
              <w:right w:val="single" w:sz="8" w:color="333333"/>
            </w:tcBorders>
          </w:tcPr>
          <w:p>
            <w:pPr>
              <w:spacing w:after="0"/>
              <w:rPr>
                <w:sz w:val="7"/>
                <w:szCs w:val="7"/>
                <w:color w:val="auto"/>
              </w:rPr>
            </w:pPr>
          </w:p>
        </w:tc>
        <w:tc>
          <w:tcPr>
            <w:tcW w:w="1240" w:type="dxa"/>
            <w:vAlign w:val="bottom"/>
            <w:tcBorders>
              <w:bottom w:val="single" w:sz="8" w:color="auto"/>
              <w:right w:val="single" w:sz="8" w:color="333333"/>
            </w:tcBorders>
          </w:tcPr>
          <w:p>
            <w:pPr>
              <w:spacing w:after="0"/>
              <w:rPr>
                <w:sz w:val="7"/>
                <w:szCs w:val="7"/>
                <w:color w:val="auto"/>
              </w:rPr>
            </w:pPr>
          </w:p>
        </w:tc>
        <w:tc>
          <w:tcPr>
            <w:tcW w:w="1160" w:type="dxa"/>
            <w:vAlign w:val="bottom"/>
            <w:tcBorders>
              <w:bottom w:val="single" w:sz="8" w:color="auto"/>
              <w:right w:val="single" w:sz="8" w:color="333333"/>
            </w:tcBorders>
          </w:tcPr>
          <w:p>
            <w:pPr>
              <w:spacing w:after="0"/>
              <w:rPr>
                <w:sz w:val="7"/>
                <w:szCs w:val="7"/>
                <w:color w:val="auto"/>
              </w:rPr>
            </w:pPr>
          </w:p>
        </w:tc>
        <w:tc>
          <w:tcPr>
            <w:tcW w:w="1440" w:type="dxa"/>
            <w:vAlign w:val="bottom"/>
            <w:tcBorders>
              <w:bottom w:val="single" w:sz="8" w:color="auto"/>
              <w:right w:val="single" w:sz="8" w:color="333333"/>
            </w:tcBorders>
          </w:tcPr>
          <w:p>
            <w:pPr>
              <w:spacing w:after="0"/>
              <w:rPr>
                <w:sz w:val="7"/>
                <w:szCs w:val="7"/>
                <w:color w:val="auto"/>
              </w:rPr>
            </w:pPr>
          </w:p>
        </w:tc>
        <w:tc>
          <w:tcPr>
            <w:tcW w:w="1420" w:type="dxa"/>
            <w:vAlign w:val="bottom"/>
            <w:tcBorders>
              <w:bottom w:val="single" w:sz="8" w:color="auto"/>
              <w:right w:val="single" w:sz="8" w:color="333333"/>
            </w:tcBorders>
          </w:tcPr>
          <w:p>
            <w:pPr>
              <w:spacing w:after="0"/>
              <w:rPr>
                <w:sz w:val="7"/>
                <w:szCs w:val="7"/>
                <w:color w:val="auto"/>
              </w:rPr>
            </w:pPr>
          </w:p>
        </w:tc>
      </w:tr>
      <w:tr>
        <w:trPr>
          <w:trHeight w:val="276"/>
        </w:trPr>
        <w:tc>
          <w:tcPr>
            <w:tcW w:w="1920" w:type="dxa"/>
            <w:vAlign w:val="bottom"/>
            <w:tcBorders>
              <w:left w:val="single" w:sz="8" w:color="333333"/>
              <w:right w:val="single" w:sz="8" w:color="333333"/>
            </w:tcBorders>
          </w:tcPr>
          <w:p>
            <w:pPr>
              <w:ind w:left="80"/>
              <w:spacing w:after="0"/>
              <w:rPr>
                <w:sz w:val="20"/>
                <w:szCs w:val="20"/>
                <w:color w:val="auto"/>
              </w:rPr>
            </w:pPr>
            <w:r>
              <w:rPr>
                <w:rFonts w:ascii="Arial" w:cs="Arial" w:eastAsia="Arial" w:hAnsi="Arial"/>
                <w:sz w:val="15"/>
                <w:szCs w:val="15"/>
                <w:color w:val="58595B"/>
              </w:rPr>
              <w:t>Anthony J. Park</w:t>
            </w:r>
          </w:p>
        </w:tc>
        <w:tc>
          <w:tcPr>
            <w:tcW w:w="8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16.5%</w:t>
            </w:r>
          </w:p>
        </w:tc>
        <w:tc>
          <w:tcPr>
            <w:tcW w:w="1000" w:type="dxa"/>
            <w:vAlign w:val="bottom"/>
            <w:tcBorders>
              <w:right w:val="single" w:sz="8" w:color="333333"/>
            </w:tcBorders>
          </w:tcPr>
          <w:p>
            <w:pPr>
              <w:ind w:left="260"/>
              <w:spacing w:after="0"/>
              <w:rPr>
                <w:sz w:val="20"/>
                <w:szCs w:val="20"/>
                <w:color w:val="auto"/>
              </w:rPr>
            </w:pPr>
            <w:r>
              <w:rPr>
                <w:rFonts w:ascii="Arial" w:cs="Arial" w:eastAsia="Arial" w:hAnsi="Arial"/>
                <w:sz w:val="16"/>
                <w:szCs w:val="16"/>
                <w:color w:val="58595B"/>
              </w:rPr>
              <w:t>41.8%</w:t>
            </w:r>
          </w:p>
        </w:tc>
        <w:tc>
          <w:tcPr>
            <w:tcW w:w="12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38.5%</w:t>
            </w:r>
          </w:p>
        </w:tc>
        <w:tc>
          <w:tcPr>
            <w:tcW w:w="116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3.2%</w:t>
            </w:r>
          </w:p>
        </w:tc>
        <w:tc>
          <w:tcPr>
            <w:tcW w:w="14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7"/>
              </w:rPr>
              <w:t>100%</w:t>
            </w:r>
          </w:p>
        </w:tc>
        <w:tc>
          <w:tcPr>
            <w:tcW w:w="14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80.3%</w:t>
            </w:r>
          </w:p>
        </w:tc>
      </w:tr>
      <w:tr>
        <w:trPr>
          <w:trHeight w:val="86"/>
        </w:trPr>
        <w:tc>
          <w:tcPr>
            <w:tcW w:w="1920" w:type="dxa"/>
            <w:vAlign w:val="bottom"/>
            <w:tcBorders>
              <w:left w:val="single" w:sz="8" w:color="333333"/>
              <w:bottom w:val="single" w:sz="8" w:color="auto"/>
              <w:right w:val="single" w:sz="8" w:color="333333"/>
            </w:tcBorders>
          </w:tcPr>
          <w:p>
            <w:pPr>
              <w:spacing w:after="0"/>
              <w:rPr>
                <w:sz w:val="7"/>
                <w:szCs w:val="7"/>
                <w:color w:val="auto"/>
              </w:rPr>
            </w:pPr>
          </w:p>
        </w:tc>
        <w:tc>
          <w:tcPr>
            <w:tcW w:w="820" w:type="dxa"/>
            <w:vAlign w:val="bottom"/>
            <w:tcBorders>
              <w:bottom w:val="single" w:sz="8" w:color="auto"/>
              <w:right w:val="single" w:sz="8" w:color="333333"/>
            </w:tcBorders>
          </w:tcPr>
          <w:p>
            <w:pPr>
              <w:spacing w:after="0"/>
              <w:rPr>
                <w:sz w:val="7"/>
                <w:szCs w:val="7"/>
                <w:color w:val="auto"/>
              </w:rPr>
            </w:pPr>
          </w:p>
        </w:tc>
        <w:tc>
          <w:tcPr>
            <w:tcW w:w="1000" w:type="dxa"/>
            <w:vAlign w:val="bottom"/>
            <w:tcBorders>
              <w:bottom w:val="single" w:sz="8" w:color="auto"/>
              <w:right w:val="single" w:sz="8" w:color="333333"/>
            </w:tcBorders>
          </w:tcPr>
          <w:p>
            <w:pPr>
              <w:spacing w:after="0"/>
              <w:rPr>
                <w:sz w:val="7"/>
                <w:szCs w:val="7"/>
                <w:color w:val="auto"/>
              </w:rPr>
            </w:pPr>
          </w:p>
        </w:tc>
        <w:tc>
          <w:tcPr>
            <w:tcW w:w="1240" w:type="dxa"/>
            <w:vAlign w:val="bottom"/>
            <w:tcBorders>
              <w:bottom w:val="single" w:sz="8" w:color="auto"/>
              <w:right w:val="single" w:sz="8" w:color="333333"/>
            </w:tcBorders>
          </w:tcPr>
          <w:p>
            <w:pPr>
              <w:spacing w:after="0"/>
              <w:rPr>
                <w:sz w:val="7"/>
                <w:szCs w:val="7"/>
                <w:color w:val="auto"/>
              </w:rPr>
            </w:pPr>
          </w:p>
        </w:tc>
        <w:tc>
          <w:tcPr>
            <w:tcW w:w="1160" w:type="dxa"/>
            <w:vAlign w:val="bottom"/>
            <w:tcBorders>
              <w:bottom w:val="single" w:sz="8" w:color="auto"/>
              <w:right w:val="single" w:sz="8" w:color="333333"/>
            </w:tcBorders>
          </w:tcPr>
          <w:p>
            <w:pPr>
              <w:spacing w:after="0"/>
              <w:rPr>
                <w:sz w:val="7"/>
                <w:szCs w:val="7"/>
                <w:color w:val="auto"/>
              </w:rPr>
            </w:pPr>
          </w:p>
        </w:tc>
        <w:tc>
          <w:tcPr>
            <w:tcW w:w="1440" w:type="dxa"/>
            <w:vAlign w:val="bottom"/>
            <w:tcBorders>
              <w:bottom w:val="single" w:sz="8" w:color="auto"/>
              <w:right w:val="single" w:sz="8" w:color="333333"/>
            </w:tcBorders>
          </w:tcPr>
          <w:p>
            <w:pPr>
              <w:spacing w:after="0"/>
              <w:rPr>
                <w:sz w:val="7"/>
                <w:szCs w:val="7"/>
                <w:color w:val="auto"/>
              </w:rPr>
            </w:pPr>
          </w:p>
        </w:tc>
        <w:tc>
          <w:tcPr>
            <w:tcW w:w="1420" w:type="dxa"/>
            <w:vAlign w:val="bottom"/>
            <w:tcBorders>
              <w:bottom w:val="single" w:sz="8" w:color="auto"/>
              <w:right w:val="single" w:sz="8" w:color="333333"/>
            </w:tcBorders>
          </w:tcPr>
          <w:p>
            <w:pPr>
              <w:spacing w:after="0"/>
              <w:rPr>
                <w:sz w:val="7"/>
                <w:szCs w:val="7"/>
                <w:color w:val="auto"/>
              </w:rPr>
            </w:pPr>
          </w:p>
        </w:tc>
      </w:tr>
      <w:tr>
        <w:trPr>
          <w:trHeight w:val="276"/>
        </w:trPr>
        <w:tc>
          <w:tcPr>
            <w:tcW w:w="1920" w:type="dxa"/>
            <w:vAlign w:val="bottom"/>
            <w:tcBorders>
              <w:left w:val="single" w:sz="8" w:color="333333"/>
              <w:right w:val="single" w:sz="8" w:color="333333"/>
            </w:tcBorders>
          </w:tcPr>
          <w:p>
            <w:pPr>
              <w:ind w:left="80"/>
              <w:spacing w:after="0"/>
              <w:rPr>
                <w:sz w:val="20"/>
                <w:szCs w:val="20"/>
                <w:color w:val="auto"/>
              </w:rPr>
            </w:pPr>
            <w:r>
              <w:rPr>
                <w:rFonts w:ascii="Arial" w:cs="Arial" w:eastAsia="Arial" w:hAnsi="Arial"/>
                <w:sz w:val="15"/>
                <w:szCs w:val="15"/>
                <w:color w:val="58595B"/>
              </w:rPr>
              <w:t>Peter T. Sadowski</w:t>
            </w:r>
          </w:p>
        </w:tc>
        <w:tc>
          <w:tcPr>
            <w:tcW w:w="8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17.1%</w:t>
            </w:r>
          </w:p>
        </w:tc>
        <w:tc>
          <w:tcPr>
            <w:tcW w:w="1000" w:type="dxa"/>
            <w:vAlign w:val="bottom"/>
            <w:tcBorders>
              <w:right w:val="single" w:sz="8" w:color="333333"/>
            </w:tcBorders>
          </w:tcPr>
          <w:p>
            <w:pPr>
              <w:ind w:left="260"/>
              <w:spacing w:after="0"/>
              <w:rPr>
                <w:sz w:val="20"/>
                <w:szCs w:val="20"/>
                <w:color w:val="auto"/>
              </w:rPr>
            </w:pPr>
            <w:r>
              <w:rPr>
                <w:rFonts w:ascii="Arial" w:cs="Arial" w:eastAsia="Arial" w:hAnsi="Arial"/>
                <w:sz w:val="16"/>
                <w:szCs w:val="16"/>
                <w:color w:val="58595B"/>
              </w:rPr>
              <w:t>36.1%</w:t>
            </w:r>
          </w:p>
        </w:tc>
        <w:tc>
          <w:tcPr>
            <w:tcW w:w="12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43.7%</w:t>
            </w:r>
          </w:p>
        </w:tc>
        <w:tc>
          <w:tcPr>
            <w:tcW w:w="116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3.1%</w:t>
            </w:r>
          </w:p>
        </w:tc>
        <w:tc>
          <w:tcPr>
            <w:tcW w:w="14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7"/>
              </w:rPr>
              <w:t>100%</w:t>
            </w:r>
          </w:p>
        </w:tc>
        <w:tc>
          <w:tcPr>
            <w:tcW w:w="14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79.8%</w:t>
            </w:r>
          </w:p>
        </w:tc>
      </w:tr>
      <w:tr>
        <w:trPr>
          <w:trHeight w:val="86"/>
        </w:trPr>
        <w:tc>
          <w:tcPr>
            <w:tcW w:w="1920" w:type="dxa"/>
            <w:vAlign w:val="bottom"/>
            <w:tcBorders>
              <w:left w:val="single" w:sz="8" w:color="333333"/>
              <w:bottom w:val="single" w:sz="8" w:color="auto"/>
              <w:right w:val="single" w:sz="8" w:color="333333"/>
            </w:tcBorders>
          </w:tcPr>
          <w:p>
            <w:pPr>
              <w:spacing w:after="0"/>
              <w:rPr>
                <w:sz w:val="7"/>
                <w:szCs w:val="7"/>
                <w:color w:val="auto"/>
              </w:rPr>
            </w:pPr>
          </w:p>
        </w:tc>
        <w:tc>
          <w:tcPr>
            <w:tcW w:w="820" w:type="dxa"/>
            <w:vAlign w:val="bottom"/>
            <w:tcBorders>
              <w:bottom w:val="single" w:sz="8" w:color="auto"/>
              <w:right w:val="single" w:sz="8" w:color="333333"/>
            </w:tcBorders>
          </w:tcPr>
          <w:p>
            <w:pPr>
              <w:spacing w:after="0"/>
              <w:rPr>
                <w:sz w:val="7"/>
                <w:szCs w:val="7"/>
                <w:color w:val="auto"/>
              </w:rPr>
            </w:pPr>
          </w:p>
        </w:tc>
        <w:tc>
          <w:tcPr>
            <w:tcW w:w="1000" w:type="dxa"/>
            <w:vAlign w:val="bottom"/>
            <w:tcBorders>
              <w:bottom w:val="single" w:sz="8" w:color="auto"/>
              <w:right w:val="single" w:sz="8" w:color="333333"/>
            </w:tcBorders>
          </w:tcPr>
          <w:p>
            <w:pPr>
              <w:spacing w:after="0"/>
              <w:rPr>
                <w:sz w:val="7"/>
                <w:szCs w:val="7"/>
                <w:color w:val="auto"/>
              </w:rPr>
            </w:pPr>
          </w:p>
        </w:tc>
        <w:tc>
          <w:tcPr>
            <w:tcW w:w="1240" w:type="dxa"/>
            <w:vAlign w:val="bottom"/>
            <w:tcBorders>
              <w:bottom w:val="single" w:sz="8" w:color="auto"/>
              <w:right w:val="single" w:sz="8" w:color="333333"/>
            </w:tcBorders>
          </w:tcPr>
          <w:p>
            <w:pPr>
              <w:spacing w:after="0"/>
              <w:rPr>
                <w:sz w:val="7"/>
                <w:szCs w:val="7"/>
                <w:color w:val="auto"/>
              </w:rPr>
            </w:pPr>
          </w:p>
        </w:tc>
        <w:tc>
          <w:tcPr>
            <w:tcW w:w="1160" w:type="dxa"/>
            <w:vAlign w:val="bottom"/>
            <w:tcBorders>
              <w:bottom w:val="single" w:sz="8" w:color="auto"/>
              <w:right w:val="single" w:sz="8" w:color="333333"/>
            </w:tcBorders>
          </w:tcPr>
          <w:p>
            <w:pPr>
              <w:spacing w:after="0"/>
              <w:rPr>
                <w:sz w:val="7"/>
                <w:szCs w:val="7"/>
                <w:color w:val="auto"/>
              </w:rPr>
            </w:pPr>
          </w:p>
        </w:tc>
        <w:tc>
          <w:tcPr>
            <w:tcW w:w="1440" w:type="dxa"/>
            <w:vAlign w:val="bottom"/>
            <w:tcBorders>
              <w:bottom w:val="single" w:sz="8" w:color="auto"/>
              <w:right w:val="single" w:sz="8" w:color="333333"/>
            </w:tcBorders>
          </w:tcPr>
          <w:p>
            <w:pPr>
              <w:spacing w:after="0"/>
              <w:rPr>
                <w:sz w:val="7"/>
                <w:szCs w:val="7"/>
                <w:color w:val="auto"/>
              </w:rPr>
            </w:pPr>
          </w:p>
        </w:tc>
        <w:tc>
          <w:tcPr>
            <w:tcW w:w="1420" w:type="dxa"/>
            <w:vAlign w:val="bottom"/>
            <w:tcBorders>
              <w:bottom w:val="single" w:sz="8" w:color="auto"/>
              <w:right w:val="single" w:sz="8" w:color="333333"/>
            </w:tcBorders>
          </w:tcPr>
          <w:p>
            <w:pPr>
              <w:spacing w:after="0"/>
              <w:rPr>
                <w:sz w:val="7"/>
                <w:szCs w:val="7"/>
                <w:color w:val="auto"/>
              </w:rPr>
            </w:pPr>
          </w:p>
        </w:tc>
      </w:tr>
      <w:tr>
        <w:trPr>
          <w:trHeight w:val="276"/>
        </w:trPr>
        <w:tc>
          <w:tcPr>
            <w:tcW w:w="1920" w:type="dxa"/>
            <w:vAlign w:val="bottom"/>
            <w:tcBorders>
              <w:left w:val="single" w:sz="8" w:color="333333"/>
              <w:right w:val="single" w:sz="8" w:color="333333"/>
            </w:tcBorders>
          </w:tcPr>
          <w:p>
            <w:pPr>
              <w:ind w:left="80"/>
              <w:spacing w:after="0"/>
              <w:rPr>
                <w:sz w:val="20"/>
                <w:szCs w:val="20"/>
                <w:color w:val="auto"/>
              </w:rPr>
            </w:pPr>
            <w:r>
              <w:rPr>
                <w:rFonts w:ascii="Arial" w:cs="Arial" w:eastAsia="Arial" w:hAnsi="Arial"/>
                <w:sz w:val="15"/>
                <w:szCs w:val="15"/>
                <w:color w:val="58595B"/>
              </w:rPr>
              <w:t>Michael L. Gravelle</w:t>
            </w:r>
          </w:p>
        </w:tc>
        <w:tc>
          <w:tcPr>
            <w:tcW w:w="8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3"/>
              </w:rPr>
              <w:t>14%</w:t>
            </w:r>
          </w:p>
        </w:tc>
        <w:tc>
          <w:tcPr>
            <w:tcW w:w="1000" w:type="dxa"/>
            <w:vAlign w:val="bottom"/>
            <w:tcBorders>
              <w:right w:val="single" w:sz="8" w:color="333333"/>
            </w:tcBorders>
          </w:tcPr>
          <w:p>
            <w:pPr>
              <w:ind w:left="260"/>
              <w:spacing w:after="0"/>
              <w:rPr>
                <w:sz w:val="20"/>
                <w:szCs w:val="20"/>
                <w:color w:val="auto"/>
              </w:rPr>
            </w:pPr>
            <w:r>
              <w:rPr>
                <w:rFonts w:ascii="Arial" w:cs="Arial" w:eastAsia="Arial" w:hAnsi="Arial"/>
                <w:sz w:val="16"/>
                <w:szCs w:val="16"/>
                <w:color w:val="58595B"/>
              </w:rPr>
              <w:t>29.3%</w:t>
            </w:r>
          </w:p>
        </w:tc>
        <w:tc>
          <w:tcPr>
            <w:tcW w:w="12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53.9%</w:t>
            </w:r>
          </w:p>
        </w:tc>
        <w:tc>
          <w:tcPr>
            <w:tcW w:w="116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8"/>
              </w:rPr>
              <w:t>2.8%</w:t>
            </w:r>
          </w:p>
        </w:tc>
        <w:tc>
          <w:tcPr>
            <w:tcW w:w="144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7"/>
              </w:rPr>
              <w:t>100%</w:t>
            </w:r>
          </w:p>
        </w:tc>
        <w:tc>
          <w:tcPr>
            <w:tcW w:w="142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58595B"/>
                <w:w w:val="96"/>
              </w:rPr>
              <w:t>83.2%</w:t>
            </w:r>
          </w:p>
        </w:tc>
      </w:tr>
      <w:tr>
        <w:trPr>
          <w:trHeight w:val="86"/>
        </w:trPr>
        <w:tc>
          <w:tcPr>
            <w:tcW w:w="1920" w:type="dxa"/>
            <w:vAlign w:val="bottom"/>
            <w:tcBorders>
              <w:left w:val="single" w:sz="8" w:color="333333"/>
              <w:bottom w:val="single" w:sz="8" w:color="auto"/>
              <w:right w:val="single" w:sz="8" w:color="333333"/>
            </w:tcBorders>
          </w:tcPr>
          <w:p>
            <w:pPr>
              <w:spacing w:after="0"/>
              <w:rPr>
                <w:sz w:val="7"/>
                <w:szCs w:val="7"/>
                <w:color w:val="auto"/>
              </w:rPr>
            </w:pPr>
          </w:p>
        </w:tc>
        <w:tc>
          <w:tcPr>
            <w:tcW w:w="820" w:type="dxa"/>
            <w:vAlign w:val="bottom"/>
            <w:tcBorders>
              <w:bottom w:val="single" w:sz="8" w:color="auto"/>
              <w:right w:val="single" w:sz="8" w:color="333333"/>
            </w:tcBorders>
          </w:tcPr>
          <w:p>
            <w:pPr>
              <w:spacing w:after="0"/>
              <w:rPr>
                <w:sz w:val="7"/>
                <w:szCs w:val="7"/>
                <w:color w:val="auto"/>
              </w:rPr>
            </w:pPr>
          </w:p>
        </w:tc>
        <w:tc>
          <w:tcPr>
            <w:tcW w:w="1000" w:type="dxa"/>
            <w:vAlign w:val="bottom"/>
            <w:tcBorders>
              <w:bottom w:val="single" w:sz="8" w:color="auto"/>
              <w:right w:val="single" w:sz="8" w:color="333333"/>
            </w:tcBorders>
          </w:tcPr>
          <w:p>
            <w:pPr>
              <w:spacing w:after="0"/>
              <w:rPr>
                <w:sz w:val="7"/>
                <w:szCs w:val="7"/>
                <w:color w:val="auto"/>
              </w:rPr>
            </w:pPr>
          </w:p>
        </w:tc>
        <w:tc>
          <w:tcPr>
            <w:tcW w:w="1240" w:type="dxa"/>
            <w:vAlign w:val="bottom"/>
            <w:tcBorders>
              <w:bottom w:val="single" w:sz="8" w:color="auto"/>
              <w:right w:val="single" w:sz="8" w:color="333333"/>
            </w:tcBorders>
          </w:tcPr>
          <w:p>
            <w:pPr>
              <w:spacing w:after="0"/>
              <w:rPr>
                <w:sz w:val="7"/>
                <w:szCs w:val="7"/>
                <w:color w:val="auto"/>
              </w:rPr>
            </w:pPr>
          </w:p>
        </w:tc>
        <w:tc>
          <w:tcPr>
            <w:tcW w:w="1160" w:type="dxa"/>
            <w:vAlign w:val="bottom"/>
            <w:tcBorders>
              <w:bottom w:val="single" w:sz="8" w:color="auto"/>
              <w:right w:val="single" w:sz="8" w:color="333333"/>
            </w:tcBorders>
          </w:tcPr>
          <w:p>
            <w:pPr>
              <w:spacing w:after="0"/>
              <w:rPr>
                <w:sz w:val="7"/>
                <w:szCs w:val="7"/>
                <w:color w:val="auto"/>
              </w:rPr>
            </w:pPr>
          </w:p>
        </w:tc>
        <w:tc>
          <w:tcPr>
            <w:tcW w:w="1440" w:type="dxa"/>
            <w:vAlign w:val="bottom"/>
            <w:tcBorders>
              <w:bottom w:val="single" w:sz="8" w:color="auto"/>
              <w:right w:val="single" w:sz="8" w:color="333333"/>
            </w:tcBorders>
          </w:tcPr>
          <w:p>
            <w:pPr>
              <w:spacing w:after="0"/>
              <w:rPr>
                <w:sz w:val="7"/>
                <w:szCs w:val="7"/>
                <w:color w:val="auto"/>
              </w:rPr>
            </w:pPr>
          </w:p>
        </w:tc>
        <w:tc>
          <w:tcPr>
            <w:tcW w:w="1420" w:type="dxa"/>
            <w:vAlign w:val="bottom"/>
            <w:tcBorders>
              <w:bottom w:val="single" w:sz="8" w:color="auto"/>
              <w:right w:val="single" w:sz="8" w:color="333333"/>
            </w:tcBorders>
          </w:tcPr>
          <w:p>
            <w:pPr>
              <w:spacing w:after="0"/>
              <w:rPr>
                <w:sz w:val="7"/>
                <w:szCs w:val="7"/>
                <w:color w:val="auto"/>
              </w:rPr>
            </w:pPr>
          </w:p>
        </w:tc>
      </w:tr>
    </w:tbl>
    <w:p>
      <w:pPr>
        <w:spacing w:after="0" w:line="164" w:lineRule="exact"/>
        <w:rPr>
          <w:sz w:val="20"/>
          <w:szCs w:val="20"/>
          <w:color w:val="auto"/>
        </w:rPr>
      </w:pPr>
    </w:p>
    <w:p>
      <w:pPr>
        <w:ind w:left="1180" w:right="1720"/>
        <w:spacing w:after="0" w:line="266" w:lineRule="auto"/>
        <w:rPr>
          <w:sz w:val="20"/>
          <w:szCs w:val="20"/>
          <w:color w:val="auto"/>
        </w:rPr>
      </w:pPr>
      <w:r>
        <w:rPr>
          <w:rFonts w:ascii="Arial" w:cs="Arial" w:eastAsia="Arial" w:hAnsi="Arial"/>
          <w:sz w:val="18"/>
          <w:szCs w:val="18"/>
          <w:color w:val="58595B"/>
        </w:rPr>
        <w:t>As illustrated above, more than 79% of each named executive officer's total compensation is based on performance-based cash and equity incentives that are tied to our financial performance and stock price.</w:t>
      </w:r>
    </w:p>
    <w:p>
      <w:pPr>
        <w:spacing w:after="0" w:line="120" w:lineRule="exact"/>
        <w:rPr>
          <w:sz w:val="20"/>
          <w:szCs w:val="20"/>
          <w:color w:val="auto"/>
        </w:rPr>
      </w:pPr>
    </w:p>
    <w:p>
      <w:pPr>
        <w:jc w:val="both"/>
        <w:ind w:left="1180" w:right="880"/>
        <w:spacing w:after="0" w:line="247" w:lineRule="auto"/>
        <w:rPr>
          <w:sz w:val="20"/>
          <w:szCs w:val="20"/>
          <w:color w:val="auto"/>
        </w:rPr>
      </w:pPr>
      <w:r>
        <w:rPr>
          <w:rFonts w:ascii="Arial" w:cs="Arial" w:eastAsia="Arial" w:hAnsi="Arial"/>
          <w:sz w:val="18"/>
          <w:szCs w:val="18"/>
          <w:color w:val="58595B"/>
        </w:rPr>
        <w:t>Our compensation committee believes this emphasis on performance-based incentive compensation is an effective way to use compensation to help us achieve our business objectives while directly aligning our executive officers' interests with the interests of our shareholders.</w:t>
      </w:r>
    </w:p>
    <w:p>
      <w:pPr>
        <w:spacing w:after="0" w:line="222"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ANALYSIS OF COMPENSATION COMPONENTS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8A9DBB"/>
        </w:rPr>
        <w:t>BASE SALARY</w:t>
      </w:r>
    </w:p>
    <w:p>
      <w:pPr>
        <w:spacing w:after="0" w:line="181" w:lineRule="exact"/>
        <w:rPr>
          <w:sz w:val="20"/>
          <w:szCs w:val="20"/>
          <w:color w:val="auto"/>
        </w:rPr>
      </w:pPr>
    </w:p>
    <w:p>
      <w:pPr>
        <w:ind w:left="1180" w:right="900"/>
        <w:spacing w:after="0" w:line="234" w:lineRule="auto"/>
        <w:rPr>
          <w:sz w:val="20"/>
          <w:szCs w:val="20"/>
          <w:color w:val="auto"/>
        </w:rPr>
      </w:pPr>
      <w:r>
        <w:rPr>
          <w:rFonts w:ascii="Arial" w:cs="Arial" w:eastAsia="Arial" w:hAnsi="Arial"/>
          <w:sz w:val="18"/>
          <w:szCs w:val="18"/>
          <w:color w:val="58595B"/>
        </w:rPr>
        <w:t>Our compensation committee typically reviews salary levels annually as part of our performance review process, as well as in the event of promotions or other changes in our named executive officers' positions or responsibilities. When establishing base salary levels, our compensation committee considers the peer compensation data provided by its external independent compensation consultant, as well as a number of qualitative factors, including each named executive officer's experience, knowledge, skills, level of responsibility and performance. The compensation committee reviews these factors each year and, rather than providing a merit increase to executives each year, increases our executives' base salaries only in years when the committee determines that such an increase is warranted.</w:t>
      </w:r>
    </w:p>
    <w:p>
      <w:pPr>
        <w:spacing w:after="0" w:line="148" w:lineRule="exact"/>
        <w:rPr>
          <w:sz w:val="20"/>
          <w:szCs w:val="20"/>
          <w:color w:val="auto"/>
        </w:rPr>
      </w:pPr>
    </w:p>
    <w:p>
      <w:pPr>
        <w:ind w:left="1180" w:right="900"/>
        <w:spacing w:after="0" w:line="238" w:lineRule="auto"/>
        <w:rPr>
          <w:sz w:val="20"/>
          <w:szCs w:val="20"/>
          <w:color w:val="auto"/>
        </w:rPr>
      </w:pPr>
      <w:r>
        <w:rPr>
          <w:rFonts w:ascii="Arial" w:cs="Arial" w:eastAsia="Arial" w:hAnsi="Arial"/>
          <w:sz w:val="18"/>
          <w:szCs w:val="18"/>
          <w:color w:val="58595B"/>
        </w:rPr>
        <w:t>In February 2025, our compensation committee reviewed market-based compensation for our named executive officers provided by Strategic Compensation Group LLC (SCG), our compensation committee's independent compensation consultant. Our compensation committee increased Mr. Nolan's base salary by $100,000, Mr. Park's base salary by $75,000, and Mr. Sadowski's base salary by $30,000, effective as of February 19, 2025, in light of market-based data and their skills and expertise. Messrs. Quirk's and Gravelle's base salaries did not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40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5" w:right="339" w:bottom="1440" w:gutter="0" w:footer="0" w:header="0"/>
        </w:sectPr>
      </w:pPr>
    </w:p>
    <w:bookmarkStart w:id="44" w:name="page45"/>
    <w:bookmarkEnd w:id="44"/>
    <w:p>
      <w:pPr>
        <w:ind w:left="820"/>
        <w:spacing w:after="0"/>
        <w:rPr>
          <w:sz w:val="20"/>
          <w:szCs w:val="20"/>
          <w:color w:val="auto"/>
        </w:rPr>
      </w:pPr>
      <w:r>
        <w:rPr>
          <w:rFonts w:ascii="Arial" w:cs="Arial" w:eastAsia="Arial" w:hAnsi="Arial"/>
          <w:sz w:val="20"/>
          <w:szCs w:val="20"/>
          <w:b w:val="1"/>
          <w:bCs w:val="1"/>
          <w:color w:val="8A9DBB"/>
        </w:rPr>
        <w:t>ANNUAL PERFORMANCE-BASED CASH INCENTIVES</w:t>
      </w:r>
    </w:p>
    <w:p>
      <w:pPr>
        <w:spacing w:after="0" w:line="181" w:lineRule="exact"/>
        <w:rPr>
          <w:sz w:val="20"/>
          <w:szCs w:val="20"/>
          <w:color w:val="auto"/>
        </w:rPr>
      </w:pPr>
    </w:p>
    <w:p>
      <w:pPr>
        <w:ind w:left="820" w:right="620"/>
        <w:spacing w:after="0" w:line="238" w:lineRule="auto"/>
        <w:rPr>
          <w:sz w:val="20"/>
          <w:szCs w:val="20"/>
          <w:color w:val="auto"/>
        </w:rPr>
      </w:pPr>
      <w:r>
        <w:rPr>
          <w:rFonts w:ascii="Arial" w:cs="Arial" w:eastAsia="Arial" w:hAnsi="Arial"/>
          <w:sz w:val="18"/>
          <w:szCs w:val="18"/>
          <w:color w:val="58595B"/>
        </w:rPr>
        <w:t>We award annual cash incentives based upon the achievement of pre-defined business and financial objectives relating to our title operations, which are specified in the first quarter of the year. Annual incentives play an important role in our approach to total compensation, as they motivate participants to achieve key fiscal year objectives by conditioning the payment of incentives on the achievement of defined, objectively determinable financial performance goals.</w:t>
      </w:r>
    </w:p>
    <w:p>
      <w:pPr>
        <w:spacing w:after="0" w:line="154" w:lineRule="exact"/>
        <w:rPr>
          <w:sz w:val="20"/>
          <w:szCs w:val="20"/>
          <w:color w:val="auto"/>
        </w:rPr>
      </w:pPr>
    </w:p>
    <w:p>
      <w:pPr>
        <w:ind w:left="820" w:right="400"/>
        <w:spacing w:after="0" w:line="245" w:lineRule="auto"/>
        <w:rPr>
          <w:sz w:val="20"/>
          <w:szCs w:val="20"/>
          <w:color w:val="auto"/>
        </w:rPr>
      </w:pPr>
      <w:r>
        <w:rPr>
          <w:rFonts w:ascii="Arial" w:cs="Arial" w:eastAsia="Arial" w:hAnsi="Arial"/>
          <w:sz w:val="17"/>
          <w:szCs w:val="17"/>
          <w:color w:val="58595B"/>
        </w:rPr>
        <w:t>In April 2025, our compensation committee approved our fiscal year business performance objectives and a target incentive opportunity for each participant, as well as the potential incentive opportunity range for maximum and threshold performance. No annual incentive payments are payable to a named executive officer if the pre-established, threshold performance levels are not met, and payments are capped at a maximum performance payout level. The financial performance results are derived from our annual financial statements (as reported in our Annual Report on Form 10-K filed with the SEC), which are subject to an audit by our independent registered public accounting firm, Ernst</w:t>
      </w:r>
    </w:p>
    <w:p>
      <w:pPr>
        <w:spacing w:after="0" w:line="2" w:lineRule="exact"/>
        <w:rPr>
          <w:sz w:val="20"/>
          <w:szCs w:val="20"/>
          <w:color w:val="auto"/>
        </w:rPr>
      </w:pPr>
    </w:p>
    <w:p>
      <w:pPr>
        <w:ind w:left="820" w:right="600" w:firstLine="2"/>
        <w:spacing w:after="0" w:line="251" w:lineRule="auto"/>
        <w:tabs>
          <w:tab w:leader="none" w:pos="983" w:val="left"/>
        </w:tabs>
        <w:numPr>
          <w:ilvl w:val="0"/>
          <w:numId w:val="46"/>
        </w:numPr>
        <w:rPr>
          <w:rFonts w:ascii="Arial" w:cs="Arial" w:eastAsia="Arial" w:hAnsi="Arial"/>
          <w:sz w:val="17"/>
          <w:szCs w:val="17"/>
          <w:color w:val="58595B"/>
        </w:rPr>
      </w:pPr>
      <w:r>
        <w:rPr>
          <w:rFonts w:ascii="Arial" w:cs="Arial" w:eastAsia="Arial" w:hAnsi="Arial"/>
          <w:sz w:val="17"/>
          <w:szCs w:val="17"/>
          <w:color w:val="58595B"/>
        </w:rPr>
        <w:t>Young LLP. However, as discussed below, the financial measures used as performance targets for our annual cash incentives for our named executive officers differ from the comparable GAAP measures reported in our financial statements. Below, we explain how we calculate the performance measures of our annual cash incentives.</w:t>
      </w:r>
    </w:p>
    <w:p>
      <w:pPr>
        <w:spacing w:after="0" w:line="138" w:lineRule="exact"/>
        <w:rPr>
          <w:sz w:val="20"/>
          <w:szCs w:val="20"/>
          <w:color w:val="auto"/>
        </w:rPr>
      </w:pPr>
    </w:p>
    <w:p>
      <w:pPr>
        <w:ind w:left="820" w:right="420"/>
        <w:spacing w:after="0" w:line="241" w:lineRule="auto"/>
        <w:rPr>
          <w:sz w:val="20"/>
          <w:szCs w:val="20"/>
          <w:color w:val="auto"/>
        </w:rPr>
      </w:pPr>
      <w:r>
        <w:rPr>
          <w:rFonts w:ascii="Arial" w:cs="Arial" w:eastAsia="Arial" w:hAnsi="Arial"/>
          <w:sz w:val="18"/>
          <w:szCs w:val="18"/>
          <w:color w:val="58595B"/>
        </w:rPr>
        <w:t>The target opportunities of our annual cash incentives are expressed as a percentage of the individual's base salary. In 2025, our compensation committee reviewed market incentive compensation for our named executive officers and increased Messrs. Nolan's and Park's target opportunities by 10% to 200% and 125%, respectively, in light of market-based data and their skills and expertise.</w:t>
      </w:r>
    </w:p>
    <w:p>
      <w:pPr>
        <w:spacing w:after="0" w:line="142" w:lineRule="exact"/>
        <w:rPr>
          <w:sz w:val="20"/>
          <w:szCs w:val="20"/>
          <w:color w:val="auto"/>
        </w:rPr>
      </w:pPr>
    </w:p>
    <w:p>
      <w:pPr>
        <w:ind w:left="820" w:right="340"/>
        <w:spacing w:after="0" w:line="266" w:lineRule="auto"/>
        <w:rPr>
          <w:sz w:val="20"/>
          <w:szCs w:val="20"/>
          <w:color w:val="auto"/>
        </w:rPr>
      </w:pPr>
      <w:r>
        <w:rPr>
          <w:rFonts w:ascii="Arial" w:cs="Arial" w:eastAsia="Arial" w:hAnsi="Arial"/>
          <w:sz w:val="18"/>
          <w:szCs w:val="18"/>
          <w:color w:val="58595B"/>
        </w:rPr>
        <w:t>The amount of the annual cash incentives actually paid depends on the level of achievement of the pre-established goals as follows:</w:t>
      </w:r>
    </w:p>
    <w:p>
      <w:pPr>
        <w:spacing w:after="0" w:line="120" w:lineRule="exact"/>
        <w:rPr>
          <w:sz w:val="20"/>
          <w:szCs w:val="20"/>
          <w:color w:val="auto"/>
        </w:rPr>
      </w:pPr>
    </w:p>
    <w:p>
      <w:pPr>
        <w:ind w:left="1280" w:hanging="286"/>
        <w:spacing w:after="0"/>
        <w:tabs>
          <w:tab w:leader="none" w:pos="1280" w:val="left"/>
        </w:tabs>
        <w:numPr>
          <w:ilvl w:val="0"/>
          <w:numId w:val="47"/>
        </w:numPr>
        <w:rPr>
          <w:rFonts w:ascii="Arial" w:cs="Arial" w:eastAsia="Arial" w:hAnsi="Arial"/>
          <w:sz w:val="18"/>
          <w:szCs w:val="18"/>
          <w:color w:val="58595B"/>
        </w:rPr>
      </w:pPr>
      <w:r>
        <w:rPr>
          <w:rFonts w:ascii="Arial" w:cs="Arial" w:eastAsia="Arial" w:hAnsi="Arial"/>
          <w:sz w:val="18"/>
          <w:szCs w:val="18"/>
          <w:color w:val="58595B"/>
        </w:rPr>
        <w:t>If threshold level of performance is not achieved, no incentive will be paid.</w:t>
      </w:r>
    </w:p>
    <w:p>
      <w:pPr>
        <w:spacing w:after="0" w:line="175" w:lineRule="exact"/>
        <w:rPr>
          <w:rFonts w:ascii="Arial" w:cs="Arial" w:eastAsia="Arial" w:hAnsi="Arial"/>
          <w:sz w:val="18"/>
          <w:szCs w:val="18"/>
          <w:color w:val="58595B"/>
        </w:rPr>
      </w:pPr>
    </w:p>
    <w:p>
      <w:pPr>
        <w:ind w:left="1280" w:right="340" w:hanging="286"/>
        <w:spacing w:after="0" w:line="266" w:lineRule="auto"/>
        <w:tabs>
          <w:tab w:leader="none" w:pos="1280" w:val="left"/>
        </w:tabs>
        <w:numPr>
          <w:ilvl w:val="0"/>
          <w:numId w:val="47"/>
        </w:numPr>
        <w:rPr>
          <w:rFonts w:ascii="Arial" w:cs="Arial" w:eastAsia="Arial" w:hAnsi="Arial"/>
          <w:sz w:val="18"/>
          <w:szCs w:val="18"/>
          <w:color w:val="58595B"/>
        </w:rPr>
      </w:pPr>
      <w:r>
        <w:rPr>
          <w:rFonts w:ascii="Arial" w:cs="Arial" w:eastAsia="Arial" w:hAnsi="Arial"/>
          <w:sz w:val="18"/>
          <w:szCs w:val="18"/>
          <w:color w:val="58595B"/>
        </w:rPr>
        <w:t>If threshold level of performance is achieved, the incentive payout will equal 50% of a named executive officer's target incentive opportunity.</w:t>
      </w:r>
    </w:p>
    <w:p>
      <w:pPr>
        <w:spacing w:after="0" w:line="120" w:lineRule="exact"/>
        <w:rPr>
          <w:rFonts w:ascii="Arial" w:cs="Arial" w:eastAsia="Arial" w:hAnsi="Arial"/>
          <w:sz w:val="18"/>
          <w:szCs w:val="18"/>
          <w:color w:val="58595B"/>
        </w:rPr>
      </w:pPr>
    </w:p>
    <w:p>
      <w:pPr>
        <w:ind w:left="1280" w:right="340" w:hanging="286"/>
        <w:spacing w:after="0" w:line="266" w:lineRule="auto"/>
        <w:tabs>
          <w:tab w:leader="none" w:pos="1280" w:val="left"/>
        </w:tabs>
        <w:numPr>
          <w:ilvl w:val="0"/>
          <w:numId w:val="47"/>
        </w:numPr>
        <w:rPr>
          <w:rFonts w:ascii="Arial" w:cs="Arial" w:eastAsia="Arial" w:hAnsi="Arial"/>
          <w:sz w:val="18"/>
          <w:szCs w:val="18"/>
          <w:color w:val="58595B"/>
        </w:rPr>
      </w:pPr>
      <w:r>
        <w:rPr>
          <w:rFonts w:ascii="Arial" w:cs="Arial" w:eastAsia="Arial" w:hAnsi="Arial"/>
          <w:sz w:val="18"/>
          <w:szCs w:val="18"/>
          <w:color w:val="58595B"/>
        </w:rPr>
        <w:t>If target level of performance is achieved, the incentive payout will equal 100% of a named executive officer's target incentive opportunity.</w:t>
      </w:r>
    </w:p>
    <w:p>
      <w:pPr>
        <w:spacing w:after="0" w:line="120" w:lineRule="exact"/>
        <w:rPr>
          <w:rFonts w:ascii="Arial" w:cs="Arial" w:eastAsia="Arial" w:hAnsi="Arial"/>
          <w:sz w:val="18"/>
          <w:szCs w:val="18"/>
          <w:color w:val="58595B"/>
        </w:rPr>
      </w:pPr>
    </w:p>
    <w:p>
      <w:pPr>
        <w:ind w:left="1280" w:right="340" w:hanging="286"/>
        <w:spacing w:after="0" w:line="266" w:lineRule="auto"/>
        <w:tabs>
          <w:tab w:leader="none" w:pos="1280" w:val="left"/>
        </w:tabs>
        <w:numPr>
          <w:ilvl w:val="0"/>
          <w:numId w:val="47"/>
        </w:numPr>
        <w:rPr>
          <w:rFonts w:ascii="Arial" w:cs="Arial" w:eastAsia="Arial" w:hAnsi="Arial"/>
          <w:sz w:val="18"/>
          <w:szCs w:val="18"/>
          <w:color w:val="58595B"/>
        </w:rPr>
      </w:pPr>
      <w:r>
        <w:rPr>
          <w:rFonts w:ascii="Arial" w:cs="Arial" w:eastAsia="Arial" w:hAnsi="Arial"/>
          <w:sz w:val="18"/>
          <w:szCs w:val="18"/>
          <w:color w:val="58595B"/>
        </w:rPr>
        <w:t>If maximum level of performance is achieved, the incentive payout will equal 200% of a named executive officer's target incentive opportunity.</w:t>
      </w:r>
    </w:p>
    <w:p>
      <w:pPr>
        <w:spacing w:after="0" w:line="120" w:lineRule="exact"/>
        <w:rPr>
          <w:rFonts w:ascii="Arial" w:cs="Arial" w:eastAsia="Arial" w:hAnsi="Arial"/>
          <w:sz w:val="18"/>
          <w:szCs w:val="18"/>
          <w:color w:val="58595B"/>
        </w:rPr>
      </w:pPr>
    </w:p>
    <w:p>
      <w:pPr>
        <w:ind w:left="1280" w:hanging="286"/>
        <w:spacing w:after="0"/>
        <w:tabs>
          <w:tab w:leader="none" w:pos="1280" w:val="left"/>
        </w:tabs>
        <w:numPr>
          <w:ilvl w:val="0"/>
          <w:numId w:val="47"/>
        </w:numPr>
        <w:rPr>
          <w:rFonts w:ascii="Arial" w:cs="Arial" w:eastAsia="Arial" w:hAnsi="Arial"/>
          <w:sz w:val="18"/>
          <w:szCs w:val="18"/>
          <w:color w:val="58595B"/>
        </w:rPr>
      </w:pPr>
      <w:r>
        <w:rPr>
          <w:rFonts w:ascii="Arial" w:cs="Arial" w:eastAsia="Arial" w:hAnsi="Arial"/>
          <w:sz w:val="18"/>
          <w:szCs w:val="18"/>
          <w:color w:val="58595B"/>
        </w:rPr>
        <w:t>If performance falls between two levels, the incentive payout will be interpolated.</w:t>
      </w:r>
    </w:p>
    <w:p>
      <w:pPr>
        <w:spacing w:after="0" w:line="184" w:lineRule="exact"/>
        <w:rPr>
          <w:sz w:val="20"/>
          <w:szCs w:val="20"/>
          <w:color w:val="auto"/>
        </w:rPr>
      </w:pPr>
    </w:p>
    <w:p>
      <w:pPr>
        <w:ind w:left="820" w:right="360"/>
        <w:spacing w:after="0" w:line="249" w:lineRule="auto"/>
        <w:rPr>
          <w:sz w:val="20"/>
          <w:szCs w:val="20"/>
          <w:color w:val="auto"/>
        </w:rPr>
      </w:pPr>
      <w:r>
        <w:rPr>
          <w:rFonts w:ascii="Arial" w:cs="Arial" w:eastAsia="Arial" w:hAnsi="Arial"/>
          <w:sz w:val="17"/>
          <w:szCs w:val="17"/>
          <w:color w:val="58595B"/>
        </w:rPr>
        <w:t>An important tenet of our pay-for-performance philosophy is to utilize our compensation programs to motivate our executives to achieve performance levels that reach beyond what is expected of us as a company. The performance targets for our incentive plans are approved by our compensation committee and are based on discussions between management and our compensation committee. Target performance levels are intended to be difficult to achieve, but not unrealistic. Maximum performance levels are established to limit short-term incentive awards so as to avoid excessive compensation while encouraging executives to reach for performance beyond the target levels.</w:t>
      </w:r>
    </w:p>
    <w:p>
      <w:pPr>
        <w:spacing w:after="0" w:line="151" w:lineRule="exact"/>
        <w:rPr>
          <w:sz w:val="20"/>
          <w:szCs w:val="20"/>
          <w:color w:val="auto"/>
        </w:rPr>
      </w:pPr>
    </w:p>
    <w:p>
      <w:pPr>
        <w:ind w:left="820" w:right="380"/>
        <w:spacing w:after="0" w:line="279" w:lineRule="auto"/>
        <w:rPr>
          <w:sz w:val="20"/>
          <w:szCs w:val="20"/>
          <w:color w:val="auto"/>
        </w:rPr>
      </w:pPr>
      <w:r>
        <w:rPr>
          <w:rFonts w:ascii="Arial" w:cs="Arial" w:eastAsia="Arial" w:hAnsi="Arial"/>
          <w:sz w:val="17"/>
          <w:szCs w:val="17"/>
          <w:color w:val="58595B"/>
        </w:rPr>
        <w:t>When setting the performance targets for our 2025 annual cash incentives, our compensation committee considered the following factors, which are discussed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86995</wp:posOffset>
            </wp:positionV>
            <wp:extent cx="7144385" cy="297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0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41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625475</wp:posOffset>
            </wp:positionV>
            <wp:extent cx="714438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1" w:right="879" w:bottom="1440" w:gutter="0" w:footer="0" w:header="0"/>
        </w:sectPr>
      </w:pPr>
    </w:p>
    <w:bookmarkStart w:id="45" w:name="page46"/>
    <w:bookmarkEnd w:id="45"/>
    <w:p>
      <w:pPr>
        <w:ind w:left="1640" w:right="940" w:hanging="286"/>
        <w:spacing w:after="0" w:line="238" w:lineRule="auto"/>
        <w:tabs>
          <w:tab w:leader="none" w:pos="1640" w:val="left"/>
        </w:tabs>
        <w:numPr>
          <w:ilvl w:val="0"/>
          <w:numId w:val="48"/>
        </w:numPr>
        <w:rPr>
          <w:rFonts w:ascii="Arial" w:cs="Arial" w:eastAsia="Arial" w:hAnsi="Arial"/>
          <w:sz w:val="17"/>
          <w:szCs w:val="17"/>
          <w:color w:val="58595B"/>
        </w:rPr>
      </w:pPr>
      <w:r>
        <w:rPr>
          <w:rFonts w:ascii="Arial" w:cs="Arial" w:eastAsia="Arial" w:hAnsi="Arial"/>
          <w:sz w:val="18"/>
          <w:szCs w:val="18"/>
          <w:color w:val="58595B"/>
        </w:rPr>
        <w:t>Our 2025 business plan, including our underlying assumptions relating to 2025 refinance volumes and residential purchase market projections following consideration of forecasts of the Mortgage Bankers Association (MBA) and Fannie Mae, projections for the national commercial market based upon forecasts by the Urban Land Institute, the interest rate environment, housing affordability, and recent and expected industry and company trends;</w:t>
      </w:r>
    </w:p>
    <w:p>
      <w:pPr>
        <w:spacing w:after="0" w:line="156" w:lineRule="exact"/>
        <w:rPr>
          <w:rFonts w:ascii="Arial" w:cs="Arial" w:eastAsia="Arial" w:hAnsi="Arial"/>
          <w:sz w:val="17"/>
          <w:szCs w:val="17"/>
          <w:color w:val="58595B"/>
        </w:rPr>
      </w:pPr>
    </w:p>
    <w:p>
      <w:pPr>
        <w:ind w:left="1640" w:hanging="286"/>
        <w:spacing w:after="0"/>
        <w:tabs>
          <w:tab w:leader="none" w:pos="1640" w:val="left"/>
        </w:tabs>
        <w:numPr>
          <w:ilvl w:val="0"/>
          <w:numId w:val="48"/>
        </w:numPr>
        <w:rPr>
          <w:rFonts w:ascii="Arial" w:cs="Arial" w:eastAsia="Arial" w:hAnsi="Arial"/>
          <w:sz w:val="18"/>
          <w:szCs w:val="18"/>
          <w:color w:val="58595B"/>
        </w:rPr>
      </w:pPr>
      <w:r>
        <w:rPr>
          <w:rFonts w:ascii="Arial" w:cs="Arial" w:eastAsia="Arial" w:hAnsi="Arial"/>
          <w:sz w:val="18"/>
          <w:szCs w:val="18"/>
          <w:color w:val="58595B"/>
        </w:rPr>
        <w:t>2025 performance targets as compared to 2024 performance results;</w:t>
      </w:r>
    </w:p>
    <w:p>
      <w:pPr>
        <w:spacing w:after="0" w:line="187" w:lineRule="exact"/>
        <w:rPr>
          <w:rFonts w:ascii="Arial" w:cs="Arial" w:eastAsia="Arial" w:hAnsi="Arial"/>
          <w:sz w:val="18"/>
          <w:szCs w:val="18"/>
          <w:color w:val="58595B"/>
        </w:rPr>
      </w:pPr>
    </w:p>
    <w:p>
      <w:pPr>
        <w:ind w:left="1640" w:right="880" w:hanging="286"/>
        <w:spacing w:after="0" w:line="266" w:lineRule="auto"/>
        <w:tabs>
          <w:tab w:leader="none" w:pos="1640" w:val="left"/>
        </w:tabs>
        <w:numPr>
          <w:ilvl w:val="0"/>
          <w:numId w:val="48"/>
        </w:numPr>
        <w:rPr>
          <w:rFonts w:ascii="Arial" w:cs="Arial" w:eastAsia="Arial" w:hAnsi="Arial"/>
          <w:sz w:val="18"/>
          <w:szCs w:val="18"/>
          <w:color w:val="58595B"/>
        </w:rPr>
      </w:pPr>
      <w:r>
        <w:rPr>
          <w:rFonts w:ascii="Arial" w:cs="Arial" w:eastAsia="Arial" w:hAnsi="Arial"/>
          <w:sz w:val="18"/>
          <w:szCs w:val="18"/>
          <w:color w:val="58595B"/>
        </w:rPr>
        <w:t>Alignment of the 2025 performance targets with the investment community's published projections for us and our publicly-traded title company competitors; and</w:t>
      </w:r>
    </w:p>
    <w:p>
      <w:pPr>
        <w:spacing w:after="0" w:line="132" w:lineRule="exact"/>
        <w:rPr>
          <w:rFonts w:ascii="Arial" w:cs="Arial" w:eastAsia="Arial" w:hAnsi="Arial"/>
          <w:sz w:val="18"/>
          <w:szCs w:val="18"/>
          <w:color w:val="58595B"/>
        </w:rPr>
      </w:pPr>
    </w:p>
    <w:p>
      <w:pPr>
        <w:ind w:left="1640" w:hanging="286"/>
        <w:spacing w:after="0"/>
        <w:tabs>
          <w:tab w:leader="none" w:pos="1640" w:val="left"/>
        </w:tabs>
        <w:numPr>
          <w:ilvl w:val="0"/>
          <w:numId w:val="48"/>
        </w:numPr>
        <w:rPr>
          <w:rFonts w:ascii="Arial" w:cs="Arial" w:eastAsia="Arial" w:hAnsi="Arial"/>
          <w:sz w:val="18"/>
          <w:szCs w:val="18"/>
          <w:color w:val="58595B"/>
        </w:rPr>
      </w:pPr>
      <w:r>
        <w:rPr>
          <w:rFonts w:ascii="Arial" w:cs="Arial" w:eastAsia="Arial" w:hAnsi="Arial"/>
          <w:sz w:val="18"/>
          <w:szCs w:val="18"/>
          <w:color w:val="58595B"/>
        </w:rPr>
        <w:t>The effect that achieving the performance targets would have on our growth and margins.</w:t>
      </w:r>
    </w:p>
    <w:p>
      <w:pPr>
        <w:spacing w:after="0" w:line="175" w:lineRule="exact"/>
        <w:rPr>
          <w:sz w:val="20"/>
          <w:szCs w:val="20"/>
          <w:color w:val="auto"/>
        </w:rPr>
      </w:pPr>
    </w:p>
    <w:p>
      <w:pPr>
        <w:ind w:left="1180" w:right="920"/>
        <w:spacing w:after="0" w:line="232" w:lineRule="auto"/>
        <w:rPr>
          <w:sz w:val="20"/>
          <w:szCs w:val="20"/>
          <w:color w:val="auto"/>
        </w:rPr>
      </w:pPr>
      <w:r>
        <w:rPr>
          <w:rFonts w:ascii="Arial" w:cs="Arial" w:eastAsia="Arial" w:hAnsi="Arial"/>
          <w:sz w:val="18"/>
          <w:szCs w:val="18"/>
          <w:b w:val="1"/>
          <w:bCs w:val="1"/>
          <w:color w:val="49678E"/>
        </w:rPr>
        <w:t xml:space="preserve">FNF Annual Incentive Performance Measures and Results. </w:t>
      </w:r>
      <w:r>
        <w:rPr>
          <w:rFonts w:ascii="Arial" w:cs="Arial" w:eastAsia="Arial" w:hAnsi="Arial"/>
          <w:sz w:val="18"/>
          <w:szCs w:val="18"/>
          <w:color w:val="58595B"/>
        </w:rPr>
        <w:t>The performance goals for our 2025 annual cash</w:t>
      </w:r>
      <w:r>
        <w:rPr>
          <w:rFonts w:ascii="Arial" w:cs="Arial" w:eastAsia="Arial" w:hAnsi="Arial"/>
          <w:sz w:val="18"/>
          <w:szCs w:val="18"/>
          <w:b w:val="1"/>
          <w:bCs w:val="1"/>
          <w:color w:val="49678E"/>
        </w:rPr>
        <w:t xml:space="preserve"> </w:t>
      </w:r>
      <w:r>
        <w:rPr>
          <w:rFonts w:ascii="Arial" w:cs="Arial" w:eastAsia="Arial" w:hAnsi="Arial"/>
          <w:sz w:val="18"/>
          <w:szCs w:val="18"/>
          <w:color w:val="58595B"/>
        </w:rPr>
        <w:t>incentives were based on adjusted revenue and adjusted pre-tax profit margin, which we refer to as "adjusted pre-tax title margin," in each case relating to our title segment. We believe these two performance measures are among the most important measures to our investors of the financial performance of our business. Title revenue is a leading measure of growth, market share, customer satisfaction and product strength. Pre-tax margin relating to our title segment is a leading measure of operating performance and efficiency. Both measures are used by investors and analysts and can have a significant impact on long-term stock price and the investing community's expectations. Additionally, when combined with the strong focus on long-term shareholder return created by our equity-based incentives and our named executive officers' significant stock ownership, these two measures analyzed on an annual basis provide a degree of checks and balances, requiring our named executive officers to consider both short-term and long-term performance of our businesses and investments. Adjusted title revenue and adjusted pre-tax title margin correspond to our shareholders' expectations, the performance of our stock price, our annual budget, our long-term financial plan, and our board of directors' expectations. Further, both are measures that executives can directly affect.</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In the following table, we explain how we calculate the performance measures and why we use them.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42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4145915</wp:posOffset>
            </wp:positionH>
            <wp:positionV relativeFrom="page">
              <wp:posOffset>519430</wp:posOffset>
            </wp:positionV>
            <wp:extent cx="15875" cy="398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75" cy="398780"/>
                    </a:xfrm>
                    <a:prstGeom prst="rect">
                      <a:avLst/>
                    </a:prstGeom>
                    <a:noFill/>
                  </pic:spPr>
                </pic:pic>
              </a:graphicData>
            </a:graphic>
          </wp:anchor>
        </w:drawing>
        <w:drawing>
          <wp:anchor simplePos="0" relativeHeight="251657728" behindDoc="1" locked="0" layoutInCell="0" allowOverlap="1">
            <wp:simplePos x="0" y="0"/>
            <wp:positionH relativeFrom="page">
              <wp:posOffset>2087880</wp:posOffset>
            </wp:positionH>
            <wp:positionV relativeFrom="page">
              <wp:posOffset>519430</wp:posOffset>
            </wp:positionV>
            <wp:extent cx="15875" cy="398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75" cy="398780"/>
                    </a:xfrm>
                    <a:prstGeom prst="rect">
                      <a:avLst/>
                    </a:prstGeom>
                    <a:noFill/>
                  </pic:spPr>
                </pic:pic>
              </a:graphicData>
            </a:graphic>
          </wp:anchor>
        </w:drawing>
      </w:r>
    </w:p>
    <w:tbl>
      <w:tblPr>
        <w:tblLayout w:type="fixed"/>
        <w:tblInd w:w="830" w:type="dxa"/>
        <w:tblCellMar>
          <w:top w:w="0" w:type="dxa"/>
          <w:left w:w="0" w:type="dxa"/>
          <w:bottom w:w="0" w:type="dxa"/>
          <w:right w:w="0" w:type="dxa"/>
        </w:tblCellMar>
      </w:tblPr>
      <w:tr>
        <w:trPr>
          <w:trHeight w:val="281"/>
        </w:trPr>
        <w:tc>
          <w:tcPr>
            <w:tcW w:w="1820" w:type="dxa"/>
            <w:vAlign w:val="bottom"/>
            <w:tcBorders>
              <w:top w:val="single" w:sz="8" w:color="auto"/>
              <w:left w:val="single" w:sz="8" w:color="auto"/>
              <w:right w:val="single" w:sz="8" w:color="234E77"/>
            </w:tcBorders>
            <w:shd w:val="clear" w:color="auto" w:fill="234E77"/>
          </w:tcPr>
          <w:p>
            <w:pPr>
              <w:ind w:left="120"/>
              <w:spacing w:after="0"/>
              <w:rPr>
                <w:sz w:val="20"/>
                <w:szCs w:val="20"/>
                <w:color w:val="auto"/>
              </w:rPr>
            </w:pPr>
            <w:r>
              <w:rPr>
                <w:rFonts w:ascii="Arial" w:cs="Arial" w:eastAsia="Arial" w:hAnsi="Arial"/>
                <w:sz w:val="16"/>
                <w:szCs w:val="16"/>
                <w:b w:val="1"/>
                <w:bCs w:val="1"/>
                <w:color w:val="FFFFFF"/>
              </w:rPr>
              <w:t>Performance</w:t>
            </w:r>
          </w:p>
        </w:tc>
        <w:tc>
          <w:tcPr>
            <w:tcW w:w="3240" w:type="dxa"/>
            <w:vAlign w:val="bottom"/>
            <w:tcBorders>
              <w:top w:val="single" w:sz="8" w:color="auto"/>
              <w:right w:val="single" w:sz="8" w:color="234E77"/>
            </w:tcBorders>
            <w:shd w:val="clear" w:color="auto" w:fill="234E77"/>
          </w:tcPr>
          <w:p>
            <w:pPr>
              <w:ind w:left="100"/>
              <w:spacing w:after="0"/>
              <w:rPr>
                <w:sz w:val="20"/>
                <w:szCs w:val="20"/>
                <w:color w:val="auto"/>
              </w:rPr>
            </w:pPr>
            <w:r>
              <w:rPr>
                <w:rFonts w:ascii="Arial" w:cs="Arial" w:eastAsia="Arial" w:hAnsi="Arial"/>
                <w:sz w:val="16"/>
                <w:szCs w:val="16"/>
                <w:b w:val="1"/>
                <w:bCs w:val="1"/>
                <w:color w:val="FFFFFF"/>
              </w:rPr>
              <w:t>How Performance Measures are</w:t>
            </w:r>
          </w:p>
        </w:tc>
        <w:tc>
          <w:tcPr>
            <w:tcW w:w="3940" w:type="dxa"/>
            <w:vAlign w:val="bottom"/>
            <w:tcBorders>
              <w:top w:val="single" w:sz="8" w:color="auto"/>
              <w:right w:val="single" w:sz="8" w:color="auto"/>
            </w:tcBorders>
            <w:shd w:val="clear" w:color="auto" w:fill="234E77"/>
          </w:tcPr>
          <w:p>
            <w:pPr>
              <w:spacing w:after="0"/>
              <w:rPr>
                <w:sz w:val="24"/>
                <w:szCs w:val="24"/>
                <w:color w:val="auto"/>
              </w:rPr>
            </w:pPr>
          </w:p>
        </w:tc>
      </w:tr>
      <w:tr>
        <w:trPr>
          <w:trHeight w:val="335"/>
        </w:trPr>
        <w:tc>
          <w:tcPr>
            <w:tcW w:w="1820" w:type="dxa"/>
            <w:vAlign w:val="bottom"/>
            <w:tcBorders>
              <w:left w:val="single" w:sz="8" w:color="auto"/>
              <w:bottom w:val="single" w:sz="8" w:color="auto"/>
              <w:right w:val="single" w:sz="8" w:color="234E77"/>
            </w:tcBorders>
            <w:shd w:val="clear" w:color="auto" w:fill="234E77"/>
          </w:tcPr>
          <w:p>
            <w:pPr>
              <w:ind w:left="120"/>
              <w:spacing w:after="0"/>
              <w:rPr>
                <w:sz w:val="20"/>
                <w:szCs w:val="20"/>
                <w:color w:val="auto"/>
              </w:rPr>
            </w:pPr>
            <w:r>
              <w:rPr>
                <w:rFonts w:ascii="Arial" w:cs="Arial" w:eastAsia="Arial" w:hAnsi="Arial"/>
                <w:sz w:val="16"/>
                <w:szCs w:val="16"/>
                <w:b w:val="1"/>
                <w:bCs w:val="1"/>
                <w:color w:val="FFFFFF"/>
              </w:rPr>
              <w:t>Measure</w:t>
            </w:r>
          </w:p>
        </w:tc>
        <w:tc>
          <w:tcPr>
            <w:tcW w:w="3240" w:type="dxa"/>
            <w:vAlign w:val="bottom"/>
            <w:tcBorders>
              <w:bottom w:val="single" w:sz="8" w:color="auto"/>
              <w:right w:val="single" w:sz="8" w:color="234E77"/>
            </w:tcBorders>
            <w:shd w:val="clear" w:color="auto" w:fill="234E77"/>
          </w:tcPr>
          <w:p>
            <w:pPr>
              <w:ind w:left="100"/>
              <w:spacing w:after="0"/>
              <w:rPr>
                <w:sz w:val="20"/>
                <w:szCs w:val="20"/>
                <w:color w:val="auto"/>
              </w:rPr>
            </w:pPr>
            <w:r>
              <w:rPr>
                <w:rFonts w:ascii="Arial" w:cs="Arial" w:eastAsia="Arial" w:hAnsi="Arial"/>
                <w:sz w:val="16"/>
                <w:szCs w:val="16"/>
                <w:b w:val="1"/>
                <w:bCs w:val="1"/>
                <w:color w:val="FFFFFF"/>
              </w:rPr>
              <w:t>Calculated</w:t>
            </w:r>
            <w:r>
              <w:rPr>
                <w:rFonts w:ascii="Arial" w:cs="Arial" w:eastAsia="Arial" w:hAnsi="Arial"/>
                <w:sz w:val="27"/>
                <w:szCs w:val="27"/>
                <w:b w:val="1"/>
                <w:bCs w:val="1"/>
                <w:color w:val="FFFFFF"/>
                <w:vertAlign w:val="superscript"/>
              </w:rPr>
              <w:t>1</w:t>
            </w:r>
          </w:p>
        </w:tc>
        <w:tc>
          <w:tcPr>
            <w:tcW w:w="3940" w:type="dxa"/>
            <w:vAlign w:val="bottom"/>
            <w:tcBorders>
              <w:bottom w:val="single" w:sz="8" w:color="auto"/>
              <w:right w:val="single" w:sz="8" w:color="auto"/>
            </w:tcBorders>
            <w:shd w:val="clear" w:color="auto" w:fill="234E77"/>
          </w:tcPr>
          <w:p>
            <w:pPr>
              <w:ind w:left="100"/>
              <w:spacing w:after="0"/>
              <w:rPr>
                <w:sz w:val="20"/>
                <w:szCs w:val="20"/>
                <w:color w:val="auto"/>
              </w:rPr>
            </w:pPr>
            <w:r>
              <w:rPr>
                <w:rFonts w:ascii="Arial" w:cs="Arial" w:eastAsia="Arial" w:hAnsi="Arial"/>
                <w:sz w:val="16"/>
                <w:szCs w:val="16"/>
                <w:b w:val="1"/>
                <w:bCs w:val="1"/>
                <w:color w:val="FFFFFF"/>
              </w:rPr>
              <w:t>Reason for Use</w:t>
            </w:r>
          </w:p>
        </w:tc>
      </w:tr>
      <w:tr>
        <w:trPr>
          <w:trHeight w:val="251"/>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58595B"/>
              </w:rPr>
              <w:t>Adjusted Title</w:t>
            </w: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Adjusted title revenue is based on GAAP</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Adjusted title revenue is an important measure of our</w:t>
            </w:r>
          </w:p>
        </w:tc>
      </w:tr>
      <w:tr>
        <w:trPr>
          <w:trHeight w:val="173"/>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58595B"/>
              </w:rPr>
              <w:t>Revenue</w:t>
            </w: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revenue from our title segment as reported in</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growth, our ability to satisfy and retain our clients, gain</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our annual financial statements, excluding</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new clients and the effectiveness of our services and</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recognized gains and losses.</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solutions. Adjusted title revenue is widely followed by</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investors and is reported in our quarterly earnings press</w:t>
            </w: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releases.</w:t>
            </w: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r>
      <w:tr>
        <w:trPr>
          <w:trHeight w:val="251"/>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58595B"/>
              </w:rPr>
              <w:t>Adjusted Pre-Tax Title</w:t>
            </w: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Adjusted pre-tax title margin is determined by</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Adjusted pre-tax title margin is a financial measure that</w:t>
            </w:r>
          </w:p>
        </w:tc>
      </w:tr>
      <w:tr>
        <w:trPr>
          <w:trHeight w:val="173"/>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58595B"/>
              </w:rPr>
              <w:t>Margin</w:t>
            </w: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dividing the earnings before income taxes and</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is significantly influenced by the performance of our</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non-controlling interests from our title</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executives, promotes a focus on operational efficiency</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segment, excluding recognized gains and</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and cost management, aligns the executives’ short-term</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losses, purchase accounting amortization and</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incentive opportunity with one of our key corporate</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other unusual items, by total revenues of the</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growth objectives and is commonly used within the title</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title segment excluding recognized gains and</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industry. We believe maintaining strong margins is</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losses.</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particularly important in a declining market. The</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exclusion of income taxes, non-controlling interests,</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recognized gains and losses, and purchase price</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amortization from the calculation of adjusted pre-tax title</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margin results in a measure that better reflects our</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continuing operations, which is more heavily influenced</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by the performance of our executives rather than</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ancillary market and economic factors. This measure is</w:t>
            </w:r>
          </w:p>
        </w:tc>
      </w:tr>
      <w:tr>
        <w:trPr>
          <w:trHeight w:val="173"/>
        </w:trPr>
        <w:tc>
          <w:tcPr>
            <w:tcW w:w="182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widely followed by investors and is reported in our</w:t>
            </w: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58585A"/>
              </w:rPr>
              <w:t>quarterly earnings press releases.</w:t>
            </w: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r>
    </w:tbl>
    <w:p>
      <w:pPr>
        <w:spacing w:after="0" w:line="177" w:lineRule="exact"/>
        <w:rPr>
          <w:sz w:val="20"/>
          <w:szCs w:val="20"/>
          <w:color w:val="auto"/>
        </w:rPr>
      </w:pPr>
    </w:p>
    <w:p>
      <w:pPr>
        <w:ind w:left="1120" w:right="520" w:hanging="298"/>
        <w:spacing w:after="0" w:line="256" w:lineRule="auto"/>
        <w:tabs>
          <w:tab w:leader="none" w:pos="112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The adjustments to title revenue and pre-tax title margin are intended to produce a performance measure that reflects the financial performance of our continuing operations, which is directly influenced by the performance of our executives, and to exclude the impact of external market and economic factors.</w:t>
      </w:r>
    </w:p>
    <w:p>
      <w:pPr>
        <w:spacing w:after="0" w:line="136" w:lineRule="exact"/>
        <w:rPr>
          <w:sz w:val="20"/>
          <w:szCs w:val="20"/>
          <w:color w:val="auto"/>
        </w:rPr>
      </w:pPr>
    </w:p>
    <w:p>
      <w:pPr>
        <w:ind w:left="820" w:right="420"/>
        <w:spacing w:after="0" w:line="232" w:lineRule="auto"/>
        <w:rPr>
          <w:sz w:val="20"/>
          <w:szCs w:val="20"/>
          <w:color w:val="auto"/>
        </w:rPr>
      </w:pPr>
      <w:r>
        <w:rPr>
          <w:rFonts w:ascii="Arial" w:cs="Arial" w:eastAsia="Arial" w:hAnsi="Arial"/>
          <w:sz w:val="18"/>
          <w:szCs w:val="18"/>
          <w:color w:val="58595B"/>
        </w:rPr>
        <w:t>The title insurance business is directly impacted by management's effectiveness in executing on our business strategy, and macro-economic factors such as mortgage interest rates, credit availability, job markets, economic growth, and changing demographics. Changes to mortgage interest rates, in particular, can have a significant impact on our title revenues and title margin. In setting the target Adjusted Title Revenue and Adjusted Pre-Tax Title Margin goals, the compensation committee looks to set goals that are difficult to achieve but not unrealistic. Because Adjusted Title Revenue is closely related to the level of real estate activity, which is not within management's control, the compensation committee heavily considers the expected trends and market conditions described above, which can fluctuate significantly from year to year, rather than looking to past years performance targets or results. In setting our Adjusted Pre-Tax Title Margin goal, the committee considers management's ability to operate our business efficiently and control expenses in light of both current market conditions, trends and expectations, as well as management's expertise and past performance in driving strong margins in that type of environment.</w:t>
      </w:r>
    </w:p>
    <w:p>
      <w:pPr>
        <w:spacing w:after="0" w:line="150" w:lineRule="exact"/>
        <w:rPr>
          <w:sz w:val="20"/>
          <w:szCs w:val="20"/>
          <w:color w:val="auto"/>
        </w:rPr>
      </w:pPr>
    </w:p>
    <w:p>
      <w:pPr>
        <w:jc w:val="both"/>
        <w:ind w:left="820" w:right="600"/>
        <w:spacing w:after="0" w:line="241" w:lineRule="auto"/>
        <w:rPr>
          <w:sz w:val="20"/>
          <w:szCs w:val="20"/>
          <w:color w:val="auto"/>
        </w:rPr>
      </w:pPr>
      <w:r>
        <w:rPr>
          <w:rFonts w:ascii="Arial" w:cs="Arial" w:eastAsia="Arial" w:hAnsi="Arial"/>
          <w:sz w:val="18"/>
          <w:szCs w:val="18"/>
          <w:color w:val="58595B"/>
        </w:rPr>
        <w:t>Our annual incentive plan targets correlate with our annual strategic financial plans, which are developed in the first quarter based on our forecasted mortgage originations for the year and the relative mix of purchase versus refinance originations. In setting the threshold, target and maximum goals relating to the performance measures under our annual incentive plan, 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103505</wp:posOffset>
            </wp:positionV>
            <wp:extent cx="7144385" cy="297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3"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43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625475</wp:posOffset>
            </wp:positionV>
            <wp:extent cx="71443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7" w:right="879" w:bottom="1440" w:gutter="0" w:footer="0" w:header="0"/>
        </w:sectPr>
      </w:pPr>
    </w:p>
    <w:bookmarkStart w:id="47" w:name="page48"/>
    <w:bookmarkEnd w:id="47"/>
    <w:p>
      <w:pPr>
        <w:ind w:left="1180" w:right="920"/>
        <w:spacing w:after="0" w:line="233" w:lineRule="auto"/>
        <w:rPr>
          <w:sz w:val="20"/>
          <w:szCs w:val="20"/>
          <w:color w:val="auto"/>
        </w:rPr>
      </w:pPr>
      <w:r>
        <w:rPr>
          <w:rFonts w:ascii="Arial" w:cs="Arial" w:eastAsia="Arial" w:hAnsi="Arial"/>
          <w:sz w:val="18"/>
          <w:szCs w:val="18"/>
          <w:color w:val="58595B"/>
        </w:rPr>
        <w:t>committee considered management's expectations for 2025, which were based on a combination of forecasts provided by the MBA and the Urban Land Institute, anticipated changes in interest rates, as well as historical and expected market dynamics and industry and company trends. When we set our 2025 performance targets in April 2025, our assumptions included a decrease in residential purchase volumes of 5% with an expectation of continued home price appreciation and elevated interest rates, a decrease in residential refinance volumes of 4%, a volatile interest rate environment, and a 12% decrease in the commercial title insurance market. Our assumptions also included rising home prices making housing less affordable and other recent and expected industry and company trends. We prepare a base plan as well as upside and downside scenarios, which, taken together, form the strategic financial plan and the basis of the performance measure targets. To establish threshold and maximum goals, percentage adjustments were applied to the target goals.</w:t>
      </w:r>
    </w:p>
    <w:p>
      <w:pPr>
        <w:spacing w:after="0" w:line="147" w:lineRule="exact"/>
        <w:rPr>
          <w:sz w:val="20"/>
          <w:szCs w:val="20"/>
          <w:color w:val="auto"/>
        </w:rPr>
      </w:pPr>
    </w:p>
    <w:p>
      <w:pPr>
        <w:ind w:left="1180" w:right="900"/>
        <w:spacing w:after="0" w:line="231" w:lineRule="auto"/>
        <w:rPr>
          <w:sz w:val="20"/>
          <w:szCs w:val="20"/>
          <w:color w:val="auto"/>
        </w:rPr>
      </w:pPr>
      <w:r>
        <w:rPr>
          <w:rFonts w:ascii="Arial" w:cs="Arial" w:eastAsia="Arial" w:hAnsi="Arial"/>
          <w:sz w:val="18"/>
          <w:szCs w:val="18"/>
          <w:color w:val="58595B"/>
        </w:rPr>
        <w:t>In light of the expected trends in refinance, residential purchase and commercial markets described above coupled with a continued elevated interest rate environment, which are outside of management's control, our compensation committee determined to set our 2025 title revenue target at $ 7.0 billion, which was 5% above our 2024 target of $6.65 billion and 9% below our 2024 result of $7.7 billion. The committee determined to set our 2025 adjusted pre-tax title margin performance target at 13.0% in order to drive continued strong operational efficiency and cost management. While the 2025 adjusted pre-tax title margin performance target was lower than our 2024 result of 15.1% due to continued uncertainty related to the market assumptions described above, it was in line with our</w:t>
      </w:r>
    </w:p>
    <w:p>
      <w:pPr>
        <w:spacing w:after="0" w:line="4" w:lineRule="exact"/>
        <w:rPr>
          <w:sz w:val="20"/>
          <w:szCs w:val="20"/>
          <w:color w:val="auto"/>
        </w:rPr>
      </w:pPr>
    </w:p>
    <w:p>
      <w:pPr>
        <w:ind w:left="1180" w:right="980"/>
        <w:spacing w:after="0" w:line="238" w:lineRule="auto"/>
        <w:rPr>
          <w:sz w:val="20"/>
          <w:szCs w:val="20"/>
          <w:color w:val="auto"/>
        </w:rPr>
      </w:pPr>
      <w:r>
        <w:rPr>
          <w:rFonts w:ascii="Arial" w:cs="Arial" w:eastAsia="Arial" w:hAnsi="Arial"/>
          <w:sz w:val="18"/>
          <w:szCs w:val="18"/>
          <w:color w:val="58595B"/>
        </w:rPr>
        <w:t>2024 target of 13.0% which was set at a time of similar uncertainty. The committee believed achievement of these targets would reflect strong performance by management in what was expected to be an extraordinarily challenging market environment.</w:t>
      </w:r>
    </w:p>
    <w:p>
      <w:pPr>
        <w:spacing w:after="0" w:line="143" w:lineRule="exact"/>
        <w:rPr>
          <w:sz w:val="20"/>
          <w:szCs w:val="20"/>
          <w:color w:val="auto"/>
        </w:rPr>
      </w:pPr>
    </w:p>
    <w:p>
      <w:pPr>
        <w:ind w:left="1180" w:right="880"/>
        <w:spacing w:after="0" w:line="236" w:lineRule="auto"/>
        <w:rPr>
          <w:sz w:val="20"/>
          <w:szCs w:val="20"/>
          <w:color w:val="auto"/>
        </w:rPr>
      </w:pPr>
      <w:r>
        <w:rPr>
          <w:rFonts w:ascii="Arial" w:cs="Arial" w:eastAsia="Arial" w:hAnsi="Arial"/>
          <w:sz w:val="18"/>
          <w:szCs w:val="18"/>
          <w:color w:val="58595B"/>
        </w:rPr>
        <w:t>The adjusted pre-tax title margin threshold and maximum goals were set at 250 basis points below and 250 basis points above the target, respectively, and title revenue threshold and maximum goals were set at 7.5% below and 7.5% above the target, respectively. Target performance levels are intended to be difficult to achieve, but not unrealistic. Maximum performance levels are established to limit short-term incentive awards so as to avoid excessive compensation while encouraging executives to reach for performance beyond the target levels. All of the goals are subject to review and approval by our compensation committee.</w:t>
      </w:r>
    </w:p>
    <w:p>
      <w:pPr>
        <w:spacing w:after="0" w:line="147" w:lineRule="exact"/>
        <w:rPr>
          <w:sz w:val="20"/>
          <w:szCs w:val="20"/>
          <w:color w:val="auto"/>
        </w:rPr>
      </w:pPr>
    </w:p>
    <w:p>
      <w:pPr>
        <w:ind w:left="1180" w:right="920"/>
        <w:spacing w:after="0" w:line="234" w:lineRule="auto"/>
        <w:rPr>
          <w:sz w:val="20"/>
          <w:szCs w:val="20"/>
          <w:color w:val="auto"/>
        </w:rPr>
      </w:pPr>
      <w:r>
        <w:rPr>
          <w:rFonts w:ascii="Arial" w:cs="Arial" w:eastAsia="Arial" w:hAnsi="Arial"/>
          <w:sz w:val="18"/>
          <w:szCs w:val="18"/>
          <w:color w:val="58595B"/>
        </w:rPr>
        <w:t>When calculating adjusted title revenues and adjusted pre-tax title margin, we adjust for recognized gains and losses, purchase price amortization, and other unusual items. These adjustments encourage our executives to focus on achieving strong financial performance and efficient operation of our continuing businesses during the year to achieve the performance measures. The adjustments also ensure that our compensation committee is measuring management's performance at the end of the annual performance period consistently with our budget for that period so that the measures serve as barometers of management's performance in satisfying and retaining our clients, obtaining new clients, and operating the business efficiently. The adjustments also encourage our executives to focus on the long-term benefit and strategic fit of acquisitions or divestitures regardless of whether they may have a positive or negative impact on our adjusted revenue or pre-tax title margin in the current year.</w:t>
      </w:r>
    </w:p>
    <w:p>
      <w:pPr>
        <w:spacing w:after="0" w:line="143" w:lineRule="exact"/>
        <w:rPr>
          <w:sz w:val="20"/>
          <w:szCs w:val="20"/>
          <w:color w:val="auto"/>
        </w:rPr>
      </w:pPr>
    </w:p>
    <w:p>
      <w:pPr>
        <w:jc w:val="both"/>
        <w:ind w:left="1180" w:right="900"/>
        <w:spacing w:after="0" w:line="247" w:lineRule="auto"/>
        <w:rPr>
          <w:sz w:val="20"/>
          <w:szCs w:val="20"/>
          <w:color w:val="auto"/>
        </w:rPr>
      </w:pPr>
      <w:r>
        <w:rPr>
          <w:rFonts w:ascii="Arial" w:cs="Arial" w:eastAsia="Arial" w:hAnsi="Arial"/>
          <w:sz w:val="18"/>
          <w:szCs w:val="18"/>
          <w:color w:val="58595B"/>
        </w:rPr>
        <w:t>Our 2025 adjusted revenue and adjusted title margin results both exceeded expectations and continued to lead the industry due to our continued focus on managing expenses, aggressive recruiting, and adjusting headcount in line with opened order trends. Our executives' performance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44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8" w:name="page49"/>
    <w:bookmarkEnd w:id="48"/>
    <w:p>
      <w:pPr>
        <w:ind w:left="820" w:right="700"/>
        <w:spacing w:after="0" w:line="266" w:lineRule="auto"/>
        <w:rPr>
          <w:sz w:val="20"/>
          <w:szCs w:val="20"/>
          <w:color w:val="auto"/>
        </w:rPr>
      </w:pPr>
      <w:r>
        <w:rPr>
          <w:rFonts w:ascii="Arial" w:cs="Arial" w:eastAsia="Arial" w:hAnsi="Arial"/>
          <w:sz w:val="18"/>
          <w:szCs w:val="18"/>
          <w:color w:val="58595B"/>
        </w:rPr>
        <w:t>directly impacted our ability to effectively manage our business in response to each of these factors and deliver strong results for our shareholders.</w:t>
      </w:r>
    </w:p>
    <w:p>
      <w:pPr>
        <w:spacing w:after="0" w:line="120" w:lineRule="exact"/>
        <w:rPr>
          <w:sz w:val="20"/>
          <w:szCs w:val="20"/>
          <w:color w:val="auto"/>
        </w:rPr>
      </w:pPr>
    </w:p>
    <w:p>
      <w:pPr>
        <w:ind w:left="820" w:right="420"/>
        <w:spacing w:after="0" w:line="247" w:lineRule="auto"/>
        <w:rPr>
          <w:sz w:val="20"/>
          <w:szCs w:val="20"/>
          <w:color w:val="auto"/>
        </w:rPr>
      </w:pPr>
      <w:r>
        <w:rPr>
          <w:rFonts w:ascii="Arial" w:cs="Arial" w:eastAsia="Arial" w:hAnsi="Arial"/>
          <w:sz w:val="18"/>
          <w:szCs w:val="18"/>
          <w:color w:val="58595B"/>
        </w:rPr>
        <w:t>The following charts set forth the 2025 threshold, target and maximum performance goals, the relative weighting of the performance measures, and 2025 performance results under our annual incentive plan, which resulted in a combined payout factor of 200%. Dollar amounts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100965</wp:posOffset>
            </wp:positionV>
            <wp:extent cx="15875" cy="297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75" cy="29718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100965</wp:posOffset>
            </wp:positionV>
            <wp:extent cx="15875" cy="297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75" cy="2971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100965</wp:posOffset>
            </wp:positionV>
            <wp:extent cx="15875" cy="297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875" cy="29718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100965</wp:posOffset>
            </wp:positionV>
            <wp:extent cx="15875" cy="297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875" cy="297180"/>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100965</wp:posOffset>
            </wp:positionV>
            <wp:extent cx="15875" cy="297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75" cy="29718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100965</wp:posOffset>
            </wp:positionV>
            <wp:extent cx="15875" cy="297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75" cy="297180"/>
                    </a:xfrm>
                    <a:prstGeom prst="rect">
                      <a:avLst/>
                    </a:prstGeom>
                    <a:noFill/>
                  </pic:spPr>
                </pic:pic>
              </a:graphicData>
            </a:graphic>
          </wp:anchor>
        </w:drawing>
      </w:r>
    </w:p>
    <w:p>
      <w:pPr>
        <w:spacing w:after="0" w:line="119"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2280" w:type="dxa"/>
            <w:vAlign w:val="bottom"/>
            <w:tcBorders>
              <w:top w:val="single" w:sz="8" w:color="auto"/>
              <w:left w:val="single" w:sz="8" w:color="auto"/>
              <w:right w:val="single" w:sz="8" w:color="234E77"/>
            </w:tcBorders>
            <w:vMerge w:val="restart"/>
            <w:shd w:val="clear" w:color="auto" w:fill="234E77"/>
          </w:tcPr>
          <w:p>
            <w:pPr>
              <w:ind w:left="100"/>
              <w:spacing w:after="0"/>
              <w:rPr>
                <w:sz w:val="20"/>
                <w:szCs w:val="20"/>
                <w:color w:val="auto"/>
              </w:rPr>
            </w:pPr>
            <w:r>
              <w:rPr>
                <w:rFonts w:ascii="Arial" w:cs="Arial" w:eastAsia="Arial" w:hAnsi="Arial"/>
                <w:sz w:val="16"/>
                <w:szCs w:val="16"/>
                <w:b w:val="1"/>
                <w:bCs w:val="1"/>
                <w:color w:val="FFFFFF"/>
              </w:rPr>
              <w:t>Performance Metric</w:t>
            </w:r>
          </w:p>
        </w:tc>
        <w:tc>
          <w:tcPr>
            <w:tcW w:w="1080" w:type="dxa"/>
            <w:vAlign w:val="bottom"/>
            <w:tcBorders>
              <w:top w:val="single" w:sz="8" w:color="auto"/>
              <w:right w:val="single" w:sz="8" w:color="234E77"/>
            </w:tcBorders>
            <w:vMerge w:val="restart"/>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Weight</w:t>
            </w:r>
          </w:p>
        </w:tc>
        <w:tc>
          <w:tcPr>
            <w:tcW w:w="980" w:type="dxa"/>
            <w:vAlign w:val="bottom"/>
            <w:tcBorders>
              <w:top w:val="single" w:sz="8" w:color="auto"/>
              <w:right w:val="single" w:sz="8" w:color="234E77"/>
            </w:tcBorders>
            <w:vMerge w:val="restart"/>
            <w:shd w:val="clear" w:color="auto" w:fill="234E77"/>
          </w:tcPr>
          <w:p>
            <w:pPr>
              <w:ind w:left="120"/>
              <w:spacing w:after="0"/>
              <w:rPr>
                <w:sz w:val="20"/>
                <w:szCs w:val="20"/>
                <w:color w:val="auto"/>
              </w:rPr>
            </w:pPr>
            <w:r>
              <w:rPr>
                <w:rFonts w:ascii="Arial" w:cs="Arial" w:eastAsia="Arial" w:hAnsi="Arial"/>
                <w:sz w:val="15"/>
                <w:szCs w:val="15"/>
                <w:b w:val="1"/>
                <w:bCs w:val="1"/>
                <w:color w:val="FFFFFF"/>
              </w:rPr>
              <w:t>Threshold</w:t>
            </w:r>
          </w:p>
        </w:tc>
        <w:tc>
          <w:tcPr>
            <w:tcW w:w="1000" w:type="dxa"/>
            <w:vAlign w:val="bottom"/>
            <w:tcBorders>
              <w:top w:val="single" w:sz="8" w:color="auto"/>
              <w:right w:val="single" w:sz="8" w:color="234E77"/>
            </w:tcBorders>
            <w:vMerge w:val="restart"/>
            <w:shd w:val="clear" w:color="auto" w:fill="234E77"/>
          </w:tcPr>
          <w:p>
            <w:pPr>
              <w:ind w:left="260"/>
              <w:spacing w:after="0"/>
              <w:rPr>
                <w:sz w:val="20"/>
                <w:szCs w:val="20"/>
                <w:color w:val="auto"/>
              </w:rPr>
            </w:pPr>
            <w:r>
              <w:rPr>
                <w:rFonts w:ascii="Arial" w:cs="Arial" w:eastAsia="Arial" w:hAnsi="Arial"/>
                <w:sz w:val="15"/>
                <w:szCs w:val="15"/>
                <w:b w:val="1"/>
                <w:bCs w:val="1"/>
                <w:color w:val="FFFFFF"/>
              </w:rPr>
              <w:t>Target</w:t>
            </w:r>
          </w:p>
        </w:tc>
        <w:tc>
          <w:tcPr>
            <w:tcW w:w="980" w:type="dxa"/>
            <w:vAlign w:val="bottom"/>
            <w:tcBorders>
              <w:top w:val="single" w:sz="8" w:color="auto"/>
              <w:right w:val="single" w:sz="8" w:color="234E77"/>
            </w:tcBorders>
            <w:vMerge w:val="restart"/>
            <w:shd w:val="clear" w:color="auto" w:fill="234E77"/>
          </w:tcPr>
          <w:p>
            <w:pPr>
              <w:ind w:left="120"/>
              <w:spacing w:after="0"/>
              <w:rPr>
                <w:sz w:val="20"/>
                <w:szCs w:val="20"/>
                <w:color w:val="auto"/>
              </w:rPr>
            </w:pPr>
            <w:r>
              <w:rPr>
                <w:rFonts w:ascii="Arial" w:cs="Arial" w:eastAsia="Arial" w:hAnsi="Arial"/>
                <w:sz w:val="15"/>
                <w:szCs w:val="15"/>
                <w:b w:val="1"/>
                <w:bCs w:val="1"/>
                <w:color w:val="FFFFFF"/>
              </w:rPr>
              <w:t>Maximum</w:t>
            </w:r>
          </w:p>
        </w:tc>
        <w:tc>
          <w:tcPr>
            <w:tcW w:w="1340" w:type="dxa"/>
            <w:vAlign w:val="bottom"/>
            <w:tcBorders>
              <w:top w:val="single" w:sz="8" w:color="auto"/>
              <w:right w:val="single" w:sz="8" w:color="234E77"/>
            </w:tcBorders>
            <w:vMerge w:val="restart"/>
            <w:shd w:val="clear" w:color="auto" w:fill="234E77"/>
          </w:tcPr>
          <w:p>
            <w:pPr>
              <w:ind w:left="380"/>
              <w:spacing w:after="0"/>
              <w:rPr>
                <w:sz w:val="20"/>
                <w:szCs w:val="20"/>
                <w:color w:val="auto"/>
              </w:rPr>
            </w:pPr>
            <w:r>
              <w:rPr>
                <w:rFonts w:ascii="Arial" w:cs="Arial" w:eastAsia="Arial" w:hAnsi="Arial"/>
                <w:sz w:val="15"/>
                <w:szCs w:val="15"/>
                <w:b w:val="1"/>
                <w:bCs w:val="1"/>
                <w:color w:val="FFFFFF"/>
              </w:rPr>
              <w:t>Results</w:t>
            </w:r>
          </w:p>
        </w:tc>
        <w:tc>
          <w:tcPr>
            <w:tcW w:w="1340" w:type="dxa"/>
            <w:vAlign w:val="bottom"/>
            <w:tcBorders>
              <w:top w:val="single" w:sz="8" w:color="auto"/>
              <w:right w:val="single" w:sz="8" w:color="auto"/>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Payout</w:t>
            </w:r>
          </w:p>
        </w:tc>
        <w:tc>
          <w:tcPr>
            <w:tcW w:w="0" w:type="dxa"/>
            <w:vAlign w:val="bottom"/>
          </w:tcPr>
          <w:p>
            <w:pPr>
              <w:spacing w:after="0"/>
              <w:rPr>
                <w:sz w:val="1"/>
                <w:szCs w:val="1"/>
                <w:color w:val="auto"/>
              </w:rPr>
            </w:pPr>
          </w:p>
        </w:tc>
      </w:tr>
      <w:tr>
        <w:trPr>
          <w:trHeight w:val="134"/>
        </w:trPr>
        <w:tc>
          <w:tcPr>
            <w:tcW w:w="2280" w:type="dxa"/>
            <w:vAlign w:val="bottom"/>
            <w:tcBorders>
              <w:left w:val="single" w:sz="8" w:color="auto"/>
              <w:right w:val="single" w:sz="8" w:color="234E77"/>
            </w:tcBorders>
            <w:vMerge w:val="continue"/>
            <w:shd w:val="clear" w:color="auto" w:fill="234E77"/>
          </w:tcPr>
          <w:p>
            <w:pPr>
              <w:spacing w:after="0"/>
              <w:rPr>
                <w:sz w:val="11"/>
                <w:szCs w:val="11"/>
                <w:color w:val="auto"/>
              </w:rPr>
            </w:pPr>
          </w:p>
        </w:tc>
        <w:tc>
          <w:tcPr>
            <w:tcW w:w="1080" w:type="dxa"/>
            <w:vAlign w:val="bottom"/>
            <w:tcBorders>
              <w:right w:val="single" w:sz="8" w:color="234E77"/>
            </w:tcBorders>
            <w:vMerge w:val="continue"/>
            <w:shd w:val="clear" w:color="auto" w:fill="234E77"/>
          </w:tcPr>
          <w:p>
            <w:pPr>
              <w:spacing w:after="0"/>
              <w:rPr>
                <w:sz w:val="11"/>
                <w:szCs w:val="11"/>
                <w:color w:val="auto"/>
              </w:rPr>
            </w:pPr>
          </w:p>
        </w:tc>
        <w:tc>
          <w:tcPr>
            <w:tcW w:w="980" w:type="dxa"/>
            <w:vAlign w:val="bottom"/>
            <w:tcBorders>
              <w:right w:val="single" w:sz="8" w:color="234E77"/>
            </w:tcBorders>
            <w:vMerge w:val="continue"/>
            <w:shd w:val="clear" w:color="auto" w:fill="234E77"/>
          </w:tcPr>
          <w:p>
            <w:pPr>
              <w:spacing w:after="0"/>
              <w:rPr>
                <w:sz w:val="11"/>
                <w:szCs w:val="11"/>
                <w:color w:val="auto"/>
              </w:rPr>
            </w:pPr>
          </w:p>
        </w:tc>
        <w:tc>
          <w:tcPr>
            <w:tcW w:w="1000" w:type="dxa"/>
            <w:vAlign w:val="bottom"/>
            <w:tcBorders>
              <w:right w:val="single" w:sz="8" w:color="234E77"/>
            </w:tcBorders>
            <w:vMerge w:val="continue"/>
            <w:shd w:val="clear" w:color="auto" w:fill="234E77"/>
          </w:tcPr>
          <w:p>
            <w:pPr>
              <w:spacing w:after="0"/>
              <w:rPr>
                <w:sz w:val="11"/>
                <w:szCs w:val="11"/>
                <w:color w:val="auto"/>
              </w:rPr>
            </w:pPr>
          </w:p>
        </w:tc>
        <w:tc>
          <w:tcPr>
            <w:tcW w:w="980" w:type="dxa"/>
            <w:vAlign w:val="bottom"/>
            <w:tcBorders>
              <w:right w:val="single" w:sz="8" w:color="234E77"/>
            </w:tcBorders>
            <w:vMerge w:val="continue"/>
            <w:shd w:val="clear" w:color="auto" w:fill="234E77"/>
          </w:tcPr>
          <w:p>
            <w:pPr>
              <w:spacing w:after="0"/>
              <w:rPr>
                <w:sz w:val="11"/>
                <w:szCs w:val="11"/>
                <w:color w:val="auto"/>
              </w:rPr>
            </w:pPr>
          </w:p>
        </w:tc>
        <w:tc>
          <w:tcPr>
            <w:tcW w:w="1340" w:type="dxa"/>
            <w:vAlign w:val="bottom"/>
            <w:tcBorders>
              <w:right w:val="single" w:sz="8" w:color="234E77"/>
            </w:tcBorders>
            <w:vMerge w:val="continue"/>
            <w:shd w:val="clear" w:color="auto" w:fill="234E77"/>
          </w:tcPr>
          <w:p>
            <w:pPr>
              <w:spacing w:after="0"/>
              <w:rPr>
                <w:sz w:val="11"/>
                <w:szCs w:val="11"/>
                <w:color w:val="auto"/>
              </w:rPr>
            </w:pPr>
          </w:p>
        </w:tc>
        <w:tc>
          <w:tcPr>
            <w:tcW w:w="1340" w:type="dxa"/>
            <w:vAlign w:val="bottom"/>
            <w:tcBorders>
              <w:right w:val="single" w:sz="8" w:color="auto"/>
            </w:tcBorders>
            <w:vMerge w:val="restart"/>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Factor</w:t>
            </w:r>
          </w:p>
        </w:tc>
        <w:tc>
          <w:tcPr>
            <w:tcW w:w="0" w:type="dxa"/>
            <w:vAlign w:val="bottom"/>
          </w:tcPr>
          <w:p>
            <w:pPr>
              <w:spacing w:after="0"/>
              <w:rPr>
                <w:sz w:val="1"/>
                <w:szCs w:val="1"/>
                <w:color w:val="auto"/>
              </w:rPr>
            </w:pPr>
          </w:p>
        </w:tc>
      </w:tr>
      <w:tr>
        <w:trPr>
          <w:trHeight w:val="80"/>
        </w:trPr>
        <w:tc>
          <w:tcPr>
            <w:tcW w:w="2280" w:type="dxa"/>
            <w:vAlign w:val="bottom"/>
            <w:tcBorders>
              <w:left w:val="single" w:sz="8" w:color="auto"/>
              <w:bottom w:val="single" w:sz="8" w:color="auto"/>
              <w:right w:val="single" w:sz="8" w:color="234E77"/>
            </w:tcBorders>
            <w:shd w:val="clear" w:color="auto" w:fill="234E77"/>
          </w:tcPr>
          <w:p>
            <w:pPr>
              <w:spacing w:after="0"/>
              <w:rPr>
                <w:sz w:val="6"/>
                <w:szCs w:val="6"/>
                <w:color w:val="auto"/>
              </w:rPr>
            </w:pPr>
          </w:p>
        </w:tc>
        <w:tc>
          <w:tcPr>
            <w:tcW w:w="1080" w:type="dxa"/>
            <w:vAlign w:val="bottom"/>
            <w:tcBorders>
              <w:bottom w:val="single" w:sz="8" w:color="auto"/>
              <w:right w:val="single" w:sz="8" w:color="234E77"/>
            </w:tcBorders>
            <w:shd w:val="clear" w:color="auto" w:fill="234E77"/>
          </w:tcPr>
          <w:p>
            <w:pPr>
              <w:spacing w:after="0"/>
              <w:rPr>
                <w:sz w:val="6"/>
                <w:szCs w:val="6"/>
                <w:color w:val="auto"/>
              </w:rPr>
            </w:pPr>
          </w:p>
        </w:tc>
        <w:tc>
          <w:tcPr>
            <w:tcW w:w="980" w:type="dxa"/>
            <w:vAlign w:val="bottom"/>
            <w:tcBorders>
              <w:bottom w:val="single" w:sz="8" w:color="auto"/>
              <w:right w:val="single" w:sz="8" w:color="234E77"/>
            </w:tcBorders>
            <w:shd w:val="clear" w:color="auto" w:fill="234E77"/>
          </w:tcPr>
          <w:p>
            <w:pPr>
              <w:spacing w:after="0"/>
              <w:rPr>
                <w:sz w:val="6"/>
                <w:szCs w:val="6"/>
                <w:color w:val="auto"/>
              </w:rPr>
            </w:pPr>
          </w:p>
        </w:tc>
        <w:tc>
          <w:tcPr>
            <w:tcW w:w="1000" w:type="dxa"/>
            <w:vAlign w:val="bottom"/>
            <w:tcBorders>
              <w:bottom w:val="single" w:sz="8" w:color="auto"/>
              <w:right w:val="single" w:sz="8" w:color="234E77"/>
            </w:tcBorders>
            <w:shd w:val="clear" w:color="auto" w:fill="234E77"/>
          </w:tcPr>
          <w:p>
            <w:pPr>
              <w:spacing w:after="0"/>
              <w:rPr>
                <w:sz w:val="6"/>
                <w:szCs w:val="6"/>
                <w:color w:val="auto"/>
              </w:rPr>
            </w:pPr>
          </w:p>
        </w:tc>
        <w:tc>
          <w:tcPr>
            <w:tcW w:w="980" w:type="dxa"/>
            <w:vAlign w:val="bottom"/>
            <w:tcBorders>
              <w:bottom w:val="single" w:sz="8" w:color="auto"/>
              <w:right w:val="single" w:sz="8" w:color="234E77"/>
            </w:tcBorders>
            <w:shd w:val="clear" w:color="auto" w:fill="234E77"/>
          </w:tcPr>
          <w:p>
            <w:pPr>
              <w:spacing w:after="0"/>
              <w:rPr>
                <w:sz w:val="6"/>
                <w:szCs w:val="6"/>
                <w:color w:val="auto"/>
              </w:rPr>
            </w:pPr>
          </w:p>
        </w:tc>
        <w:tc>
          <w:tcPr>
            <w:tcW w:w="1340" w:type="dxa"/>
            <w:vAlign w:val="bottom"/>
            <w:tcBorders>
              <w:bottom w:val="single" w:sz="8" w:color="auto"/>
              <w:right w:val="single" w:sz="8" w:color="234E77"/>
            </w:tcBorders>
            <w:shd w:val="clear" w:color="auto" w:fill="234E77"/>
          </w:tcPr>
          <w:p>
            <w:pPr>
              <w:spacing w:after="0"/>
              <w:rPr>
                <w:sz w:val="6"/>
                <w:szCs w:val="6"/>
                <w:color w:val="auto"/>
              </w:rPr>
            </w:pPr>
          </w:p>
        </w:tc>
        <w:tc>
          <w:tcPr>
            <w:tcW w:w="1340" w:type="dxa"/>
            <w:vAlign w:val="bottom"/>
            <w:tcBorders>
              <w:bottom w:val="single" w:sz="8" w:color="auto"/>
              <w:right w:val="single" w:sz="8" w:color="auto"/>
            </w:tcBorders>
            <w:vMerge w:val="continue"/>
            <w:shd w:val="clear" w:color="auto" w:fill="234E77"/>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58585A"/>
              </w:rPr>
              <w:t>Adjusted Revenue</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58585A"/>
                <w:w w:val="99"/>
              </w:rPr>
              <w:t>25%</w:t>
            </w:r>
          </w:p>
        </w:tc>
        <w:tc>
          <w:tcPr>
            <w:tcW w:w="980" w:type="dxa"/>
            <w:vAlign w:val="bottom"/>
            <w:tcBorders>
              <w:right w:val="single" w:sz="8" w:color="auto"/>
            </w:tcBorders>
            <w:vMerge w:val="restart"/>
          </w:tcPr>
          <w:p>
            <w:pPr>
              <w:jc w:val="right"/>
              <w:ind w:right="206"/>
              <w:spacing w:after="0"/>
              <w:rPr>
                <w:sz w:val="20"/>
                <w:szCs w:val="20"/>
                <w:color w:val="auto"/>
              </w:rPr>
            </w:pPr>
            <w:r>
              <w:rPr>
                <w:rFonts w:ascii="Arial" w:cs="Arial" w:eastAsia="Arial" w:hAnsi="Arial"/>
                <w:sz w:val="15"/>
                <w:szCs w:val="15"/>
                <w:color w:val="58585A"/>
              </w:rPr>
              <w:t>$6,475</w:t>
            </w:r>
          </w:p>
        </w:tc>
        <w:tc>
          <w:tcPr>
            <w:tcW w:w="1000" w:type="dxa"/>
            <w:vAlign w:val="bottom"/>
            <w:tcBorders>
              <w:right w:val="single" w:sz="8" w:color="auto"/>
            </w:tcBorders>
            <w:vMerge w:val="restart"/>
          </w:tcPr>
          <w:p>
            <w:pPr>
              <w:jc w:val="right"/>
              <w:ind w:right="206"/>
              <w:spacing w:after="0"/>
              <w:rPr>
                <w:sz w:val="20"/>
                <w:szCs w:val="20"/>
                <w:color w:val="auto"/>
              </w:rPr>
            </w:pPr>
            <w:r>
              <w:rPr>
                <w:rFonts w:ascii="Arial" w:cs="Arial" w:eastAsia="Arial" w:hAnsi="Arial"/>
                <w:sz w:val="15"/>
                <w:szCs w:val="15"/>
                <w:color w:val="58585A"/>
              </w:rPr>
              <w:t>$7,000</w:t>
            </w:r>
          </w:p>
        </w:tc>
        <w:tc>
          <w:tcPr>
            <w:tcW w:w="980" w:type="dxa"/>
            <w:vAlign w:val="bottom"/>
            <w:tcBorders>
              <w:right w:val="single" w:sz="8" w:color="auto"/>
            </w:tcBorders>
            <w:vMerge w:val="restart"/>
          </w:tcPr>
          <w:p>
            <w:pPr>
              <w:jc w:val="right"/>
              <w:ind w:right="206"/>
              <w:spacing w:after="0"/>
              <w:rPr>
                <w:sz w:val="20"/>
                <w:szCs w:val="20"/>
                <w:color w:val="auto"/>
              </w:rPr>
            </w:pPr>
            <w:r>
              <w:rPr>
                <w:rFonts w:ascii="Arial" w:cs="Arial" w:eastAsia="Arial" w:hAnsi="Arial"/>
                <w:sz w:val="15"/>
                <w:szCs w:val="15"/>
                <w:color w:val="58585A"/>
              </w:rPr>
              <w:t>$7,525</w:t>
            </w:r>
          </w:p>
        </w:tc>
        <w:tc>
          <w:tcPr>
            <w:tcW w:w="1340" w:type="dxa"/>
            <w:vAlign w:val="bottom"/>
            <w:tcBorders>
              <w:right w:val="single" w:sz="8" w:color="auto"/>
            </w:tcBorders>
            <w:vMerge w:val="restart"/>
          </w:tcPr>
          <w:p>
            <w:pPr>
              <w:jc w:val="right"/>
              <w:ind w:right="386"/>
              <w:spacing w:after="0"/>
              <w:rPr>
                <w:sz w:val="20"/>
                <w:szCs w:val="20"/>
                <w:color w:val="auto"/>
              </w:rPr>
            </w:pPr>
            <w:r>
              <w:rPr>
                <w:rFonts w:ascii="Arial" w:cs="Arial" w:eastAsia="Arial" w:hAnsi="Arial"/>
                <w:sz w:val="15"/>
                <w:szCs w:val="15"/>
                <w:color w:val="58585A"/>
              </w:rPr>
              <w:t>$8,568</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58585A"/>
                <w:w w:val="93"/>
              </w:rPr>
              <w:t>200%</w:t>
            </w:r>
          </w:p>
        </w:tc>
        <w:tc>
          <w:tcPr>
            <w:tcW w:w="0" w:type="dxa"/>
            <w:vAlign w:val="bottom"/>
          </w:tcPr>
          <w:p>
            <w:pPr>
              <w:spacing w:after="0"/>
              <w:rPr>
                <w:sz w:val="1"/>
                <w:szCs w:val="1"/>
                <w:color w:val="auto"/>
              </w:rPr>
            </w:pPr>
          </w:p>
        </w:tc>
      </w:tr>
      <w:tr>
        <w:trPr>
          <w:trHeight w:val="106"/>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i w:val="1"/>
                <w:iCs w:val="1"/>
                <w:color w:val="58585A"/>
              </w:rPr>
              <w:t>Title Segment</w:t>
            </w:r>
          </w:p>
        </w:tc>
        <w:tc>
          <w:tcPr>
            <w:tcW w:w="108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280" w:type="dxa"/>
            <w:vAlign w:val="bottom"/>
            <w:tcBorders>
              <w:left w:val="single" w:sz="8" w:color="auto"/>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58585A"/>
              </w:rPr>
              <w:t>Adjusted Pre-tax Margin</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58585A"/>
                <w:w w:val="99"/>
              </w:rPr>
              <w:t>75%</w:t>
            </w:r>
          </w:p>
        </w:tc>
        <w:tc>
          <w:tcPr>
            <w:tcW w:w="980" w:type="dxa"/>
            <w:vAlign w:val="bottom"/>
            <w:tcBorders>
              <w:right w:val="single" w:sz="8" w:color="auto"/>
            </w:tcBorders>
            <w:vMerge w:val="restart"/>
          </w:tcPr>
          <w:p>
            <w:pPr>
              <w:jc w:val="right"/>
              <w:ind w:right="226"/>
              <w:spacing w:after="0"/>
              <w:rPr>
                <w:sz w:val="20"/>
                <w:szCs w:val="20"/>
                <w:color w:val="auto"/>
              </w:rPr>
            </w:pPr>
            <w:r>
              <w:rPr>
                <w:rFonts w:ascii="Arial" w:cs="Arial" w:eastAsia="Arial" w:hAnsi="Arial"/>
                <w:sz w:val="15"/>
                <w:szCs w:val="15"/>
                <w:color w:val="58585A"/>
              </w:rPr>
              <w:t>10.5%</w:t>
            </w:r>
          </w:p>
        </w:tc>
        <w:tc>
          <w:tcPr>
            <w:tcW w:w="1000" w:type="dxa"/>
            <w:vAlign w:val="bottom"/>
            <w:tcBorders>
              <w:right w:val="single" w:sz="8" w:color="auto"/>
            </w:tcBorders>
            <w:vMerge w:val="restart"/>
          </w:tcPr>
          <w:p>
            <w:pPr>
              <w:jc w:val="right"/>
              <w:ind w:right="286"/>
              <w:spacing w:after="0"/>
              <w:rPr>
                <w:sz w:val="20"/>
                <w:szCs w:val="20"/>
                <w:color w:val="auto"/>
              </w:rPr>
            </w:pPr>
            <w:r>
              <w:rPr>
                <w:rFonts w:ascii="Arial" w:cs="Arial" w:eastAsia="Arial" w:hAnsi="Arial"/>
                <w:sz w:val="15"/>
                <w:szCs w:val="15"/>
                <w:color w:val="58585A"/>
              </w:rPr>
              <w:t>13%</w:t>
            </w:r>
          </w:p>
        </w:tc>
        <w:tc>
          <w:tcPr>
            <w:tcW w:w="980" w:type="dxa"/>
            <w:vAlign w:val="bottom"/>
            <w:tcBorders>
              <w:right w:val="single" w:sz="8" w:color="auto"/>
            </w:tcBorders>
            <w:vMerge w:val="restart"/>
          </w:tcPr>
          <w:p>
            <w:pPr>
              <w:jc w:val="right"/>
              <w:ind w:right="226"/>
              <w:spacing w:after="0"/>
              <w:rPr>
                <w:sz w:val="20"/>
                <w:szCs w:val="20"/>
                <w:color w:val="auto"/>
              </w:rPr>
            </w:pPr>
            <w:r>
              <w:rPr>
                <w:rFonts w:ascii="Arial" w:cs="Arial" w:eastAsia="Arial" w:hAnsi="Arial"/>
                <w:sz w:val="15"/>
                <w:szCs w:val="15"/>
                <w:color w:val="58585A"/>
              </w:rPr>
              <w:t>15.5%</w:t>
            </w:r>
          </w:p>
        </w:tc>
        <w:tc>
          <w:tcPr>
            <w:tcW w:w="1340" w:type="dxa"/>
            <w:vAlign w:val="bottom"/>
            <w:tcBorders>
              <w:right w:val="single" w:sz="8" w:color="auto"/>
            </w:tcBorders>
            <w:vMerge w:val="restart"/>
          </w:tcPr>
          <w:p>
            <w:pPr>
              <w:jc w:val="right"/>
              <w:ind w:right="406"/>
              <w:spacing w:after="0"/>
              <w:rPr>
                <w:sz w:val="20"/>
                <w:szCs w:val="20"/>
                <w:color w:val="auto"/>
              </w:rPr>
            </w:pPr>
            <w:r>
              <w:rPr>
                <w:rFonts w:ascii="Arial" w:cs="Arial" w:eastAsia="Arial" w:hAnsi="Arial"/>
                <w:sz w:val="15"/>
                <w:szCs w:val="15"/>
                <w:color w:val="58585A"/>
              </w:rPr>
              <w:t>15.9%</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58585A"/>
                <w:w w:val="93"/>
              </w:rPr>
              <w:t>200%</w:t>
            </w:r>
          </w:p>
        </w:tc>
        <w:tc>
          <w:tcPr>
            <w:tcW w:w="0" w:type="dxa"/>
            <w:vAlign w:val="bottom"/>
          </w:tcPr>
          <w:p>
            <w:pPr>
              <w:spacing w:after="0"/>
              <w:rPr>
                <w:sz w:val="1"/>
                <w:szCs w:val="1"/>
                <w:color w:val="auto"/>
              </w:rPr>
            </w:pPr>
          </w:p>
        </w:tc>
      </w:tr>
      <w:tr>
        <w:trPr>
          <w:trHeight w:val="118"/>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i w:val="1"/>
                <w:iCs w:val="1"/>
                <w:color w:val="58585A"/>
              </w:rPr>
              <w:t>Title Segment</w:t>
            </w:r>
          </w:p>
        </w:tc>
        <w:tc>
          <w:tcPr>
            <w:tcW w:w="108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vMerge w:val="continue"/>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280" w:type="dxa"/>
            <w:vAlign w:val="bottom"/>
            <w:tcBorders>
              <w:left w:val="single" w:sz="8" w:color="auto"/>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820" w:right="420"/>
        <w:spacing w:after="0" w:line="247" w:lineRule="auto"/>
        <w:rPr>
          <w:sz w:val="20"/>
          <w:szCs w:val="20"/>
          <w:color w:val="auto"/>
        </w:rPr>
      </w:pPr>
      <w:r>
        <w:rPr>
          <w:rFonts w:ascii="Arial" w:cs="Arial" w:eastAsia="Arial" w:hAnsi="Arial"/>
          <w:sz w:val="18"/>
          <w:szCs w:val="18"/>
          <w:color w:val="58595B"/>
        </w:rPr>
        <w:t>The table below presents a reconciliation of our GAAP total revenue and pre-tax earnings to our adjusted revenue, adjusted pre-tax earnings and adjusted pre-tax margin for the title segment of the Company. Dollar amounts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100965</wp:posOffset>
            </wp:positionV>
            <wp:extent cx="15875" cy="2190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75" cy="21907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100965</wp:posOffset>
            </wp:positionV>
            <wp:extent cx="15875" cy="2190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75" cy="21907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100965</wp:posOffset>
            </wp:positionV>
            <wp:extent cx="15875" cy="219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75" cy="21907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100965</wp:posOffset>
            </wp:positionV>
            <wp:extent cx="15875" cy="2190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 cy="21907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100965</wp:posOffset>
            </wp:positionV>
            <wp:extent cx="15875" cy="2190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75" cy="219075"/>
                    </a:xfrm>
                    <a:prstGeom prst="rect">
                      <a:avLst/>
                    </a:prstGeom>
                    <a:noFill/>
                  </pic:spPr>
                </pic:pic>
              </a:graphicData>
            </a:graphic>
          </wp:anchor>
        </w:drawing>
      </w:r>
    </w:p>
    <w:p>
      <w:pPr>
        <w:spacing w:after="0" w:line="119" w:lineRule="exact"/>
        <w:rPr>
          <w:sz w:val="20"/>
          <w:szCs w:val="20"/>
          <w:color w:val="auto"/>
        </w:rPr>
      </w:pPr>
    </w:p>
    <w:tbl>
      <w:tblPr>
        <w:tblLayout w:type="fixed"/>
        <w:tblInd w:w="830" w:type="dxa"/>
        <w:tblCellMar>
          <w:top w:w="0" w:type="dxa"/>
          <w:left w:w="0" w:type="dxa"/>
          <w:bottom w:w="0" w:type="dxa"/>
          <w:right w:w="0" w:type="dxa"/>
        </w:tblCellMar>
      </w:tblPr>
      <w:tr>
        <w:trPr>
          <w:trHeight w:val="325"/>
        </w:trPr>
        <w:tc>
          <w:tcPr>
            <w:tcW w:w="4080" w:type="dxa"/>
            <w:vAlign w:val="bottom"/>
            <w:tcBorders>
              <w:top w:val="single" w:sz="8" w:color="333333"/>
              <w:left w:val="single" w:sz="8" w:color="333333"/>
              <w:bottom w:val="single" w:sz="8" w:color="234E77"/>
              <w:right w:val="single" w:sz="8" w:color="234E77"/>
            </w:tcBorders>
            <w:shd w:val="clear" w:color="auto" w:fill="234E77"/>
          </w:tcPr>
          <w:p>
            <w:pPr>
              <w:ind w:left="120"/>
              <w:spacing w:after="0"/>
              <w:rPr>
                <w:sz w:val="20"/>
                <w:szCs w:val="20"/>
                <w:color w:val="auto"/>
              </w:rPr>
            </w:pPr>
            <w:r>
              <w:rPr>
                <w:rFonts w:ascii="Arial" w:cs="Arial" w:eastAsia="Arial" w:hAnsi="Arial"/>
                <w:sz w:val="16"/>
                <w:szCs w:val="16"/>
                <w:b w:val="1"/>
                <w:bCs w:val="1"/>
                <w:color w:val="FFFFFF"/>
              </w:rPr>
              <w:t>Twelve Months Ended December 31,</w:t>
            </w:r>
          </w:p>
        </w:tc>
        <w:tc>
          <w:tcPr>
            <w:tcW w:w="980" w:type="dxa"/>
            <w:vAlign w:val="bottom"/>
            <w:tcBorders>
              <w:top w:val="single" w:sz="8" w:color="333333"/>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rPr>
              <w:t>2021</w:t>
            </w:r>
          </w:p>
        </w:tc>
        <w:tc>
          <w:tcPr>
            <w:tcW w:w="980" w:type="dxa"/>
            <w:vAlign w:val="bottom"/>
            <w:tcBorders>
              <w:top w:val="single" w:sz="8" w:color="333333"/>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2022</w:t>
            </w:r>
          </w:p>
        </w:tc>
        <w:tc>
          <w:tcPr>
            <w:tcW w:w="1000" w:type="dxa"/>
            <w:vAlign w:val="bottom"/>
            <w:tcBorders>
              <w:top w:val="single" w:sz="8" w:color="333333"/>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2023</w:t>
            </w:r>
          </w:p>
        </w:tc>
        <w:tc>
          <w:tcPr>
            <w:tcW w:w="980" w:type="dxa"/>
            <w:vAlign w:val="bottom"/>
            <w:tcBorders>
              <w:top w:val="single" w:sz="8" w:color="333333"/>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rPr>
              <w:t>2024</w:t>
            </w:r>
          </w:p>
        </w:tc>
        <w:tc>
          <w:tcPr>
            <w:tcW w:w="980" w:type="dxa"/>
            <w:vAlign w:val="bottom"/>
            <w:tcBorders>
              <w:top w:val="single" w:sz="8" w:color="333333"/>
              <w:bottom w:val="single" w:sz="8" w:color="234E77"/>
              <w:right w:val="single" w:sz="8" w:color="333333"/>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5"/>
              </w:rPr>
              <w:t>2025</w:t>
            </w:r>
          </w:p>
        </w:tc>
      </w:tr>
      <w:tr>
        <w:trPr>
          <w:trHeight w:val="263"/>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b w:val="1"/>
                <w:bCs w:val="1"/>
                <w:color w:val="58595B"/>
              </w:rPr>
              <w:t>Total revenue</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$11,497</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$9,106</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$7,038</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$7,702</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$8,490</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r>
        <w:trPr>
          <w:trHeight w:val="256"/>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b w:val="1"/>
                <w:bCs w:val="1"/>
                <w:color w:val="58595B"/>
              </w:rPr>
              <w:t>Pre-tax earnings</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$2,136</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$1,090</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$883</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$1,096</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$1,227</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r>
        <w:trPr>
          <w:trHeight w:val="248"/>
        </w:trPr>
        <w:tc>
          <w:tcPr>
            <w:tcW w:w="4080" w:type="dxa"/>
            <w:vAlign w:val="bottom"/>
            <w:tcBorders>
              <w:left w:val="single" w:sz="8" w:color="333333"/>
            </w:tcBorders>
          </w:tcPr>
          <w:p>
            <w:pPr>
              <w:ind w:left="120"/>
              <w:spacing w:after="0"/>
              <w:rPr>
                <w:sz w:val="20"/>
                <w:szCs w:val="20"/>
                <w:color w:val="auto"/>
              </w:rPr>
            </w:pPr>
            <w:r>
              <w:rPr>
                <w:rFonts w:ascii="Arial" w:cs="Arial" w:eastAsia="Arial" w:hAnsi="Arial"/>
                <w:sz w:val="15"/>
                <w:szCs w:val="15"/>
                <w:i w:val="1"/>
                <w:iCs w:val="1"/>
                <w:color w:val="58595B"/>
              </w:rPr>
              <w:t>Non-GAAP adjustments before taxes</w:t>
            </w: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Borders>
              <w:right w:val="single" w:sz="8" w:color="333333"/>
            </w:tcBorders>
          </w:tcPr>
          <w:p>
            <w:pPr>
              <w:spacing w:after="0"/>
              <w:rPr>
                <w:sz w:val="21"/>
                <w:szCs w:val="21"/>
                <w:color w:val="auto"/>
              </w:rPr>
            </w:pPr>
          </w:p>
        </w:tc>
      </w:tr>
      <w:tr>
        <w:trPr>
          <w:trHeight w:val="65"/>
        </w:trPr>
        <w:tc>
          <w:tcPr>
            <w:tcW w:w="4080" w:type="dxa"/>
            <w:vAlign w:val="bottom"/>
            <w:tcBorders>
              <w:left w:val="single" w:sz="8" w:color="333333"/>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r>
      <w:tr>
        <w:trPr>
          <w:trHeight w:val="248"/>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i w:val="1"/>
                <w:iCs w:val="1"/>
                <w:color w:val="58595B"/>
              </w:rPr>
              <w:t>Recognized (gains) and losses, net</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$393</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$443</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$9</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$6</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$78</w:t>
            </w:r>
          </w:p>
        </w:tc>
      </w:tr>
      <w:tr>
        <w:trPr>
          <w:trHeight w:val="65"/>
        </w:trPr>
        <w:tc>
          <w:tcPr>
            <w:tcW w:w="4080" w:type="dxa"/>
            <w:vAlign w:val="bottom"/>
            <w:tcBorders>
              <w:left w:val="single" w:sz="8" w:color="333333"/>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100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r>
      <w:tr>
        <w:trPr>
          <w:trHeight w:val="248"/>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i w:val="1"/>
                <w:iCs w:val="1"/>
                <w:color w:val="58595B"/>
              </w:rPr>
              <w:t>Purchase price amortization</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$57</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$60</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$72</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$59</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$54</w:t>
            </w:r>
          </w:p>
        </w:tc>
      </w:tr>
      <w:tr>
        <w:trPr>
          <w:trHeight w:val="65"/>
        </w:trPr>
        <w:tc>
          <w:tcPr>
            <w:tcW w:w="4080" w:type="dxa"/>
            <w:vAlign w:val="bottom"/>
            <w:tcBorders>
              <w:left w:val="single" w:sz="8" w:color="333333"/>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100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r>
      <w:tr>
        <w:trPr>
          <w:trHeight w:val="256"/>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i w:val="1"/>
                <w:iCs w:val="1"/>
                <w:color w:val="58595B"/>
              </w:rPr>
              <w:t>Other adjustments</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3"/>
                <w:szCs w:val="13"/>
                <w:color w:val="58595B"/>
                <w:w w:val="91"/>
              </w:rPr>
              <w:t>-</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79"/>
              </w:rPr>
              <w:t>-</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3"/>
                <w:szCs w:val="13"/>
                <w:color w:val="58595B"/>
                <w:w w:val="91"/>
              </w:rPr>
              <w:t>-</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r>
        <w:trPr>
          <w:trHeight w:val="248"/>
        </w:trPr>
        <w:tc>
          <w:tcPr>
            <w:tcW w:w="4080" w:type="dxa"/>
            <w:vAlign w:val="bottom"/>
            <w:tcBorders>
              <w:left w:val="single" w:sz="8" w:color="333333"/>
              <w:right w:val="single" w:sz="8" w:color="333333"/>
            </w:tcBorders>
          </w:tcPr>
          <w:p>
            <w:pPr>
              <w:ind w:left="260"/>
              <w:spacing w:after="0"/>
              <w:rPr>
                <w:sz w:val="20"/>
                <w:szCs w:val="20"/>
                <w:color w:val="auto"/>
              </w:rPr>
            </w:pPr>
            <w:r>
              <w:rPr>
                <w:rFonts w:ascii="Arial" w:cs="Arial" w:eastAsia="Arial" w:hAnsi="Arial"/>
                <w:sz w:val="15"/>
                <w:szCs w:val="15"/>
                <w:i w:val="1"/>
                <w:iCs w:val="1"/>
                <w:color w:val="58595B"/>
              </w:rPr>
              <w:t>Total non-GAAP adjustments before taxes</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$450</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$503</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$81</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rPr>
              <w:t>$65</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5"/>
              </w:rPr>
              <w:t>$132</w:t>
            </w:r>
          </w:p>
        </w:tc>
      </w:tr>
      <w:tr>
        <w:trPr>
          <w:trHeight w:val="65"/>
        </w:trPr>
        <w:tc>
          <w:tcPr>
            <w:tcW w:w="4080" w:type="dxa"/>
            <w:vAlign w:val="bottom"/>
            <w:tcBorders>
              <w:left w:val="single" w:sz="8" w:color="333333"/>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100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c>
          <w:tcPr>
            <w:tcW w:w="980" w:type="dxa"/>
            <w:vAlign w:val="bottom"/>
            <w:tcBorders>
              <w:bottom w:val="single" w:sz="8" w:color="auto"/>
              <w:right w:val="single" w:sz="8" w:color="333333"/>
            </w:tcBorders>
          </w:tcPr>
          <w:p>
            <w:pPr>
              <w:spacing w:after="0"/>
              <w:rPr>
                <w:sz w:val="5"/>
                <w:szCs w:val="5"/>
                <w:color w:val="auto"/>
              </w:rPr>
            </w:pPr>
          </w:p>
        </w:tc>
      </w:tr>
      <w:tr>
        <w:trPr>
          <w:trHeight w:val="256"/>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b w:val="1"/>
                <w:bCs w:val="1"/>
                <w:color w:val="58595B"/>
              </w:rPr>
              <w:t>Adjusted revenue</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5"/>
              </w:rPr>
              <w:t>$11,890</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5"/>
              </w:rPr>
              <w:t>$9,549</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rPr>
              <w:t>$7,047</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rPr>
              <w:t>$7,708</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5"/>
              </w:rPr>
              <w:t>$8,568</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r>
        <w:trPr>
          <w:trHeight w:val="256"/>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b w:val="1"/>
                <w:bCs w:val="1"/>
                <w:color w:val="58595B"/>
              </w:rPr>
              <w:t>Adjusted pre-tax earnings</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rPr>
              <w:t>$2,586</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5"/>
              </w:rPr>
              <w:t>$1,593</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rPr>
              <w:t>$964</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rPr>
              <w:t>$1,161</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5"/>
              </w:rPr>
              <w:t>$1,359</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r>
        <w:trPr>
          <w:trHeight w:val="256"/>
        </w:trPr>
        <w:tc>
          <w:tcPr>
            <w:tcW w:w="4080" w:type="dxa"/>
            <w:vAlign w:val="bottom"/>
            <w:tcBorders>
              <w:left w:val="single" w:sz="8" w:color="333333"/>
              <w:right w:val="single" w:sz="8" w:color="333333"/>
            </w:tcBorders>
          </w:tcPr>
          <w:p>
            <w:pPr>
              <w:ind w:left="120"/>
              <w:spacing w:after="0"/>
              <w:rPr>
                <w:sz w:val="20"/>
                <w:szCs w:val="20"/>
                <w:color w:val="auto"/>
              </w:rPr>
            </w:pPr>
            <w:r>
              <w:rPr>
                <w:rFonts w:ascii="Arial" w:cs="Arial" w:eastAsia="Arial" w:hAnsi="Arial"/>
                <w:sz w:val="15"/>
                <w:szCs w:val="15"/>
                <w:b w:val="1"/>
                <w:bCs w:val="1"/>
                <w:color w:val="58595B"/>
              </w:rPr>
              <w:t>Adjusted pre-tax margin</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8"/>
              </w:rPr>
              <w:t>21.7%</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8"/>
              </w:rPr>
              <w:t>16.7%</w:t>
            </w:r>
          </w:p>
        </w:tc>
        <w:tc>
          <w:tcPr>
            <w:tcW w:w="100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8"/>
              </w:rPr>
              <w:t>13.7%</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8"/>
              </w:rPr>
              <w:t>15.1%</w:t>
            </w:r>
          </w:p>
        </w:tc>
        <w:tc>
          <w:tcPr>
            <w:tcW w:w="980" w:type="dxa"/>
            <w:vAlign w:val="bottom"/>
            <w:tcBorders>
              <w:right w:val="single" w:sz="8" w:color="333333"/>
            </w:tcBorders>
          </w:tcPr>
          <w:p>
            <w:pPr>
              <w:jc w:val="center"/>
              <w:spacing w:after="0"/>
              <w:rPr>
                <w:sz w:val="20"/>
                <w:szCs w:val="20"/>
                <w:color w:val="auto"/>
              </w:rPr>
            </w:pPr>
            <w:r>
              <w:rPr>
                <w:rFonts w:ascii="Arial" w:cs="Arial" w:eastAsia="Arial" w:hAnsi="Arial"/>
                <w:sz w:val="15"/>
                <w:szCs w:val="15"/>
                <w:b w:val="1"/>
                <w:bCs w:val="1"/>
                <w:color w:val="58595B"/>
                <w:w w:val="98"/>
              </w:rPr>
              <w:t>15.9%</w:t>
            </w:r>
          </w:p>
        </w:tc>
      </w:tr>
      <w:tr>
        <w:trPr>
          <w:trHeight w:val="57"/>
        </w:trPr>
        <w:tc>
          <w:tcPr>
            <w:tcW w:w="4080" w:type="dxa"/>
            <w:vAlign w:val="bottom"/>
            <w:tcBorders>
              <w:left w:val="single" w:sz="8" w:color="333333"/>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100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c>
          <w:tcPr>
            <w:tcW w:w="980" w:type="dxa"/>
            <w:vAlign w:val="bottom"/>
            <w:tcBorders>
              <w:bottom w:val="single" w:sz="8" w:color="auto"/>
              <w:right w:val="single" w:sz="8" w:color="333333"/>
            </w:tcBorders>
          </w:tcPr>
          <w:p>
            <w:pPr>
              <w:spacing w:after="0"/>
              <w:rPr>
                <w:sz w:val="4"/>
                <w:szCs w:val="4"/>
                <w:color w:val="auto"/>
              </w:rPr>
            </w:pPr>
          </w:p>
        </w:tc>
      </w:tr>
    </w:tbl>
    <w:p>
      <w:pPr>
        <w:spacing w:after="0" w:line="164" w:lineRule="exact"/>
        <w:rPr>
          <w:sz w:val="20"/>
          <w:szCs w:val="20"/>
          <w:color w:val="auto"/>
        </w:rPr>
      </w:pPr>
    </w:p>
    <w:p>
      <w:pPr>
        <w:jc w:val="both"/>
        <w:ind w:left="820" w:right="380"/>
        <w:spacing w:after="0" w:line="247" w:lineRule="auto"/>
        <w:rPr>
          <w:sz w:val="20"/>
          <w:szCs w:val="20"/>
          <w:color w:val="auto"/>
        </w:rPr>
      </w:pPr>
      <w:r>
        <w:rPr>
          <w:rFonts w:ascii="Arial" w:cs="Arial" w:eastAsia="Arial" w:hAnsi="Arial"/>
          <w:sz w:val="18"/>
          <w:szCs w:val="18"/>
          <w:color w:val="58595B"/>
        </w:rPr>
        <w:t>The following table shows each named executive officer's 2025 base salary, target annual incentive opportunity expressed as a percentage of base salary, and the 2025 annual incentive earned based upon the combined payout factor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100965</wp:posOffset>
            </wp:positionV>
            <wp:extent cx="15875" cy="4381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75" cy="43815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100965</wp:posOffset>
            </wp:positionV>
            <wp:extent cx="15875" cy="4381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75" cy="438150"/>
                    </a:xfrm>
                    <a:prstGeom prst="rect">
                      <a:avLst/>
                    </a:prstGeom>
                    <a:noFill/>
                  </pic:spPr>
                </pic:pic>
              </a:graphicData>
            </a:graphic>
          </wp:anchor>
        </w:drawing>
        <w:drawing>
          <wp:anchor simplePos="0" relativeHeight="251657728" behindDoc="1" locked="0" layoutInCell="0" allowOverlap="1">
            <wp:simplePos x="0" y="0"/>
            <wp:positionH relativeFrom="column">
              <wp:posOffset>2822575</wp:posOffset>
            </wp:positionH>
            <wp:positionV relativeFrom="paragraph">
              <wp:posOffset>100965</wp:posOffset>
            </wp:positionV>
            <wp:extent cx="15875" cy="438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75" cy="43815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100965</wp:posOffset>
            </wp:positionV>
            <wp:extent cx="15875" cy="4381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75" cy="438150"/>
                    </a:xfrm>
                    <a:prstGeom prst="rect">
                      <a:avLst/>
                    </a:prstGeom>
                    <a:noFill/>
                  </pic:spPr>
                </pic:pic>
              </a:graphicData>
            </a:graphic>
          </wp:anchor>
        </w:drawing>
      </w:r>
    </w:p>
    <w:p>
      <w:pPr>
        <w:spacing w:after="0" w:line="119" w:lineRule="exact"/>
        <w:rPr>
          <w:sz w:val="20"/>
          <w:szCs w:val="20"/>
          <w:color w:val="auto"/>
        </w:rPr>
      </w:pPr>
    </w:p>
    <w:tbl>
      <w:tblPr>
        <w:tblLayout w:type="fixed"/>
        <w:tblInd w:w="830" w:type="dxa"/>
        <w:tblCellMar>
          <w:top w:w="0" w:type="dxa"/>
          <w:left w:w="0" w:type="dxa"/>
          <w:bottom w:w="0" w:type="dxa"/>
          <w:right w:w="0" w:type="dxa"/>
        </w:tblCellMar>
      </w:tblPr>
      <w:tr>
        <w:trPr>
          <w:trHeight w:val="247"/>
        </w:trPr>
        <w:tc>
          <w:tcPr>
            <w:tcW w:w="1740" w:type="dxa"/>
            <w:vAlign w:val="bottom"/>
            <w:tcBorders>
              <w:top w:val="single" w:sz="8" w:color="333333"/>
              <w:left w:val="single" w:sz="8" w:color="333333"/>
              <w:right w:val="single" w:sz="8" w:color="234E77"/>
            </w:tcBorders>
            <w:shd w:val="clear" w:color="auto" w:fill="234E77"/>
          </w:tcPr>
          <w:p>
            <w:pPr>
              <w:spacing w:after="0"/>
              <w:rPr>
                <w:sz w:val="21"/>
                <w:szCs w:val="21"/>
                <w:color w:val="auto"/>
              </w:rPr>
            </w:pPr>
          </w:p>
        </w:tc>
        <w:tc>
          <w:tcPr>
            <w:tcW w:w="1920" w:type="dxa"/>
            <w:vAlign w:val="bottom"/>
            <w:tcBorders>
              <w:top w:val="single" w:sz="8" w:color="333333"/>
              <w:right w:val="single" w:sz="8" w:color="234E77"/>
            </w:tcBorders>
            <w:shd w:val="clear" w:color="auto" w:fill="234E77"/>
          </w:tcPr>
          <w:p>
            <w:pPr>
              <w:spacing w:after="0"/>
              <w:rPr>
                <w:sz w:val="21"/>
                <w:szCs w:val="21"/>
                <w:color w:val="auto"/>
              </w:rPr>
            </w:pPr>
          </w:p>
        </w:tc>
        <w:tc>
          <w:tcPr>
            <w:tcW w:w="2100" w:type="dxa"/>
            <w:vAlign w:val="bottom"/>
            <w:tcBorders>
              <w:top w:val="single" w:sz="8" w:color="333333"/>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9"/>
              </w:rPr>
              <w:t>2025 Annual</w:t>
            </w:r>
          </w:p>
        </w:tc>
        <w:tc>
          <w:tcPr>
            <w:tcW w:w="1900" w:type="dxa"/>
            <w:vAlign w:val="bottom"/>
            <w:tcBorders>
              <w:top w:val="single" w:sz="8" w:color="333333"/>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7"/>
              </w:rPr>
              <w:t>2025 Annual</w:t>
            </w:r>
          </w:p>
        </w:tc>
        <w:tc>
          <w:tcPr>
            <w:tcW w:w="1920" w:type="dxa"/>
            <w:vAlign w:val="bottom"/>
            <w:tcBorders>
              <w:top w:val="single" w:sz="8" w:color="333333"/>
              <w:right w:val="single" w:sz="8" w:color="333333"/>
            </w:tcBorders>
            <w:shd w:val="clear" w:color="auto" w:fill="234E77"/>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333333"/>
              <w:right w:val="single" w:sz="8" w:color="234E77"/>
            </w:tcBorders>
            <w:vMerge w:val="restart"/>
            <w:shd w:val="clear" w:color="auto" w:fill="234E77"/>
          </w:tcPr>
          <w:p>
            <w:pPr>
              <w:ind w:left="100"/>
              <w:spacing w:after="0"/>
              <w:rPr>
                <w:sz w:val="20"/>
                <w:szCs w:val="20"/>
                <w:color w:val="auto"/>
              </w:rPr>
            </w:pPr>
            <w:r>
              <w:rPr>
                <w:rFonts w:ascii="Arial" w:cs="Arial" w:eastAsia="Arial" w:hAnsi="Arial"/>
                <w:sz w:val="16"/>
                <w:szCs w:val="16"/>
                <w:b w:val="1"/>
                <w:bCs w:val="1"/>
                <w:color w:val="FFFFFF"/>
              </w:rPr>
              <w:t>Name</w:t>
            </w:r>
          </w:p>
        </w:tc>
        <w:tc>
          <w:tcPr>
            <w:tcW w:w="1920" w:type="dxa"/>
            <w:vAlign w:val="bottom"/>
            <w:tcBorders>
              <w:right w:val="single" w:sz="8" w:color="234E77"/>
            </w:tcBorders>
            <w:shd w:val="clear" w:color="auto" w:fill="234E77"/>
          </w:tcPr>
          <w:p>
            <w:pPr>
              <w:spacing w:after="0"/>
              <w:rPr>
                <w:sz w:val="15"/>
                <w:szCs w:val="15"/>
                <w:color w:val="auto"/>
              </w:rPr>
            </w:pPr>
          </w:p>
        </w:tc>
        <w:tc>
          <w:tcPr>
            <w:tcW w:w="210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7"/>
              </w:rPr>
              <w:t>Incentive Target</w:t>
            </w:r>
          </w:p>
        </w:tc>
        <w:tc>
          <w:tcPr>
            <w:tcW w:w="1900" w:type="dxa"/>
            <w:vAlign w:val="bottom"/>
            <w:tcBorders>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7"/>
              </w:rPr>
              <w:t>Incentive Target</w:t>
            </w:r>
          </w:p>
        </w:tc>
        <w:tc>
          <w:tcPr>
            <w:tcW w:w="1920" w:type="dxa"/>
            <w:vAlign w:val="bottom"/>
            <w:tcBorders>
              <w:right w:val="single" w:sz="8" w:color="333333"/>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8"/>
              </w:rPr>
              <w:t>2025 Total</w:t>
            </w:r>
          </w:p>
        </w:tc>
        <w:tc>
          <w:tcPr>
            <w:tcW w:w="0" w:type="dxa"/>
            <w:vAlign w:val="bottom"/>
          </w:tcPr>
          <w:p>
            <w:pPr>
              <w:spacing w:after="0"/>
              <w:rPr>
                <w:sz w:val="1"/>
                <w:szCs w:val="1"/>
                <w:color w:val="auto"/>
              </w:rPr>
            </w:pPr>
          </w:p>
        </w:tc>
      </w:tr>
      <w:tr>
        <w:trPr>
          <w:trHeight w:val="259"/>
        </w:trPr>
        <w:tc>
          <w:tcPr>
            <w:tcW w:w="1740" w:type="dxa"/>
            <w:vAlign w:val="bottom"/>
            <w:tcBorders>
              <w:left w:val="single" w:sz="8" w:color="333333"/>
              <w:bottom w:val="single" w:sz="8" w:color="234E77"/>
              <w:right w:val="single" w:sz="8" w:color="234E77"/>
            </w:tcBorders>
            <w:vMerge w:val="continue"/>
            <w:shd w:val="clear" w:color="auto" w:fill="234E77"/>
          </w:tcPr>
          <w:p>
            <w:pPr>
              <w:spacing w:after="0"/>
              <w:rPr>
                <w:sz w:val="22"/>
                <w:szCs w:val="22"/>
                <w:color w:val="auto"/>
              </w:rPr>
            </w:pPr>
          </w:p>
        </w:tc>
        <w:tc>
          <w:tcPr>
            <w:tcW w:w="1920" w:type="dxa"/>
            <w:vAlign w:val="bottom"/>
            <w:tcBorders>
              <w:bottom w:val="single" w:sz="8" w:color="234E77"/>
              <w:right w:val="single" w:sz="8" w:color="234E77"/>
            </w:tcBorders>
            <w:shd w:val="clear" w:color="auto" w:fill="234E77"/>
          </w:tcPr>
          <w:p>
            <w:pPr>
              <w:ind w:left="340"/>
              <w:spacing w:after="0"/>
              <w:rPr>
                <w:sz w:val="20"/>
                <w:szCs w:val="20"/>
                <w:color w:val="auto"/>
              </w:rPr>
            </w:pPr>
            <w:r>
              <w:rPr>
                <w:rFonts w:ascii="Arial" w:cs="Arial" w:eastAsia="Arial" w:hAnsi="Arial"/>
                <w:sz w:val="15"/>
                <w:szCs w:val="15"/>
                <w:b w:val="1"/>
                <w:bCs w:val="1"/>
                <w:color w:val="FFFFFF"/>
              </w:rPr>
              <w:t>2025 Base Salary*</w:t>
            </w:r>
          </w:p>
        </w:tc>
        <w:tc>
          <w:tcPr>
            <w:tcW w:w="2100" w:type="dxa"/>
            <w:vAlign w:val="bottom"/>
            <w:tcBorders>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rPr>
              <w:t>(%)</w:t>
            </w:r>
          </w:p>
        </w:tc>
        <w:tc>
          <w:tcPr>
            <w:tcW w:w="1900" w:type="dxa"/>
            <w:vAlign w:val="bottom"/>
            <w:tcBorders>
              <w:bottom w:val="single" w:sz="8" w:color="234E77"/>
              <w:right w:val="single" w:sz="8" w:color="234E77"/>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7"/>
              </w:rPr>
              <w:t>($)</w:t>
            </w:r>
          </w:p>
        </w:tc>
        <w:tc>
          <w:tcPr>
            <w:tcW w:w="1920" w:type="dxa"/>
            <w:vAlign w:val="bottom"/>
            <w:tcBorders>
              <w:bottom w:val="single" w:sz="8" w:color="234E77"/>
              <w:right w:val="single" w:sz="8" w:color="333333"/>
            </w:tcBorders>
            <w:shd w:val="clear" w:color="auto" w:fill="234E77"/>
          </w:tcPr>
          <w:p>
            <w:pPr>
              <w:jc w:val="center"/>
              <w:spacing w:after="0"/>
              <w:rPr>
                <w:sz w:val="20"/>
                <w:szCs w:val="20"/>
                <w:color w:val="auto"/>
              </w:rPr>
            </w:pPr>
            <w:r>
              <w:rPr>
                <w:rFonts w:ascii="Arial" w:cs="Arial" w:eastAsia="Arial" w:hAnsi="Arial"/>
                <w:sz w:val="15"/>
                <w:szCs w:val="15"/>
                <w:b w:val="1"/>
                <w:bCs w:val="1"/>
                <w:color w:val="FFFFFF"/>
                <w:w w:val="98"/>
              </w:rPr>
              <w:t>Incentive Earned</w:t>
            </w:r>
          </w:p>
        </w:tc>
        <w:tc>
          <w:tcPr>
            <w:tcW w:w="0" w:type="dxa"/>
            <w:vAlign w:val="bottom"/>
          </w:tcPr>
          <w:p>
            <w:pPr>
              <w:spacing w:after="0"/>
              <w:rPr>
                <w:sz w:val="1"/>
                <w:szCs w:val="1"/>
                <w:color w:val="auto"/>
              </w:rPr>
            </w:pPr>
          </w:p>
        </w:tc>
      </w:tr>
      <w:tr>
        <w:trPr>
          <w:trHeight w:val="248"/>
        </w:trPr>
        <w:tc>
          <w:tcPr>
            <w:tcW w:w="1740" w:type="dxa"/>
            <w:vAlign w:val="bottom"/>
            <w:tcBorders>
              <w:top w:val="single" w:sz="8" w:color="auto"/>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58595B"/>
              </w:rPr>
              <w:t>Michael J. Nolan</w:t>
            </w:r>
          </w:p>
        </w:tc>
        <w:tc>
          <w:tcPr>
            <w:tcW w:w="192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58595B"/>
                <w:w w:val="98"/>
              </w:rPr>
              <w:t>$1,100,000</w:t>
            </w:r>
          </w:p>
        </w:tc>
        <w:tc>
          <w:tcPr>
            <w:tcW w:w="210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58595B"/>
                <w:w w:val="98"/>
              </w:rPr>
              <w:t>200%</w:t>
            </w:r>
          </w:p>
        </w:tc>
        <w:tc>
          <w:tcPr>
            <w:tcW w:w="190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58595B"/>
                <w:w w:val="98"/>
              </w:rPr>
              <w:t>$2,200,000</w:t>
            </w:r>
          </w:p>
        </w:tc>
        <w:tc>
          <w:tcPr>
            <w:tcW w:w="192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58595B"/>
                <w:w w:val="98"/>
              </w:rPr>
              <w:t>$4,400,000</w:t>
            </w:r>
          </w:p>
        </w:tc>
        <w:tc>
          <w:tcPr>
            <w:tcW w:w="0" w:type="dxa"/>
            <w:vAlign w:val="bottom"/>
          </w:tcPr>
          <w:p>
            <w:pPr>
              <w:spacing w:after="0"/>
              <w:rPr>
                <w:sz w:val="1"/>
                <w:szCs w:val="1"/>
                <w:color w:val="auto"/>
              </w:rPr>
            </w:pPr>
          </w:p>
        </w:tc>
      </w:tr>
      <w:tr>
        <w:trPr>
          <w:trHeight w:val="65"/>
        </w:trPr>
        <w:tc>
          <w:tcPr>
            <w:tcW w:w="1740" w:type="dxa"/>
            <w:vAlign w:val="bottom"/>
            <w:tcBorders>
              <w:left w:val="single" w:sz="8" w:color="333333"/>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2100" w:type="dxa"/>
            <w:vAlign w:val="bottom"/>
            <w:tcBorders>
              <w:bottom w:val="single" w:sz="8" w:color="auto"/>
              <w:right w:val="single" w:sz="8" w:color="333333"/>
            </w:tcBorders>
          </w:tcPr>
          <w:p>
            <w:pPr>
              <w:spacing w:after="0"/>
              <w:rPr>
                <w:sz w:val="5"/>
                <w:szCs w:val="5"/>
                <w:color w:val="auto"/>
              </w:rPr>
            </w:pPr>
          </w:p>
        </w:tc>
        <w:tc>
          <w:tcPr>
            <w:tcW w:w="1900" w:type="dxa"/>
            <w:vAlign w:val="bottom"/>
            <w:tcBorders>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58595B"/>
              </w:rPr>
              <w:t>Raymond R. Quirk</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$550,000</w:t>
            </w:r>
          </w:p>
        </w:tc>
        <w:tc>
          <w:tcPr>
            <w:tcW w:w="2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150%</w:t>
            </w:r>
          </w:p>
        </w:tc>
        <w:tc>
          <w:tcPr>
            <w:tcW w:w="19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$825,000</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$1,650,000</w:t>
            </w:r>
          </w:p>
        </w:tc>
        <w:tc>
          <w:tcPr>
            <w:tcW w:w="0" w:type="dxa"/>
            <w:vAlign w:val="bottom"/>
          </w:tcPr>
          <w:p>
            <w:pPr>
              <w:spacing w:after="0"/>
              <w:rPr>
                <w:sz w:val="1"/>
                <w:szCs w:val="1"/>
                <w:color w:val="auto"/>
              </w:rPr>
            </w:pPr>
          </w:p>
        </w:tc>
      </w:tr>
      <w:tr>
        <w:trPr>
          <w:trHeight w:val="65"/>
        </w:trPr>
        <w:tc>
          <w:tcPr>
            <w:tcW w:w="1740" w:type="dxa"/>
            <w:vAlign w:val="bottom"/>
            <w:tcBorders>
              <w:left w:val="single" w:sz="8" w:color="333333"/>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2100" w:type="dxa"/>
            <w:vAlign w:val="bottom"/>
            <w:tcBorders>
              <w:bottom w:val="single" w:sz="8" w:color="auto"/>
              <w:right w:val="single" w:sz="8" w:color="333333"/>
            </w:tcBorders>
          </w:tcPr>
          <w:p>
            <w:pPr>
              <w:spacing w:after="0"/>
              <w:rPr>
                <w:sz w:val="5"/>
                <w:szCs w:val="5"/>
                <w:color w:val="auto"/>
              </w:rPr>
            </w:pPr>
          </w:p>
        </w:tc>
        <w:tc>
          <w:tcPr>
            <w:tcW w:w="1900" w:type="dxa"/>
            <w:vAlign w:val="bottom"/>
            <w:tcBorders>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58595B"/>
              </w:rPr>
              <w:t>Anthony J. Park</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$775,000</w:t>
            </w:r>
          </w:p>
        </w:tc>
        <w:tc>
          <w:tcPr>
            <w:tcW w:w="2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125%</w:t>
            </w:r>
          </w:p>
        </w:tc>
        <w:tc>
          <w:tcPr>
            <w:tcW w:w="19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$968,750</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$1,937,500</w:t>
            </w:r>
          </w:p>
        </w:tc>
        <w:tc>
          <w:tcPr>
            <w:tcW w:w="0" w:type="dxa"/>
            <w:vAlign w:val="bottom"/>
          </w:tcPr>
          <w:p>
            <w:pPr>
              <w:spacing w:after="0"/>
              <w:rPr>
                <w:sz w:val="1"/>
                <w:szCs w:val="1"/>
                <w:color w:val="auto"/>
              </w:rPr>
            </w:pPr>
          </w:p>
        </w:tc>
      </w:tr>
      <w:tr>
        <w:trPr>
          <w:trHeight w:val="65"/>
        </w:trPr>
        <w:tc>
          <w:tcPr>
            <w:tcW w:w="1740" w:type="dxa"/>
            <w:vAlign w:val="bottom"/>
            <w:tcBorders>
              <w:left w:val="single" w:sz="8" w:color="333333"/>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2100" w:type="dxa"/>
            <w:vAlign w:val="bottom"/>
            <w:tcBorders>
              <w:bottom w:val="single" w:sz="8" w:color="auto"/>
              <w:right w:val="single" w:sz="8" w:color="333333"/>
            </w:tcBorders>
          </w:tcPr>
          <w:p>
            <w:pPr>
              <w:spacing w:after="0"/>
              <w:rPr>
                <w:sz w:val="5"/>
                <w:szCs w:val="5"/>
                <w:color w:val="auto"/>
              </w:rPr>
            </w:pPr>
          </w:p>
        </w:tc>
        <w:tc>
          <w:tcPr>
            <w:tcW w:w="1900" w:type="dxa"/>
            <w:vAlign w:val="bottom"/>
            <w:tcBorders>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58595B"/>
              </w:rPr>
              <w:t>Peter T. Sadowski</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$660,000</w:t>
            </w:r>
          </w:p>
        </w:tc>
        <w:tc>
          <w:tcPr>
            <w:tcW w:w="2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105%</w:t>
            </w:r>
          </w:p>
        </w:tc>
        <w:tc>
          <w:tcPr>
            <w:tcW w:w="19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$693,000</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$1,386,000</w:t>
            </w:r>
          </w:p>
        </w:tc>
        <w:tc>
          <w:tcPr>
            <w:tcW w:w="0" w:type="dxa"/>
            <w:vAlign w:val="bottom"/>
          </w:tcPr>
          <w:p>
            <w:pPr>
              <w:spacing w:after="0"/>
              <w:rPr>
                <w:sz w:val="1"/>
                <w:szCs w:val="1"/>
                <w:color w:val="auto"/>
              </w:rPr>
            </w:pPr>
          </w:p>
        </w:tc>
      </w:tr>
      <w:tr>
        <w:trPr>
          <w:trHeight w:val="65"/>
        </w:trPr>
        <w:tc>
          <w:tcPr>
            <w:tcW w:w="1740" w:type="dxa"/>
            <w:vAlign w:val="bottom"/>
            <w:tcBorders>
              <w:left w:val="single" w:sz="8" w:color="333333"/>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2100" w:type="dxa"/>
            <w:vAlign w:val="bottom"/>
            <w:tcBorders>
              <w:bottom w:val="single" w:sz="8" w:color="auto"/>
              <w:right w:val="single" w:sz="8" w:color="333333"/>
            </w:tcBorders>
          </w:tcPr>
          <w:p>
            <w:pPr>
              <w:spacing w:after="0"/>
              <w:rPr>
                <w:sz w:val="5"/>
                <w:szCs w:val="5"/>
                <w:color w:val="auto"/>
              </w:rPr>
            </w:pPr>
          </w:p>
        </w:tc>
        <w:tc>
          <w:tcPr>
            <w:tcW w:w="1900" w:type="dxa"/>
            <w:vAlign w:val="bottom"/>
            <w:tcBorders>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58595B"/>
              </w:rPr>
              <w:t>Michael L. Gravelle</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$570,000</w:t>
            </w:r>
          </w:p>
        </w:tc>
        <w:tc>
          <w:tcPr>
            <w:tcW w:w="2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105%</w:t>
            </w:r>
          </w:p>
        </w:tc>
        <w:tc>
          <w:tcPr>
            <w:tcW w:w="19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9"/>
              </w:rPr>
              <w:t>$598,500</w:t>
            </w:r>
          </w:p>
        </w:tc>
        <w:tc>
          <w:tcPr>
            <w:tcW w:w="19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58595B"/>
                <w:w w:val="98"/>
              </w:rPr>
              <w:t>$1,197,000</w:t>
            </w:r>
          </w:p>
        </w:tc>
        <w:tc>
          <w:tcPr>
            <w:tcW w:w="0" w:type="dxa"/>
            <w:vAlign w:val="bottom"/>
          </w:tcPr>
          <w:p>
            <w:pPr>
              <w:spacing w:after="0"/>
              <w:rPr>
                <w:sz w:val="1"/>
                <w:szCs w:val="1"/>
                <w:color w:val="auto"/>
              </w:rPr>
            </w:pPr>
          </w:p>
        </w:tc>
      </w:tr>
      <w:tr>
        <w:trPr>
          <w:trHeight w:val="65"/>
        </w:trPr>
        <w:tc>
          <w:tcPr>
            <w:tcW w:w="1740" w:type="dxa"/>
            <w:vAlign w:val="bottom"/>
            <w:tcBorders>
              <w:left w:val="single" w:sz="8" w:color="333333"/>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2100" w:type="dxa"/>
            <w:vAlign w:val="bottom"/>
            <w:tcBorders>
              <w:bottom w:val="single" w:sz="8" w:color="auto"/>
              <w:right w:val="single" w:sz="8" w:color="333333"/>
            </w:tcBorders>
          </w:tcPr>
          <w:p>
            <w:pPr>
              <w:spacing w:after="0"/>
              <w:rPr>
                <w:sz w:val="5"/>
                <w:szCs w:val="5"/>
                <w:color w:val="auto"/>
              </w:rPr>
            </w:pPr>
          </w:p>
        </w:tc>
        <w:tc>
          <w:tcPr>
            <w:tcW w:w="1900" w:type="dxa"/>
            <w:vAlign w:val="bottom"/>
            <w:tcBorders>
              <w:bottom w:val="single" w:sz="8" w:color="auto"/>
              <w:right w:val="single" w:sz="8" w:color="333333"/>
            </w:tcBorders>
          </w:tcPr>
          <w:p>
            <w:pPr>
              <w:spacing w:after="0"/>
              <w:rPr>
                <w:sz w:val="5"/>
                <w:szCs w:val="5"/>
                <w:color w:val="auto"/>
              </w:rPr>
            </w:pPr>
          </w:p>
        </w:tc>
        <w:tc>
          <w:tcPr>
            <w:tcW w:w="1920" w:type="dxa"/>
            <w:vAlign w:val="bottom"/>
            <w:tcBorders>
              <w:bottom w:val="single" w:sz="8" w:color="auto"/>
              <w:right w:val="single" w:sz="8" w:color="33333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820"/>
        <w:spacing w:after="0"/>
        <w:rPr>
          <w:sz w:val="20"/>
          <w:szCs w:val="20"/>
          <w:color w:val="auto"/>
        </w:rPr>
      </w:pPr>
      <w:r>
        <w:rPr>
          <w:rFonts w:ascii="Arial" w:cs="Arial" w:eastAsia="Arial" w:hAnsi="Arial"/>
          <w:sz w:val="15"/>
          <w:szCs w:val="15"/>
          <w:color w:val="58595B"/>
        </w:rPr>
        <w:t>* The amounts reflect base salary effective at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125095</wp:posOffset>
            </wp:positionV>
            <wp:extent cx="7144385" cy="297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45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625475</wp:posOffset>
            </wp:positionV>
            <wp:extent cx="71443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80"/>
          </w:cols>
          <w:pgMar w:left="680" w:top="796" w:right="839" w:bottom="1440" w:gutter="0" w:footer="0" w:header="0"/>
        </w:sectPr>
      </w:pPr>
    </w:p>
    <w:bookmarkStart w:id="49" w:name="page50"/>
    <w:bookmarkEnd w:id="49"/>
    <w:p>
      <w:pPr>
        <w:ind w:left="1180"/>
        <w:spacing w:after="0"/>
        <w:rPr>
          <w:sz w:val="20"/>
          <w:szCs w:val="20"/>
          <w:color w:val="auto"/>
        </w:rPr>
      </w:pPr>
      <w:r>
        <w:rPr>
          <w:rFonts w:ascii="Arial" w:cs="Arial" w:eastAsia="Arial" w:hAnsi="Arial"/>
          <w:sz w:val="20"/>
          <w:szCs w:val="20"/>
          <w:b w:val="1"/>
          <w:bCs w:val="1"/>
          <w:color w:val="8A9DBB"/>
        </w:rPr>
        <w:t>LONG-TERM EQUITY INCENTIVES</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On November 10, 2025, we granted performance-based restricted stock to each of our named executive officers.</w:t>
      </w:r>
    </w:p>
    <w:p>
      <w:pPr>
        <w:spacing w:after="0" w:line="175" w:lineRule="exact"/>
        <w:rPr>
          <w:sz w:val="20"/>
          <w:szCs w:val="20"/>
          <w:color w:val="auto"/>
        </w:rPr>
      </w:pPr>
    </w:p>
    <w:p>
      <w:pPr>
        <w:ind w:left="1180" w:right="920"/>
        <w:spacing w:after="0" w:line="241" w:lineRule="auto"/>
        <w:rPr>
          <w:sz w:val="20"/>
          <w:szCs w:val="20"/>
          <w:color w:val="auto"/>
        </w:rPr>
      </w:pPr>
      <w:r>
        <w:rPr>
          <w:rFonts w:ascii="Arial" w:cs="Arial" w:eastAsia="Arial" w:hAnsi="Arial"/>
          <w:sz w:val="18"/>
          <w:szCs w:val="18"/>
          <w:color w:val="58595B"/>
        </w:rPr>
        <w:t>We do not attempt to time the granting of awards to any internal or external events. Our general practice has been for our compensation committee to grant equity awards during the fourth quarter of each year following the release of our financial results for the third quarter. We also may grant awards in connection with significant new hires, promotions or changes in duties.</w:t>
      </w:r>
    </w:p>
    <w:p>
      <w:pPr>
        <w:spacing w:after="0" w:line="142" w:lineRule="exact"/>
        <w:rPr>
          <w:sz w:val="20"/>
          <w:szCs w:val="20"/>
          <w:color w:val="auto"/>
        </w:rPr>
      </w:pPr>
    </w:p>
    <w:p>
      <w:pPr>
        <w:ind w:left="1180" w:right="920"/>
        <w:spacing w:after="0" w:line="241" w:lineRule="auto"/>
        <w:rPr>
          <w:sz w:val="20"/>
          <w:szCs w:val="20"/>
          <w:color w:val="auto"/>
        </w:rPr>
      </w:pPr>
      <w:r>
        <w:rPr>
          <w:rFonts w:ascii="Arial" w:cs="Arial" w:eastAsia="Arial" w:hAnsi="Arial"/>
          <w:sz w:val="18"/>
          <w:szCs w:val="18"/>
          <w:color w:val="58595B"/>
        </w:rPr>
        <w:t>Our compensation committee's determinations are not formulaic; rather, in the context of competitive market compensation data and our stated pay philosophy, our compensation committee determines the share amounts on a subjective basis in its discretion and award amounts may differ among individual executive officers in any given year. Following is a brief discussion regarding the awards made in 2025.</w:t>
      </w:r>
    </w:p>
    <w:p>
      <w:pPr>
        <w:spacing w:after="0" w:line="142" w:lineRule="exact"/>
        <w:rPr>
          <w:sz w:val="20"/>
          <w:szCs w:val="20"/>
          <w:color w:val="auto"/>
        </w:rPr>
      </w:pPr>
    </w:p>
    <w:p>
      <w:pPr>
        <w:jc w:val="both"/>
        <w:ind w:left="1180" w:right="880"/>
        <w:spacing w:after="0" w:line="247" w:lineRule="auto"/>
        <w:rPr>
          <w:sz w:val="20"/>
          <w:szCs w:val="20"/>
          <w:color w:val="auto"/>
        </w:rPr>
      </w:pPr>
      <w:r>
        <w:rPr>
          <w:rFonts w:ascii="Arial" w:cs="Arial" w:eastAsia="Arial" w:hAnsi="Arial"/>
          <w:sz w:val="18"/>
          <w:szCs w:val="18"/>
          <w:b w:val="1"/>
          <w:bCs w:val="1"/>
          <w:color w:val="49678E"/>
        </w:rPr>
        <w:t xml:space="preserve">Performance-based Restricted Stock. </w:t>
      </w:r>
      <w:r>
        <w:rPr>
          <w:rFonts w:ascii="Arial" w:cs="Arial" w:eastAsia="Arial" w:hAnsi="Arial"/>
          <w:sz w:val="18"/>
          <w:szCs w:val="18"/>
          <w:color w:val="58595B"/>
        </w:rPr>
        <w:t>In 2025, the proportion of the FNF equity awards consisting of</w:t>
      </w:r>
      <w:r>
        <w:rPr>
          <w:rFonts w:ascii="Arial" w:cs="Arial" w:eastAsia="Arial" w:hAnsi="Arial"/>
          <w:sz w:val="18"/>
          <w:szCs w:val="18"/>
          <w:b w:val="1"/>
          <w:bCs w:val="1"/>
          <w:color w:val="49678E"/>
        </w:rPr>
        <w:t xml:space="preserve"> </w:t>
      </w:r>
      <w:r>
        <w:rPr>
          <w:rFonts w:ascii="Arial" w:cs="Arial" w:eastAsia="Arial" w:hAnsi="Arial"/>
          <w:sz w:val="18"/>
          <w:szCs w:val="18"/>
          <w:color w:val="58595B"/>
        </w:rPr>
        <w:t>performance-based restricted stock remained at 100%. As in recent years, we did not grant stock options or awards that vest solely based on continued service to our named executive officers.</w:t>
      </w:r>
    </w:p>
    <w:p>
      <w:pPr>
        <w:spacing w:after="0" w:line="137" w:lineRule="exact"/>
        <w:rPr>
          <w:sz w:val="20"/>
          <w:szCs w:val="20"/>
          <w:color w:val="auto"/>
        </w:rPr>
      </w:pPr>
    </w:p>
    <w:p>
      <w:pPr>
        <w:ind w:left="1180" w:right="920"/>
        <w:spacing w:after="0" w:line="234" w:lineRule="auto"/>
        <w:rPr>
          <w:sz w:val="20"/>
          <w:szCs w:val="20"/>
          <w:color w:val="auto"/>
        </w:rPr>
      </w:pPr>
      <w:r>
        <w:rPr>
          <w:rFonts w:ascii="Arial" w:cs="Arial" w:eastAsia="Arial" w:hAnsi="Arial"/>
          <w:sz w:val="18"/>
          <w:szCs w:val="18"/>
          <w:color w:val="58595B"/>
        </w:rPr>
        <w:t>The restricted stock awards vest over three years, provided we achieve adjusted pre-tax margin in our title segment of 11.0% in at least two of the five quarters beginning October 1, 2025. The compensation committee recognized that we also use pre-tax title margin as a metric in our annual incentive plan and considered various alternative measures for our 2025 performance-based restricted stock awards. However, the committee selected adjusted pre-tax title margin, which measures our executives' achievements in operating efficiency, profitability and capital management, as the performance measure for our 2025 restricted stock awards. The committee determined to use adjusted pre-tax title margin because it reflects our ability to convert revenue into operating profits for shareholders and measures our progress toward achieving our long-term strategy and therefore can have a significant impact on our long-term stock price.</w:t>
      </w:r>
    </w:p>
    <w:p>
      <w:pPr>
        <w:spacing w:after="0" w:line="143" w:lineRule="exact"/>
        <w:rPr>
          <w:sz w:val="20"/>
          <w:szCs w:val="20"/>
          <w:color w:val="auto"/>
        </w:rPr>
      </w:pPr>
    </w:p>
    <w:p>
      <w:pPr>
        <w:ind w:left="1180" w:right="920"/>
        <w:spacing w:after="0" w:line="236" w:lineRule="auto"/>
        <w:rPr>
          <w:sz w:val="20"/>
          <w:szCs w:val="20"/>
          <w:color w:val="auto"/>
        </w:rPr>
      </w:pPr>
      <w:r>
        <w:rPr>
          <w:rFonts w:ascii="Arial" w:cs="Arial" w:eastAsia="Arial" w:hAnsi="Arial"/>
          <w:sz w:val="18"/>
          <w:szCs w:val="18"/>
          <w:color w:val="58595B"/>
        </w:rPr>
        <w:t>When we set our adjusted pre-tax title margin performance goal in October 2025, the compensation committee considered the current environment of volatile interest rates, the current limited housing supply, high home prices, tight credit markets and uncertain economic expectations for 2026, as well as uncertainty related to geo-political conflicts. The committee considered that we expect a stable commercial real estate market in 2026 as compared to 2025. The compensation committee balanced these considerations against management's historically strong performance in managing expenses during different real estate cycles and ability to drive industry leading margins.</w:t>
      </w:r>
    </w:p>
    <w:p>
      <w:pPr>
        <w:spacing w:after="0" w:line="147" w:lineRule="exact"/>
        <w:rPr>
          <w:sz w:val="20"/>
          <w:szCs w:val="20"/>
          <w:color w:val="auto"/>
        </w:rPr>
      </w:pPr>
    </w:p>
    <w:p>
      <w:pPr>
        <w:ind w:left="1180" w:right="1040"/>
        <w:spacing w:after="0" w:line="236" w:lineRule="auto"/>
        <w:rPr>
          <w:sz w:val="20"/>
          <w:szCs w:val="20"/>
          <w:color w:val="auto"/>
        </w:rPr>
      </w:pPr>
      <w:r>
        <w:rPr>
          <w:rFonts w:ascii="Arial" w:cs="Arial" w:eastAsia="Arial" w:hAnsi="Arial"/>
          <w:sz w:val="18"/>
          <w:szCs w:val="18"/>
          <w:color w:val="58595B"/>
        </w:rPr>
        <w:t>Based on these considerations for the performance period, the compensation committee determined to set the performance goal for our 2025 restricted stock awards at 11%, which is 150 basis points higher than the 2024 performance goal of 9.5% due to the factors described above, in order to encourage management to continue to drive strong expense management and margins in our title business. Adjusted pre-tax title margin for purposes of the performance-based restricted stock awards is calculated in the same manner as it is calculated under our annual incentive plan.</w:t>
      </w:r>
    </w:p>
    <w:p>
      <w:pPr>
        <w:spacing w:after="0" w:line="147" w:lineRule="exact"/>
        <w:rPr>
          <w:sz w:val="20"/>
          <w:szCs w:val="20"/>
          <w:color w:val="auto"/>
        </w:rPr>
      </w:pPr>
    </w:p>
    <w:p>
      <w:pPr>
        <w:ind w:left="1180" w:right="960"/>
        <w:spacing w:after="0" w:line="238" w:lineRule="auto"/>
        <w:rPr>
          <w:sz w:val="20"/>
          <w:szCs w:val="20"/>
          <w:color w:val="auto"/>
        </w:rPr>
      </w:pPr>
      <w:r>
        <w:rPr>
          <w:rFonts w:ascii="Arial" w:cs="Arial" w:eastAsia="Arial" w:hAnsi="Arial"/>
          <w:sz w:val="18"/>
          <w:szCs w:val="18"/>
          <w:color w:val="58595B"/>
        </w:rPr>
        <w:t>Although we considered using a longer performance period for these awards, we determined that achievement of the criteria in at least two of the five quarters beginning October 1, 2025, which is the performance period we have historically used with respect to our performance-based equity awards, was the appropriate performance period because of the difficulty in predicting future performance of the mortgage market, particularly for a period of more than one year, because it is largely driven by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46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197"/>
        </w:trPr>
        <w:tc>
          <w:tcPr>
            <w:tcW w:w="6860" w:type="dxa"/>
            <w:vAlign w:val="bottom"/>
            <w:shd w:val="clear" w:color="auto" w:fill="274F78"/>
          </w:tcPr>
          <w:p>
            <w:pPr>
              <w:spacing w:after="0"/>
              <w:rPr>
                <w:sz w:val="17"/>
                <w:szCs w:val="17"/>
                <w:color w:val="auto"/>
              </w:rPr>
            </w:pPr>
          </w:p>
        </w:tc>
        <w:tc>
          <w:tcPr>
            <w:tcW w:w="4380" w:type="dxa"/>
            <w:vAlign w:val="bottom"/>
            <w:shd w:val="clear" w:color="auto" w:fill="274F78"/>
          </w:tcPr>
          <w:p>
            <w:pPr>
              <w:spacing w:after="0"/>
              <w:rPr>
                <w:sz w:val="17"/>
                <w:szCs w:val="17"/>
                <w:color w:val="auto"/>
              </w:rPr>
            </w:pPr>
          </w:p>
        </w:tc>
      </w:tr>
      <w:tr>
        <w:trPr>
          <w:trHeight w:val="57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1" w:right="339" w:bottom="1440" w:gutter="0" w:footer="0" w:header="0"/>
        </w:sectPr>
      </w:pPr>
    </w:p>
    <w:bookmarkStart w:id="50" w:name="page51"/>
    <w:bookmarkEnd w:id="50"/>
    <w:p>
      <w:pPr>
        <w:ind w:left="820" w:right="780"/>
        <w:spacing w:after="0" w:line="241" w:lineRule="auto"/>
        <w:rPr>
          <w:sz w:val="20"/>
          <w:szCs w:val="20"/>
          <w:color w:val="auto"/>
        </w:rPr>
      </w:pPr>
      <w:r>
        <w:rPr>
          <w:rFonts w:ascii="Arial" w:cs="Arial" w:eastAsia="Arial" w:hAnsi="Arial"/>
          <w:sz w:val="18"/>
          <w:szCs w:val="18"/>
          <w:color w:val="58595B"/>
        </w:rPr>
        <w:t>interest rates, which may be volatile over a longer term, and other economic forces outside of our control, and because of the seasonality inherent in the title business, with the first quarter typically much weaker than the remaining quarters due to weather conditions and holidays impacting opened order activity in November and December resulting in fewer closings in the first quarter.</w:t>
      </w:r>
    </w:p>
    <w:p>
      <w:pPr>
        <w:spacing w:after="0" w:line="154" w:lineRule="exact"/>
        <w:rPr>
          <w:sz w:val="20"/>
          <w:szCs w:val="20"/>
          <w:color w:val="auto"/>
        </w:rPr>
      </w:pPr>
    </w:p>
    <w:p>
      <w:pPr>
        <w:ind w:left="820" w:right="520"/>
        <w:spacing w:after="0" w:line="238" w:lineRule="auto"/>
        <w:rPr>
          <w:sz w:val="20"/>
          <w:szCs w:val="20"/>
          <w:color w:val="auto"/>
        </w:rPr>
      </w:pPr>
      <w:r>
        <w:rPr>
          <w:rFonts w:ascii="Arial" w:cs="Arial" w:eastAsia="Arial" w:hAnsi="Arial"/>
          <w:sz w:val="18"/>
          <w:szCs w:val="18"/>
          <w:color w:val="58595B"/>
        </w:rPr>
        <w:t>With respect to all restricted stock awards, credit is provided for dividends paid on unvested shares, but payment of those dividends is subject to the same vesting requirements as the underlying shares – in other words, if the underlying shares do not vest, the dividends are forfeited. The dividend payment is at the same rate as dividends paid to all other common shareholders. We also impose a restriction on the sale of executives' restricted shares following vesting if the executive has not met our stock ownership guidelines, which are discussed below.</w:t>
      </w:r>
    </w:p>
    <w:p>
      <w:pPr>
        <w:spacing w:after="0" w:line="157" w:lineRule="exact"/>
        <w:rPr>
          <w:sz w:val="20"/>
          <w:szCs w:val="20"/>
          <w:color w:val="auto"/>
        </w:rPr>
      </w:pPr>
    </w:p>
    <w:p>
      <w:pPr>
        <w:ind w:left="820" w:right="480"/>
        <w:spacing w:after="0" w:line="235" w:lineRule="auto"/>
        <w:rPr>
          <w:sz w:val="20"/>
          <w:szCs w:val="20"/>
          <w:color w:val="auto"/>
        </w:rPr>
      </w:pPr>
      <w:r>
        <w:rPr>
          <w:rFonts w:ascii="Arial" w:cs="Arial" w:eastAsia="Arial" w:hAnsi="Arial"/>
          <w:sz w:val="18"/>
          <w:szCs w:val="18"/>
          <w:color w:val="58595B"/>
        </w:rPr>
        <w:t>The timing of grants of equity-based incentive awards is discretionary and we generally grant these awards to our named executive officers in the fourth quarter of the applicable fiscal year. In certain circumstances, including the hiring or promotion of an executive, the compensation committee may approve grants to be effective at other times. The Company does not currently grant stock options to our employees.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w:t>
      </w:r>
    </w:p>
    <w:p>
      <w:pPr>
        <w:spacing w:after="0" w:line="1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8A9DBB"/>
        </w:rPr>
        <w:t>BENEFIT PLANS</w:t>
      </w:r>
    </w:p>
    <w:p>
      <w:pPr>
        <w:spacing w:after="0" w:line="187" w:lineRule="exact"/>
        <w:rPr>
          <w:sz w:val="20"/>
          <w:szCs w:val="20"/>
          <w:color w:val="auto"/>
        </w:rPr>
      </w:pPr>
    </w:p>
    <w:p>
      <w:pPr>
        <w:ind w:left="820" w:right="600"/>
        <w:spacing w:after="0" w:line="238" w:lineRule="auto"/>
        <w:rPr>
          <w:sz w:val="20"/>
          <w:szCs w:val="20"/>
          <w:color w:val="auto"/>
        </w:rPr>
      </w:pPr>
      <w:r>
        <w:rPr>
          <w:rFonts w:ascii="Arial" w:cs="Arial" w:eastAsia="Arial" w:hAnsi="Arial"/>
          <w:sz w:val="18"/>
          <w:szCs w:val="18"/>
          <w:color w:val="58595B"/>
        </w:rPr>
        <w:t>Our named executive officers generally participate in the same compensation programs as our other executives and employees. All employees in the United States, including our named executive officers, are eligible to participate in our 401(k) plan and our employee stock purchase plan, or ESPP. In addition, our named executive officers are eligible to participate in broad-based health and welfare plans. We do not offer pensions or supplemental executive retirement plans for our named executive officers.</w:t>
      </w:r>
    </w:p>
    <w:p>
      <w:pPr>
        <w:spacing w:after="0" w:line="157" w:lineRule="exact"/>
        <w:rPr>
          <w:sz w:val="20"/>
          <w:szCs w:val="20"/>
          <w:color w:val="auto"/>
        </w:rPr>
      </w:pPr>
    </w:p>
    <w:p>
      <w:pPr>
        <w:ind w:left="820" w:right="480"/>
        <w:spacing w:after="0" w:line="238" w:lineRule="auto"/>
        <w:rPr>
          <w:sz w:val="20"/>
          <w:szCs w:val="20"/>
          <w:color w:val="auto"/>
        </w:rPr>
      </w:pPr>
      <w:r>
        <w:rPr>
          <w:rFonts w:ascii="Arial" w:cs="Arial" w:eastAsia="Arial" w:hAnsi="Arial"/>
          <w:sz w:val="18"/>
          <w:szCs w:val="18"/>
          <w:b w:val="1"/>
          <w:bCs w:val="1"/>
          <w:color w:val="49678E"/>
        </w:rPr>
        <w:t xml:space="preserve">401(k) Plan. </w:t>
      </w:r>
      <w:r>
        <w:rPr>
          <w:rFonts w:ascii="Arial" w:cs="Arial" w:eastAsia="Arial" w:hAnsi="Arial"/>
          <w:sz w:val="18"/>
          <w:szCs w:val="18"/>
          <w:color w:val="58595B"/>
        </w:rPr>
        <w:t>We sponsor a defined contribution savings plan that is intended to be qualified under Section 401(a)</w:t>
      </w:r>
      <w:r>
        <w:rPr>
          <w:rFonts w:ascii="Arial" w:cs="Arial" w:eastAsia="Arial" w:hAnsi="Arial"/>
          <w:sz w:val="18"/>
          <w:szCs w:val="18"/>
          <w:b w:val="1"/>
          <w:bCs w:val="1"/>
          <w:color w:val="49678E"/>
        </w:rPr>
        <w:t xml:space="preserve"> </w:t>
      </w:r>
      <w:r>
        <w:rPr>
          <w:rFonts w:ascii="Arial" w:cs="Arial" w:eastAsia="Arial" w:hAnsi="Arial"/>
          <w:sz w:val="18"/>
          <w:szCs w:val="18"/>
          <w:color w:val="58595B"/>
        </w:rPr>
        <w:t>of the Internal Revenue Code. The plan contains a cash or deferred arrangement under Section 401(k) of the Internal Revenue Code. Participating employees may contribute up to 40% of their eligible compensation, but not more than the statutory limit, which was generally $23,500 in 2025. Vesting in matching contributions, if any, occurs proportionally each year over an employee's first three years of continuous employment with us.</w:t>
      </w:r>
    </w:p>
    <w:p>
      <w:pPr>
        <w:spacing w:after="0" w:line="157" w:lineRule="exact"/>
        <w:rPr>
          <w:sz w:val="20"/>
          <w:szCs w:val="20"/>
          <w:color w:val="auto"/>
        </w:rPr>
      </w:pPr>
    </w:p>
    <w:p>
      <w:pPr>
        <w:ind w:left="820" w:right="340"/>
        <w:spacing w:after="0" w:line="241" w:lineRule="auto"/>
        <w:rPr>
          <w:sz w:val="20"/>
          <w:szCs w:val="20"/>
          <w:color w:val="auto"/>
        </w:rPr>
      </w:pPr>
      <w:r>
        <w:rPr>
          <w:rFonts w:ascii="Arial" w:cs="Arial" w:eastAsia="Arial" w:hAnsi="Arial"/>
          <w:sz w:val="18"/>
          <w:szCs w:val="18"/>
          <w:b w:val="1"/>
          <w:bCs w:val="1"/>
          <w:color w:val="49678E"/>
        </w:rPr>
        <w:t xml:space="preserve">Deferred Compensation Plan. </w:t>
      </w:r>
      <w:r>
        <w:rPr>
          <w:rFonts w:ascii="Arial" w:cs="Arial" w:eastAsia="Arial" w:hAnsi="Arial"/>
          <w:sz w:val="18"/>
          <w:szCs w:val="18"/>
          <w:color w:val="58595B"/>
        </w:rPr>
        <w:t>We provide our named executive officers, as well as other key employees, with the</w:t>
      </w:r>
      <w:r>
        <w:rPr>
          <w:rFonts w:ascii="Arial" w:cs="Arial" w:eastAsia="Arial" w:hAnsi="Arial"/>
          <w:sz w:val="18"/>
          <w:szCs w:val="18"/>
          <w:b w:val="1"/>
          <w:bCs w:val="1"/>
          <w:color w:val="49678E"/>
        </w:rPr>
        <w:t xml:space="preserve"> </w:t>
      </w:r>
      <w:r>
        <w:rPr>
          <w:rFonts w:ascii="Arial" w:cs="Arial" w:eastAsia="Arial" w:hAnsi="Arial"/>
          <w:sz w:val="18"/>
          <w:szCs w:val="18"/>
          <w:color w:val="58595B"/>
        </w:rPr>
        <w:t>opportunity to defer receipt of their compensation under a nonqualified deferred compensation plan. A description of the plan and information regarding our named executive officers' interests under the plan can be found in the "Nonqualified Deferred Compensation" table and accompanying narrative.</w:t>
      </w:r>
    </w:p>
    <w:p>
      <w:pPr>
        <w:spacing w:after="0" w:line="154" w:lineRule="exact"/>
        <w:rPr>
          <w:sz w:val="20"/>
          <w:szCs w:val="20"/>
          <w:color w:val="auto"/>
        </w:rPr>
      </w:pPr>
    </w:p>
    <w:p>
      <w:pPr>
        <w:ind w:left="820" w:right="360"/>
        <w:spacing w:after="0" w:line="236" w:lineRule="auto"/>
        <w:rPr>
          <w:sz w:val="20"/>
          <w:szCs w:val="20"/>
          <w:color w:val="auto"/>
        </w:rPr>
      </w:pPr>
      <w:r>
        <w:rPr>
          <w:rFonts w:ascii="Arial" w:cs="Arial" w:eastAsia="Arial" w:hAnsi="Arial"/>
          <w:sz w:val="18"/>
          <w:szCs w:val="18"/>
          <w:b w:val="1"/>
          <w:bCs w:val="1"/>
          <w:color w:val="49678E"/>
        </w:rPr>
        <w:t xml:space="preserve">Employee Stock Purchase Plan. </w:t>
      </w:r>
      <w:r>
        <w:rPr>
          <w:rFonts w:ascii="Arial" w:cs="Arial" w:eastAsia="Arial" w:hAnsi="Arial"/>
          <w:sz w:val="18"/>
          <w:szCs w:val="18"/>
          <w:color w:val="58595B"/>
        </w:rPr>
        <w:t>We maintain our ESPP through which our executives and employees can</w:t>
      </w:r>
      <w:r>
        <w:rPr>
          <w:rFonts w:ascii="Arial" w:cs="Arial" w:eastAsia="Arial" w:hAnsi="Arial"/>
          <w:sz w:val="18"/>
          <w:szCs w:val="18"/>
          <w:b w:val="1"/>
          <w:bCs w:val="1"/>
          <w:color w:val="49678E"/>
        </w:rPr>
        <w:t xml:space="preserve"> </w:t>
      </w:r>
      <w:r>
        <w:rPr>
          <w:rFonts w:ascii="Arial" w:cs="Arial" w:eastAsia="Arial" w:hAnsi="Arial"/>
          <w:sz w:val="18"/>
          <w:szCs w:val="18"/>
          <w:color w:val="58595B"/>
        </w:rPr>
        <w:t>purchase shares of our common stock through payroll deductions and through matching employer contributions. At the end of each calendar quarter, we make a matching contribution to the account of each participant who has been continuously employed by us or a participating subsidiary for the last four calendar quarters. For employees with more than 10 years of service and officers, including our named executive officers, matching contributions are equal to 1/2 of the amount contributed during the quarter that is one year earlier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106680</wp:posOffset>
            </wp:positionV>
            <wp:extent cx="7144385" cy="297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8"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47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250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625475</wp:posOffset>
            </wp:positionV>
            <wp:extent cx="71443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6" w:right="879" w:bottom="1440" w:gutter="0" w:footer="0" w:header="0"/>
        </w:sectPr>
      </w:pPr>
    </w:p>
    <w:bookmarkStart w:id="51" w:name="page52"/>
    <w:bookmarkEnd w:id="51"/>
    <w:p>
      <w:pPr>
        <w:ind w:left="1180" w:right="1200"/>
        <w:spacing w:after="0" w:line="247" w:lineRule="auto"/>
        <w:rPr>
          <w:sz w:val="20"/>
          <w:szCs w:val="20"/>
          <w:color w:val="auto"/>
        </w:rPr>
      </w:pPr>
      <w:r>
        <w:rPr>
          <w:rFonts w:ascii="Arial" w:cs="Arial" w:eastAsia="Arial" w:hAnsi="Arial"/>
          <w:sz w:val="18"/>
          <w:szCs w:val="18"/>
          <w:color w:val="58595B"/>
        </w:rPr>
        <w:t>quarter in which the matching contribution was made. The matching contributions, together with the employee deferrals, are used to purchase shares of our common stock on the open market. For information regarding the matching contributions made to our named executive officers in 2025, see "– Summary Compensation Table."</w:t>
      </w:r>
    </w:p>
    <w:p>
      <w:pPr>
        <w:spacing w:after="0" w:line="137" w:lineRule="exact"/>
        <w:rPr>
          <w:sz w:val="20"/>
          <w:szCs w:val="20"/>
          <w:color w:val="auto"/>
        </w:rPr>
      </w:pPr>
    </w:p>
    <w:p>
      <w:pPr>
        <w:ind w:left="1180" w:right="900"/>
        <w:spacing w:after="0" w:line="236" w:lineRule="auto"/>
        <w:rPr>
          <w:sz w:val="20"/>
          <w:szCs w:val="20"/>
          <w:color w:val="auto"/>
        </w:rPr>
      </w:pPr>
      <w:r>
        <w:rPr>
          <w:rFonts w:ascii="Arial" w:cs="Arial" w:eastAsia="Arial" w:hAnsi="Arial"/>
          <w:sz w:val="18"/>
          <w:szCs w:val="18"/>
          <w:b w:val="1"/>
          <w:bCs w:val="1"/>
          <w:color w:val="49678E"/>
        </w:rPr>
        <w:t xml:space="preserve">Health and Welfare Benefits. </w:t>
      </w:r>
      <w:r>
        <w:rPr>
          <w:rFonts w:ascii="Arial" w:cs="Arial" w:eastAsia="Arial" w:hAnsi="Arial"/>
          <w:sz w:val="18"/>
          <w:szCs w:val="18"/>
          <w:color w:val="58595B"/>
        </w:rPr>
        <w:t>We sponsor various broad-based health and welfare benefit plans for our</w:t>
      </w:r>
      <w:r>
        <w:rPr>
          <w:rFonts w:ascii="Arial" w:cs="Arial" w:eastAsia="Arial" w:hAnsi="Arial"/>
          <w:sz w:val="18"/>
          <w:szCs w:val="18"/>
          <w:b w:val="1"/>
          <w:bCs w:val="1"/>
          <w:color w:val="49678E"/>
        </w:rPr>
        <w:t xml:space="preserve"> </w:t>
      </w:r>
      <w:r>
        <w:rPr>
          <w:rFonts w:ascii="Arial" w:cs="Arial" w:eastAsia="Arial" w:hAnsi="Arial"/>
          <w:sz w:val="18"/>
          <w:szCs w:val="18"/>
          <w:color w:val="58595B"/>
        </w:rPr>
        <w:t>employees, including life insurance, and our executives are eligible to participate in an executive medical plan. The taxable portion of the premiums on this additional life insurance is reflected in the "Summary Compensation Table" under the column "All Other Compensation" and related footnote. We also offer a program under which we reimburse our employees' escrow and title fees when they use one of our title companies in connection with the closing of their personal real estate transactions.</w:t>
      </w:r>
    </w:p>
    <w:p>
      <w:pPr>
        <w:spacing w:after="0" w:line="147" w:lineRule="exact"/>
        <w:rPr>
          <w:sz w:val="20"/>
          <w:szCs w:val="20"/>
          <w:color w:val="auto"/>
        </w:rPr>
      </w:pPr>
    </w:p>
    <w:p>
      <w:pPr>
        <w:ind w:left="1180" w:right="900"/>
        <w:spacing w:after="0" w:line="235" w:lineRule="auto"/>
        <w:rPr>
          <w:sz w:val="20"/>
          <w:szCs w:val="20"/>
          <w:color w:val="auto"/>
        </w:rPr>
      </w:pPr>
      <w:r>
        <w:rPr>
          <w:rFonts w:ascii="Arial" w:cs="Arial" w:eastAsia="Arial" w:hAnsi="Arial"/>
          <w:sz w:val="18"/>
          <w:szCs w:val="18"/>
          <w:b w:val="1"/>
          <w:bCs w:val="1"/>
          <w:color w:val="49678E"/>
        </w:rPr>
        <w:t xml:space="preserve">Other Benefits. </w:t>
      </w:r>
      <w:r>
        <w:rPr>
          <w:rFonts w:ascii="Arial" w:cs="Arial" w:eastAsia="Arial" w:hAnsi="Arial"/>
          <w:sz w:val="18"/>
          <w:szCs w:val="18"/>
          <w:color w:val="58595B"/>
        </w:rPr>
        <w:t>We provide a few additional benefits to our executives. In general, the additional benefits provided</w:t>
      </w:r>
      <w:r>
        <w:rPr>
          <w:rFonts w:ascii="Arial" w:cs="Arial" w:eastAsia="Arial" w:hAnsi="Arial"/>
          <w:sz w:val="18"/>
          <w:szCs w:val="18"/>
          <w:b w:val="1"/>
          <w:bCs w:val="1"/>
          <w:color w:val="49678E"/>
        </w:rPr>
        <w:t xml:space="preserve"> </w:t>
      </w:r>
      <w:r>
        <w:rPr>
          <w:rFonts w:ascii="Arial" w:cs="Arial" w:eastAsia="Arial" w:hAnsi="Arial"/>
          <w:sz w:val="18"/>
          <w:szCs w:val="18"/>
          <w:color w:val="58595B"/>
        </w:rPr>
        <w:t>are intended to help our named executive officers be more productive and efficient and to protect us and our executives from certain business risks and potential threats. We also provide certain of our named executive officers with personal use of the corporate aircraft for security and safety reasons. Our compensation and audit committees regularly review the additional benefits provided to our executive officers and believe they are minimal. Further detail regarding other benefits in 2025 can be found in the "Summary Compensation Table" under the column "All Other Compensation" and related footnote.</w:t>
      </w:r>
    </w:p>
    <w:p>
      <w:pPr>
        <w:spacing w:after="0" w:line="244" w:lineRule="exact"/>
        <w:rPr>
          <w:sz w:val="20"/>
          <w:szCs w:val="20"/>
          <w:color w:val="auto"/>
        </w:rPr>
      </w:pPr>
    </w:p>
    <w:p>
      <w:pPr>
        <w:ind w:left="1180" w:right="1360"/>
        <w:spacing w:after="0" w:line="294" w:lineRule="auto"/>
        <w:rPr>
          <w:sz w:val="20"/>
          <w:szCs w:val="20"/>
          <w:color w:val="auto"/>
        </w:rPr>
      </w:pPr>
      <w:r>
        <w:rPr>
          <w:rFonts w:ascii="Arial" w:cs="Arial" w:eastAsia="Arial" w:hAnsi="Arial"/>
          <w:sz w:val="23"/>
          <w:szCs w:val="23"/>
          <w:b w:val="1"/>
          <w:bCs w:val="1"/>
          <w:color w:val="5E769B"/>
        </w:rPr>
        <w:t>EMPLOYMENT AGREEMENTS AND POST-TERMINATION COMPENSATION AND BENEFITS</w:t>
      </w:r>
    </w:p>
    <w:p>
      <w:pPr>
        <w:spacing w:after="0" w:line="80" w:lineRule="exact"/>
        <w:rPr>
          <w:sz w:val="20"/>
          <w:szCs w:val="20"/>
          <w:color w:val="auto"/>
        </w:rPr>
      </w:pPr>
    </w:p>
    <w:p>
      <w:pPr>
        <w:ind w:left="1180" w:right="920"/>
        <w:spacing w:after="0" w:line="247" w:lineRule="auto"/>
        <w:rPr>
          <w:sz w:val="20"/>
          <w:szCs w:val="20"/>
          <w:color w:val="auto"/>
        </w:rPr>
      </w:pPr>
      <w:r>
        <w:rPr>
          <w:rFonts w:ascii="Arial" w:cs="Arial" w:eastAsia="Arial" w:hAnsi="Arial"/>
          <w:sz w:val="18"/>
          <w:szCs w:val="18"/>
          <w:color w:val="58595B"/>
        </w:rPr>
        <w:t>We have entered into employment agreements with each of our named executive officers. These agreements provide us and the executives with certain rights and obligations during and following a termination of employment, and in some instances, following a change in control.</w:t>
      </w:r>
    </w:p>
    <w:p>
      <w:pPr>
        <w:spacing w:after="0" w:line="137" w:lineRule="exact"/>
        <w:rPr>
          <w:sz w:val="20"/>
          <w:szCs w:val="20"/>
          <w:color w:val="auto"/>
        </w:rPr>
      </w:pPr>
    </w:p>
    <w:p>
      <w:pPr>
        <w:ind w:left="1180" w:right="900"/>
        <w:spacing w:after="0" w:line="241" w:lineRule="auto"/>
        <w:rPr>
          <w:sz w:val="20"/>
          <w:szCs w:val="20"/>
          <w:color w:val="auto"/>
        </w:rPr>
      </w:pPr>
      <w:r>
        <w:rPr>
          <w:rFonts w:ascii="Arial" w:cs="Arial" w:eastAsia="Arial" w:hAnsi="Arial"/>
          <w:sz w:val="18"/>
          <w:szCs w:val="18"/>
          <w:color w:val="58595B"/>
        </w:rPr>
        <w:t>We believe these agreements are necessary to protect our legitimate business interests, as well as to protect the executives in the event of certain termination events. For a discussion of the material terms of the agreements, see the narrative following "– Grants of Plan-Based Awards" and "– Potential Payments Upon Termination or Change in Control."</w:t>
      </w:r>
    </w:p>
    <w:p>
      <w:pPr>
        <w:spacing w:after="0" w:line="239" w:lineRule="exact"/>
        <w:rPr>
          <w:sz w:val="20"/>
          <w:szCs w:val="20"/>
          <w:color w:val="auto"/>
        </w:rPr>
      </w:pPr>
    </w:p>
    <w:p>
      <w:pPr>
        <w:ind w:left="1180" w:right="1500"/>
        <w:spacing w:after="0" w:line="294" w:lineRule="auto"/>
        <w:rPr>
          <w:sz w:val="20"/>
          <w:szCs w:val="20"/>
          <w:color w:val="auto"/>
        </w:rPr>
      </w:pPr>
      <w:r>
        <w:rPr>
          <w:rFonts w:ascii="Arial" w:cs="Arial" w:eastAsia="Arial" w:hAnsi="Arial"/>
          <w:sz w:val="23"/>
          <w:szCs w:val="23"/>
          <w:b w:val="1"/>
          <w:bCs w:val="1"/>
          <w:color w:val="5E769B"/>
        </w:rPr>
        <w:t>ROLE OF COMPENSATION COMMITTEE, COMPENSATION CONSULTANT AND EXECUTIVE OFFICERS</w:t>
      </w:r>
    </w:p>
    <w:p>
      <w:pPr>
        <w:spacing w:after="0" w:line="80" w:lineRule="exact"/>
        <w:rPr>
          <w:sz w:val="20"/>
          <w:szCs w:val="20"/>
          <w:color w:val="auto"/>
        </w:rPr>
      </w:pPr>
    </w:p>
    <w:p>
      <w:pPr>
        <w:jc w:val="both"/>
        <w:ind w:left="1180" w:right="1120"/>
        <w:spacing w:after="0" w:line="247" w:lineRule="auto"/>
        <w:rPr>
          <w:sz w:val="20"/>
          <w:szCs w:val="20"/>
          <w:color w:val="auto"/>
        </w:rPr>
      </w:pPr>
      <w:r>
        <w:rPr>
          <w:rFonts w:ascii="Arial" w:cs="Arial" w:eastAsia="Arial" w:hAnsi="Arial"/>
          <w:sz w:val="18"/>
          <w:szCs w:val="18"/>
          <w:color w:val="58595B"/>
        </w:rPr>
        <w:t xml:space="preserve">Our compensation committee is responsible for reviewing, approving and monitoring all compensation programs for our named executive officers. Our compensation committee is also responsible for administering our annual incentive plan and our Amended and Restated 2005 Omnibus Incentive Plan (the </w:t>
      </w:r>
      <w:r>
        <w:rPr>
          <w:rFonts w:ascii="Arial" w:cs="Arial" w:eastAsia="Arial" w:hAnsi="Arial"/>
          <w:sz w:val="18"/>
          <w:szCs w:val="18"/>
          <w:i w:val="1"/>
          <w:iCs w:val="1"/>
          <w:color w:val="58595B"/>
        </w:rPr>
        <w:t>omnibus incentive plan</w:t>
      </w:r>
      <w:r>
        <w:rPr>
          <w:rFonts w:ascii="Arial" w:cs="Arial" w:eastAsia="Arial" w:hAnsi="Arial"/>
          <w:sz w:val="18"/>
          <w:szCs w:val="18"/>
          <w:color w:val="58595B"/>
        </w:rPr>
        <w:t>).</w:t>
      </w:r>
    </w:p>
    <w:p>
      <w:pPr>
        <w:spacing w:after="0" w:line="137" w:lineRule="exact"/>
        <w:rPr>
          <w:sz w:val="20"/>
          <w:szCs w:val="20"/>
          <w:color w:val="auto"/>
        </w:rPr>
      </w:pPr>
    </w:p>
    <w:p>
      <w:pPr>
        <w:ind w:left="1180" w:right="980"/>
        <w:spacing w:after="0" w:line="241" w:lineRule="auto"/>
        <w:rPr>
          <w:sz w:val="20"/>
          <w:szCs w:val="20"/>
          <w:color w:val="auto"/>
        </w:rPr>
      </w:pPr>
      <w:r>
        <w:rPr>
          <w:rFonts w:ascii="Arial" w:cs="Arial" w:eastAsia="Arial" w:hAnsi="Arial"/>
          <w:sz w:val="18"/>
          <w:szCs w:val="18"/>
          <w:color w:val="58595B"/>
        </w:rPr>
        <w:t>During 2025, our compensation committee engaged SCG to conduct an annual review of our compensation programs for our named executive officers and other key executives and our board of directors. SCG's fees and terms of engagement were approved by our compensation committee. SCG reported directly to the compensation committee and received compensation only for services related to executive compensation issues.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48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58595B"/>
            </w:tcBorders>
          </w:tcPr>
          <w:p>
            <w:pPr>
              <w:spacing w:after="0"/>
              <w:rPr>
                <w:sz w:val="24"/>
                <w:szCs w:val="24"/>
                <w:color w:val="auto"/>
              </w:rPr>
            </w:pPr>
          </w:p>
        </w:tc>
        <w:tc>
          <w:tcPr>
            <w:tcW w:w="438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981" w:right="339" w:bottom="1440" w:gutter="0" w:footer="0" w:header="0"/>
        </w:sectPr>
      </w:pPr>
    </w:p>
    <w:bookmarkStart w:id="52" w:name="page53"/>
    <w:bookmarkEnd w:id="52"/>
    <w:p>
      <w:pPr>
        <w:ind w:left="820" w:right="400"/>
        <w:spacing w:after="0" w:line="247" w:lineRule="auto"/>
        <w:rPr>
          <w:sz w:val="20"/>
          <w:szCs w:val="20"/>
          <w:color w:val="auto"/>
        </w:rPr>
      </w:pPr>
      <w:r>
        <w:rPr>
          <w:rFonts w:ascii="Arial" w:cs="Arial" w:eastAsia="Arial" w:hAnsi="Arial"/>
          <w:sz w:val="18"/>
          <w:szCs w:val="18"/>
          <w:color w:val="58595B"/>
        </w:rPr>
        <w:t>In 2025, the compensation committee reviewed the independence of SCG in accordance with the rules of the New York Stock Exchange regarding the independence of consultants to the compensation committee and affirmed SCG's independence and that no conflicts of interest existed.</w:t>
      </w:r>
    </w:p>
    <w:p>
      <w:pPr>
        <w:spacing w:after="0" w:line="137" w:lineRule="exact"/>
        <w:rPr>
          <w:sz w:val="20"/>
          <w:szCs w:val="20"/>
          <w:color w:val="auto"/>
        </w:rPr>
      </w:pPr>
    </w:p>
    <w:p>
      <w:pPr>
        <w:ind w:left="820" w:right="400"/>
        <w:spacing w:after="0" w:line="238" w:lineRule="auto"/>
        <w:rPr>
          <w:sz w:val="20"/>
          <w:szCs w:val="20"/>
          <w:color w:val="auto"/>
        </w:rPr>
      </w:pPr>
      <w:r>
        <w:rPr>
          <w:rFonts w:ascii="Arial" w:cs="Arial" w:eastAsia="Arial" w:hAnsi="Arial"/>
          <w:sz w:val="18"/>
          <w:szCs w:val="18"/>
          <w:color w:val="58595B"/>
        </w:rPr>
        <w:t>The compensation consultant provided our compensation committee with relevant market data on compensation, including annual salary, annual incentives, long-term incentives, other benefits, total compensation and pay mix, and alternatives to consider when making compensation decisions. SCG also assisted our compensation committee in its annual review of a compensation risk assessment for 2025 and the preparation of the pay-versus-performance section of our proxy statement.</w:t>
      </w:r>
    </w:p>
    <w:p>
      <w:pPr>
        <w:spacing w:after="0" w:line="144" w:lineRule="exact"/>
        <w:rPr>
          <w:sz w:val="20"/>
          <w:szCs w:val="20"/>
          <w:color w:val="auto"/>
        </w:rPr>
      </w:pPr>
    </w:p>
    <w:p>
      <w:pPr>
        <w:ind w:left="820" w:right="480"/>
        <w:spacing w:after="0" w:line="233" w:lineRule="auto"/>
        <w:rPr>
          <w:sz w:val="20"/>
          <w:szCs w:val="20"/>
          <w:color w:val="auto"/>
        </w:rPr>
      </w:pPr>
      <w:r>
        <w:rPr>
          <w:rFonts w:ascii="Arial" w:cs="Arial" w:eastAsia="Arial" w:hAnsi="Arial"/>
          <w:sz w:val="18"/>
          <w:szCs w:val="18"/>
          <w:color w:val="58595B"/>
        </w:rPr>
        <w:t>Our Chairman, Mr. Foley, participated in the 2025 executive compensation process by making recommendations with respect to the compensation of our Executive Vice-Chairman. Our Executive Vice-Chairman made recommendations with respect to the compensation of our Chief Executive Officer. Our Chief Executive Officer made recommendations with respect to the compensation of his direct reports, as discussed further below. In addition, Michael L. Gravelle, our Executive Vice President, General Counsel and Corporate Secretary, coordinated with our compensation committee members and SCG in preparing the committee's meeting agendas and, at the direction of the compensation committee, assisted SCG in gathering financial information about FNF and stock ownership information for our executives for inclusion in the consultant's reports to our compensation committee. Our executive officers do not make recommendations to our compensation committee with respect to their own compensation.</w:t>
      </w:r>
    </w:p>
    <w:p>
      <w:pPr>
        <w:spacing w:after="0" w:line="147" w:lineRule="exact"/>
        <w:rPr>
          <w:sz w:val="20"/>
          <w:szCs w:val="20"/>
          <w:color w:val="auto"/>
        </w:rPr>
      </w:pPr>
    </w:p>
    <w:p>
      <w:pPr>
        <w:ind w:left="820" w:right="500"/>
        <w:spacing w:after="0" w:line="247" w:lineRule="auto"/>
        <w:rPr>
          <w:sz w:val="20"/>
          <w:szCs w:val="20"/>
          <w:color w:val="auto"/>
        </w:rPr>
      </w:pPr>
      <w:r>
        <w:rPr>
          <w:rFonts w:ascii="Arial" w:cs="Arial" w:eastAsia="Arial" w:hAnsi="Arial"/>
          <w:sz w:val="18"/>
          <w:szCs w:val="18"/>
          <w:color w:val="58595B"/>
        </w:rPr>
        <w:t>While our compensation committee carefully considers the information provided by, and the recommendations of, SCG and the individuals who participate in the compensation process, our compensation committee retains complete discretion to accept, reject or modify any recommended compensation decisions.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E769B"/>
        </w:rPr>
        <w:t>ESTABLISHING EXECUTIVE COMPENSATION LEVELS</w:t>
      </w:r>
    </w:p>
    <w:p>
      <w:pPr>
        <w:spacing w:after="0" w:line="193" w:lineRule="exact"/>
        <w:rPr>
          <w:sz w:val="20"/>
          <w:szCs w:val="20"/>
          <w:color w:val="auto"/>
        </w:rPr>
      </w:pPr>
    </w:p>
    <w:p>
      <w:pPr>
        <w:ind w:left="820" w:right="540"/>
        <w:spacing w:after="0" w:line="266" w:lineRule="auto"/>
        <w:rPr>
          <w:sz w:val="20"/>
          <w:szCs w:val="20"/>
          <w:color w:val="auto"/>
        </w:rPr>
      </w:pPr>
      <w:r>
        <w:rPr>
          <w:rFonts w:ascii="Arial" w:cs="Arial" w:eastAsia="Arial" w:hAnsi="Arial"/>
          <w:sz w:val="18"/>
          <w:szCs w:val="18"/>
          <w:color w:val="58595B"/>
        </w:rPr>
        <w:t>Our compensation committee considered several important qualitative and quantitative factors when determining the overall compensation of our named executive officers in 2025, including:</w:t>
      </w:r>
    </w:p>
    <w:p>
      <w:pPr>
        <w:spacing w:after="0" w:line="120" w:lineRule="exact"/>
        <w:rPr>
          <w:sz w:val="20"/>
          <w:szCs w:val="20"/>
          <w:color w:val="auto"/>
        </w:rPr>
      </w:pPr>
    </w:p>
    <w:p>
      <w:pPr>
        <w:ind w:left="1280" w:right="740" w:hanging="286"/>
        <w:spacing w:after="0" w:line="266" w:lineRule="auto"/>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The executive officer's experience, knowledge, skills, level of responsibility and potential to influence our company's performance;</w:t>
      </w:r>
    </w:p>
    <w:p>
      <w:pPr>
        <w:spacing w:after="0" w:line="120" w:lineRule="exact"/>
        <w:rPr>
          <w:rFonts w:ascii="Arial" w:cs="Arial" w:eastAsia="Arial" w:hAnsi="Arial"/>
          <w:sz w:val="18"/>
          <w:szCs w:val="18"/>
          <w:color w:val="58595B"/>
        </w:rPr>
      </w:pPr>
    </w:p>
    <w:p>
      <w:pPr>
        <w:ind w:left="1280" w:right="420" w:hanging="286"/>
        <w:spacing w:after="0" w:line="266" w:lineRule="auto"/>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The executive officer's prior salary levels, annual incentive awards, annual incentive award targets and long-term equity incentive awards;</w:t>
      </w:r>
    </w:p>
    <w:p>
      <w:pPr>
        <w:spacing w:after="0" w:line="120" w:lineRule="exact"/>
        <w:rPr>
          <w:rFonts w:ascii="Arial" w:cs="Arial" w:eastAsia="Arial" w:hAnsi="Arial"/>
          <w:sz w:val="18"/>
          <w:szCs w:val="18"/>
          <w:color w:val="58595B"/>
        </w:rPr>
      </w:pPr>
    </w:p>
    <w:p>
      <w:pPr>
        <w:ind w:left="1280" w:hanging="286"/>
        <w:spacing w:after="0"/>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The business environment and our business objectives and strategy;</w:t>
      </w:r>
    </w:p>
    <w:p>
      <w:pPr>
        <w:spacing w:after="0" w:line="175" w:lineRule="exact"/>
        <w:rPr>
          <w:rFonts w:ascii="Arial" w:cs="Arial" w:eastAsia="Arial" w:hAnsi="Arial"/>
          <w:sz w:val="18"/>
          <w:szCs w:val="18"/>
          <w:color w:val="58595B"/>
        </w:rPr>
      </w:pPr>
    </w:p>
    <w:p>
      <w:pPr>
        <w:ind w:left="1280" w:hanging="286"/>
        <w:spacing w:after="0"/>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Our financial performance in the prior year;</w:t>
      </w:r>
    </w:p>
    <w:p>
      <w:pPr>
        <w:spacing w:after="0" w:line="175" w:lineRule="exact"/>
        <w:rPr>
          <w:rFonts w:ascii="Arial" w:cs="Arial" w:eastAsia="Arial" w:hAnsi="Arial"/>
          <w:sz w:val="18"/>
          <w:szCs w:val="18"/>
          <w:color w:val="58595B"/>
        </w:rPr>
      </w:pPr>
    </w:p>
    <w:p>
      <w:pPr>
        <w:ind w:left="1280" w:right="620" w:hanging="286"/>
        <w:spacing w:after="0" w:line="266" w:lineRule="auto"/>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The need to retain and motivate executives (in the current business cycle, it is critical that we not lose key talent and long-term incentives help to retain key executives);</w:t>
      </w:r>
    </w:p>
    <w:p>
      <w:pPr>
        <w:spacing w:after="0" w:line="120" w:lineRule="exact"/>
        <w:rPr>
          <w:rFonts w:ascii="Arial" w:cs="Arial" w:eastAsia="Arial" w:hAnsi="Arial"/>
          <w:sz w:val="18"/>
          <w:szCs w:val="18"/>
          <w:color w:val="58595B"/>
        </w:rPr>
      </w:pPr>
    </w:p>
    <w:p>
      <w:pPr>
        <w:ind w:left="1280" w:hanging="286"/>
        <w:spacing w:after="0"/>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Corporate governance and regulatory factors related to executive compensation; and</w:t>
      </w:r>
    </w:p>
    <w:p>
      <w:pPr>
        <w:spacing w:after="0" w:line="175" w:lineRule="exact"/>
        <w:rPr>
          <w:rFonts w:ascii="Arial" w:cs="Arial" w:eastAsia="Arial" w:hAnsi="Arial"/>
          <w:sz w:val="18"/>
          <w:szCs w:val="18"/>
          <w:color w:val="58595B"/>
        </w:rPr>
      </w:pPr>
    </w:p>
    <w:p>
      <w:pPr>
        <w:ind w:left="1280" w:hanging="286"/>
        <w:spacing w:after="0"/>
        <w:tabs>
          <w:tab w:leader="none" w:pos="1280" w:val="left"/>
        </w:tabs>
        <w:numPr>
          <w:ilvl w:val="0"/>
          <w:numId w:val="50"/>
        </w:numPr>
        <w:rPr>
          <w:rFonts w:ascii="Arial" w:cs="Arial" w:eastAsia="Arial" w:hAnsi="Arial"/>
          <w:sz w:val="18"/>
          <w:szCs w:val="18"/>
          <w:color w:val="58595B"/>
        </w:rPr>
      </w:pPr>
      <w:r>
        <w:rPr>
          <w:rFonts w:ascii="Arial" w:cs="Arial" w:eastAsia="Arial" w:hAnsi="Arial"/>
          <w:sz w:val="18"/>
          <w:szCs w:val="18"/>
          <w:color w:val="58595B"/>
        </w:rPr>
        <w:t>Marketplace compensation levels and practices and the competitive environment for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124460</wp:posOffset>
            </wp:positionV>
            <wp:extent cx="7144385" cy="297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49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833" w:right="879" w:bottom="1440" w:gutter="0" w:footer="0" w:header="0"/>
        </w:sectPr>
      </w:pPr>
    </w:p>
    <w:bookmarkStart w:id="53" w:name="page54"/>
    <w:bookmarkEnd w:id="53"/>
    <w:p>
      <w:pPr>
        <w:ind w:left="1180" w:right="920"/>
        <w:spacing w:after="0" w:line="232" w:lineRule="auto"/>
        <w:rPr>
          <w:sz w:val="20"/>
          <w:szCs w:val="20"/>
          <w:color w:val="auto"/>
        </w:rPr>
      </w:pPr>
      <w:r>
        <w:rPr>
          <w:rFonts w:ascii="Arial" w:cs="Arial" w:eastAsia="Arial" w:hAnsi="Arial"/>
          <w:sz w:val="18"/>
          <w:szCs w:val="18"/>
          <w:color w:val="58595B"/>
        </w:rPr>
        <w:t>In evaluating the compensation of our named executive officers, our compensation committee considers the recommendations of our Chairman with respect to our Executive Vice-Chairman. Our compensation committee also considers our Executive Vice-Chairman's recommendations with respect to our Chief Executive Officer's compensation and considers our Chief Executive Officer's recommendations with respect to the compensation of his direct reports. In making their recommendations, our Chairman, Executive Vice-Chairman and Chief Executive Officer review the performance of the other named executive officers, job responsibilities, importance to our overall business strategy, marketplace compensation levels and our compensation philosophy. Neither our Chairman, the Executive Vice-Chairman nor our Chief Executive Officer makes a recommendation to our compensation committee regarding his own compensation. The compensation decisions are not formulaic, and the members of our compensation committee did not assign precise weights to the factors listed above. Our compensation committee utilized their individual and collective business judgment to review, assess, and approve compensation for our named executive officers.</w:t>
      </w:r>
    </w:p>
    <w:p>
      <w:pPr>
        <w:spacing w:after="0" w:line="150" w:lineRule="exact"/>
        <w:rPr>
          <w:sz w:val="20"/>
          <w:szCs w:val="20"/>
          <w:color w:val="auto"/>
        </w:rPr>
      </w:pPr>
    </w:p>
    <w:p>
      <w:pPr>
        <w:ind w:left="1180" w:right="980"/>
        <w:spacing w:after="0" w:line="234" w:lineRule="auto"/>
        <w:rPr>
          <w:sz w:val="20"/>
          <w:szCs w:val="20"/>
          <w:color w:val="auto"/>
        </w:rPr>
      </w:pPr>
      <w:r>
        <w:rPr>
          <w:rFonts w:ascii="Arial" w:cs="Arial" w:eastAsia="Arial" w:hAnsi="Arial"/>
          <w:sz w:val="18"/>
          <w:szCs w:val="18"/>
          <w:color w:val="58595B"/>
        </w:rPr>
        <w:t>To assist our compensation committee, in February 2025 and in November 2025, the compensation consultant conducted marketplace reviews of the compensation we pay to our executive officers. They gathered marketplace compensation data on total compensation, which consists of annual salary, annual incentives, long-term incentives, executive benefits, executive ownership levels, overhang and dilution from our omnibus incentive plan, compensation levels as a percentage of revenue, pay mix and other key statistics. This data is collected and analyzed twice during the year, once in the first quarter with respect to base salary and target bonus, and again in the fourth quarter with respect to total compensation and long-term incentive values. The marketplace compensation data provides a point of reference for our compensation committee, but our compensation committee ultimately makes subjective compensation decisions based on all the factors described above.</w:t>
      </w:r>
    </w:p>
    <w:p>
      <w:pPr>
        <w:spacing w:after="0" w:line="143" w:lineRule="exact"/>
        <w:rPr>
          <w:sz w:val="20"/>
          <w:szCs w:val="20"/>
          <w:color w:val="auto"/>
        </w:rPr>
      </w:pPr>
    </w:p>
    <w:p>
      <w:pPr>
        <w:ind w:left="1180" w:right="1140"/>
        <w:spacing w:after="0" w:line="241" w:lineRule="auto"/>
        <w:rPr>
          <w:sz w:val="20"/>
          <w:szCs w:val="20"/>
          <w:color w:val="auto"/>
        </w:rPr>
      </w:pPr>
      <w:r>
        <w:rPr>
          <w:rFonts w:ascii="Arial" w:cs="Arial" w:eastAsia="Arial" w:hAnsi="Arial"/>
          <w:sz w:val="18"/>
          <w:szCs w:val="18"/>
          <w:color w:val="58595B"/>
        </w:rPr>
        <w:t>The compensation consultant used two marketplace data approaches: (1) a general executive compensation survey with a specific focus on companies with revenues between one-half to two times FNF's annual revenue, and (2) compensation information for a group of 17 companies, or the FNF peer group. The committee removed one company from our peer group in November 2025 due to its size.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ind w:left="1180"/>
              <w:spacing w:after="0"/>
              <w:rPr>
                <w:sz w:val="20"/>
                <w:szCs w:val="20"/>
                <w:color w:val="auto"/>
              </w:rPr>
            </w:pPr>
            <w:r>
              <w:rPr>
                <w:rFonts w:ascii="Arial" w:cs="Arial" w:eastAsia="Arial" w:hAnsi="Arial"/>
                <w:sz w:val="18"/>
                <w:szCs w:val="18"/>
                <w:color w:val="58595B"/>
              </w:rPr>
              <w:t>The 2025 peer group consisted of:</w:t>
            </w:r>
          </w:p>
        </w:tc>
        <w:tc>
          <w:tcPr>
            <w:tcW w:w="6380" w:type="dxa"/>
            <w:vAlign w:val="bottom"/>
          </w:tcPr>
          <w:p>
            <w:pPr>
              <w:spacing w:after="0"/>
              <w:rPr>
                <w:sz w:val="20"/>
                <w:szCs w:val="20"/>
                <w:color w:val="auto"/>
              </w:rPr>
            </w:pPr>
          </w:p>
        </w:tc>
      </w:tr>
      <w:tr>
        <w:trPr>
          <w:trHeight w:val="382"/>
        </w:trPr>
        <w:tc>
          <w:tcPr>
            <w:tcW w:w="4860" w:type="dxa"/>
            <w:vAlign w:val="bottom"/>
          </w:tcPr>
          <w:p>
            <w:pPr>
              <w:ind w:left="1600"/>
              <w:spacing w:after="0"/>
              <w:rPr>
                <w:sz w:val="20"/>
                <w:szCs w:val="20"/>
                <w:color w:val="auto"/>
              </w:rPr>
            </w:pPr>
            <w:r>
              <w:rPr>
                <w:rFonts w:ascii="Arial" w:cs="Arial" w:eastAsia="Arial" w:hAnsi="Arial"/>
                <w:sz w:val="18"/>
                <w:szCs w:val="18"/>
                <w:color w:val="58595B"/>
              </w:rPr>
              <w:t>Aflac Incorporated</w:t>
            </w:r>
          </w:p>
        </w:tc>
        <w:tc>
          <w:tcPr>
            <w:tcW w:w="6380" w:type="dxa"/>
            <w:vAlign w:val="bottom"/>
          </w:tcPr>
          <w:p>
            <w:pPr>
              <w:ind w:left="320"/>
              <w:spacing w:after="0"/>
              <w:rPr>
                <w:sz w:val="20"/>
                <w:szCs w:val="20"/>
                <w:color w:val="auto"/>
              </w:rPr>
            </w:pPr>
            <w:r>
              <w:rPr>
                <w:rFonts w:ascii="Arial" w:cs="Arial" w:eastAsia="Arial" w:hAnsi="Arial"/>
                <w:sz w:val="18"/>
                <w:szCs w:val="18"/>
                <w:color w:val="58595B"/>
              </w:rPr>
              <w:t>Loews Corporation</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American Financial Group</w:t>
            </w:r>
          </w:p>
        </w:tc>
        <w:tc>
          <w:tcPr>
            <w:tcW w:w="6380" w:type="dxa"/>
            <w:vAlign w:val="bottom"/>
          </w:tcPr>
          <w:p>
            <w:pPr>
              <w:ind w:left="320"/>
              <w:spacing w:after="0"/>
              <w:rPr>
                <w:sz w:val="20"/>
                <w:szCs w:val="20"/>
                <w:color w:val="auto"/>
              </w:rPr>
            </w:pPr>
            <w:r>
              <w:rPr>
                <w:rFonts w:ascii="Arial" w:cs="Arial" w:eastAsia="Arial" w:hAnsi="Arial"/>
                <w:sz w:val="18"/>
                <w:szCs w:val="18"/>
                <w:color w:val="58595B"/>
              </w:rPr>
              <w:t>Markel Group Inc</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Arch Capital Group Ltd.</w:t>
            </w:r>
          </w:p>
        </w:tc>
        <w:tc>
          <w:tcPr>
            <w:tcW w:w="6380" w:type="dxa"/>
            <w:vAlign w:val="bottom"/>
          </w:tcPr>
          <w:p>
            <w:pPr>
              <w:ind w:left="320"/>
              <w:spacing w:after="0"/>
              <w:rPr>
                <w:sz w:val="20"/>
                <w:szCs w:val="20"/>
                <w:color w:val="auto"/>
              </w:rPr>
            </w:pPr>
            <w:r>
              <w:rPr>
                <w:rFonts w:ascii="Arial" w:cs="Arial" w:eastAsia="Arial" w:hAnsi="Arial"/>
                <w:sz w:val="18"/>
                <w:szCs w:val="18"/>
                <w:color w:val="58595B"/>
              </w:rPr>
              <w:t>Old Republic International</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Assurant Inc.</w:t>
            </w:r>
          </w:p>
        </w:tc>
        <w:tc>
          <w:tcPr>
            <w:tcW w:w="6380" w:type="dxa"/>
            <w:vAlign w:val="bottom"/>
          </w:tcPr>
          <w:p>
            <w:pPr>
              <w:ind w:left="320"/>
              <w:spacing w:after="0"/>
              <w:rPr>
                <w:sz w:val="20"/>
                <w:szCs w:val="20"/>
                <w:color w:val="auto"/>
              </w:rPr>
            </w:pPr>
            <w:r>
              <w:rPr>
                <w:rFonts w:ascii="Arial" w:cs="Arial" w:eastAsia="Arial" w:hAnsi="Arial"/>
                <w:sz w:val="18"/>
                <w:szCs w:val="18"/>
                <w:color w:val="58595B"/>
              </w:rPr>
              <w:t>Principal Financial Group, Inc.</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Cincinnati Financial Corporation</w:t>
            </w:r>
          </w:p>
        </w:tc>
        <w:tc>
          <w:tcPr>
            <w:tcW w:w="6380" w:type="dxa"/>
            <w:vAlign w:val="bottom"/>
          </w:tcPr>
          <w:p>
            <w:pPr>
              <w:ind w:left="320"/>
              <w:spacing w:after="0"/>
              <w:rPr>
                <w:sz w:val="20"/>
                <w:szCs w:val="20"/>
                <w:color w:val="auto"/>
              </w:rPr>
            </w:pPr>
            <w:r>
              <w:rPr>
                <w:rFonts w:ascii="Arial" w:cs="Arial" w:eastAsia="Arial" w:hAnsi="Arial"/>
                <w:sz w:val="18"/>
                <w:szCs w:val="18"/>
                <w:color w:val="58595B"/>
              </w:rPr>
              <w:t>The Hartford Financial Services Group, Inc.</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CNA Financial Corporation</w:t>
            </w:r>
          </w:p>
        </w:tc>
        <w:tc>
          <w:tcPr>
            <w:tcW w:w="6380" w:type="dxa"/>
            <w:vAlign w:val="bottom"/>
          </w:tcPr>
          <w:p>
            <w:pPr>
              <w:ind w:left="320"/>
              <w:spacing w:after="0"/>
              <w:rPr>
                <w:sz w:val="20"/>
                <w:szCs w:val="20"/>
                <w:color w:val="auto"/>
              </w:rPr>
            </w:pPr>
            <w:r>
              <w:rPr>
                <w:rFonts w:ascii="Arial" w:cs="Arial" w:eastAsia="Arial" w:hAnsi="Arial"/>
                <w:sz w:val="18"/>
                <w:szCs w:val="18"/>
                <w:color w:val="58595B"/>
              </w:rPr>
              <w:t>Reinsurance Group of America, Incorporated</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Equitable Holdings, Inc.</w:t>
            </w:r>
          </w:p>
        </w:tc>
        <w:tc>
          <w:tcPr>
            <w:tcW w:w="6380" w:type="dxa"/>
            <w:vAlign w:val="bottom"/>
          </w:tcPr>
          <w:p>
            <w:pPr>
              <w:ind w:left="320"/>
              <w:spacing w:after="0"/>
              <w:rPr>
                <w:sz w:val="20"/>
                <w:szCs w:val="20"/>
                <w:color w:val="auto"/>
              </w:rPr>
            </w:pPr>
            <w:r>
              <w:rPr>
                <w:rFonts w:ascii="Arial" w:cs="Arial" w:eastAsia="Arial" w:hAnsi="Arial"/>
                <w:sz w:val="18"/>
                <w:szCs w:val="18"/>
                <w:color w:val="58595B"/>
              </w:rPr>
              <w:t>Unum Group</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First American Financial Corporation</w:t>
            </w:r>
          </w:p>
        </w:tc>
        <w:tc>
          <w:tcPr>
            <w:tcW w:w="6380" w:type="dxa"/>
            <w:vAlign w:val="bottom"/>
          </w:tcPr>
          <w:p>
            <w:pPr>
              <w:ind w:left="320"/>
              <w:spacing w:after="0"/>
              <w:rPr>
                <w:sz w:val="20"/>
                <w:szCs w:val="20"/>
                <w:color w:val="auto"/>
              </w:rPr>
            </w:pPr>
            <w:r>
              <w:rPr>
                <w:rFonts w:ascii="Arial" w:cs="Arial" w:eastAsia="Arial" w:hAnsi="Arial"/>
                <w:sz w:val="18"/>
                <w:szCs w:val="18"/>
                <w:color w:val="58595B"/>
              </w:rPr>
              <w:t>W.R. Berkley Corporation</w:t>
            </w:r>
          </w:p>
        </w:tc>
      </w:tr>
      <w:tr>
        <w:trPr>
          <w:trHeight w:val="320"/>
        </w:trPr>
        <w:tc>
          <w:tcPr>
            <w:tcW w:w="4860" w:type="dxa"/>
            <w:vAlign w:val="bottom"/>
          </w:tcPr>
          <w:p>
            <w:pPr>
              <w:ind w:left="1600"/>
              <w:spacing w:after="0"/>
              <w:rPr>
                <w:sz w:val="20"/>
                <w:szCs w:val="20"/>
                <w:color w:val="auto"/>
              </w:rPr>
            </w:pPr>
            <w:r>
              <w:rPr>
                <w:rFonts w:ascii="Arial" w:cs="Arial" w:eastAsia="Arial" w:hAnsi="Arial"/>
                <w:sz w:val="18"/>
                <w:szCs w:val="18"/>
                <w:color w:val="58595B"/>
              </w:rPr>
              <w:t>Lincoln National Corp.</w:t>
            </w:r>
          </w:p>
        </w:tc>
        <w:tc>
          <w:tcPr>
            <w:tcW w:w="6380" w:type="dxa"/>
            <w:vAlign w:val="bottom"/>
          </w:tcPr>
          <w:p>
            <w:pPr>
              <w:spacing w:after="0"/>
              <w:rPr>
                <w:sz w:val="24"/>
                <w:szCs w:val="24"/>
                <w:color w:val="auto"/>
              </w:rPr>
            </w:pPr>
          </w:p>
        </w:tc>
      </w:tr>
      <w:tr>
        <w:trPr>
          <w:trHeight w:val="164"/>
        </w:trPr>
        <w:tc>
          <w:tcPr>
            <w:tcW w:w="4860" w:type="dxa"/>
            <w:vAlign w:val="bottom"/>
          </w:tcPr>
          <w:p>
            <w:pPr>
              <w:spacing w:after="0"/>
              <w:rPr>
                <w:sz w:val="14"/>
                <w:szCs w:val="14"/>
                <w:color w:val="auto"/>
              </w:rPr>
            </w:pPr>
          </w:p>
        </w:tc>
        <w:tc>
          <w:tcPr>
            <w:tcW w:w="6380" w:type="dxa"/>
            <w:vAlign w:val="bottom"/>
          </w:tcPr>
          <w:p>
            <w:pPr>
              <w:spacing w:after="0"/>
              <w:rPr>
                <w:sz w:val="14"/>
                <w:szCs w:val="14"/>
                <w:color w:val="auto"/>
              </w:rPr>
            </w:pPr>
          </w:p>
        </w:tc>
      </w:tr>
      <w:tr>
        <w:trPr>
          <w:trHeight w:val="329"/>
        </w:trPr>
        <w:tc>
          <w:tcPr>
            <w:tcW w:w="4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6380" w:type="dxa"/>
            <w:vAlign w:val="bottom"/>
            <w:shd w:val="clear" w:color="auto" w:fill="5B769B"/>
          </w:tcPr>
          <w:p>
            <w:pPr>
              <w:ind w:left="5840"/>
              <w:spacing w:after="0"/>
              <w:rPr>
                <w:sz w:val="20"/>
                <w:szCs w:val="20"/>
                <w:color w:val="auto"/>
              </w:rPr>
            </w:pPr>
            <w:r>
              <w:rPr>
                <w:rFonts w:ascii="Arial" w:cs="Arial" w:eastAsia="Arial" w:hAnsi="Arial"/>
                <w:sz w:val="18"/>
                <w:szCs w:val="18"/>
                <w:color w:val="FFFFFF"/>
              </w:rPr>
              <w:t>50</w:t>
            </w:r>
          </w:p>
        </w:tc>
      </w:tr>
      <w:tr>
        <w:trPr>
          <w:trHeight w:val="139"/>
        </w:trPr>
        <w:tc>
          <w:tcPr>
            <w:tcW w:w="4860" w:type="dxa"/>
            <w:vAlign w:val="bottom"/>
            <w:shd w:val="clear" w:color="auto" w:fill="5B769B"/>
          </w:tcPr>
          <w:p>
            <w:pPr>
              <w:spacing w:after="0"/>
              <w:rPr>
                <w:sz w:val="12"/>
                <w:szCs w:val="12"/>
                <w:color w:val="auto"/>
              </w:rPr>
            </w:pPr>
          </w:p>
        </w:tc>
        <w:tc>
          <w:tcPr>
            <w:tcW w:w="6380" w:type="dxa"/>
            <w:vAlign w:val="bottom"/>
            <w:shd w:val="clear" w:color="auto" w:fill="5B769B"/>
          </w:tcPr>
          <w:p>
            <w:pPr>
              <w:spacing w:after="0"/>
              <w:rPr>
                <w:sz w:val="12"/>
                <w:szCs w:val="12"/>
                <w:color w:val="auto"/>
              </w:rPr>
            </w:pPr>
          </w:p>
        </w:tc>
      </w:tr>
      <w:tr>
        <w:trPr>
          <w:trHeight w:val="37"/>
        </w:trPr>
        <w:tc>
          <w:tcPr>
            <w:tcW w:w="4860" w:type="dxa"/>
            <w:vAlign w:val="bottom"/>
          </w:tcPr>
          <w:p>
            <w:pPr>
              <w:spacing w:after="0"/>
              <w:rPr>
                <w:sz w:val="3"/>
                <w:szCs w:val="3"/>
                <w:color w:val="auto"/>
              </w:rPr>
            </w:pPr>
          </w:p>
        </w:tc>
        <w:tc>
          <w:tcPr>
            <w:tcW w:w="6380" w:type="dxa"/>
            <w:vAlign w:val="bottom"/>
          </w:tcPr>
          <w:p>
            <w:pPr>
              <w:spacing w:after="0"/>
              <w:rPr>
                <w:sz w:val="3"/>
                <w:szCs w:val="3"/>
                <w:color w:val="auto"/>
              </w:rPr>
            </w:pPr>
          </w:p>
        </w:tc>
      </w:tr>
      <w:tr>
        <w:trPr>
          <w:trHeight w:val="271"/>
        </w:trPr>
        <w:tc>
          <w:tcPr>
            <w:tcW w:w="4860" w:type="dxa"/>
            <w:vAlign w:val="bottom"/>
            <w:shd w:val="clear" w:color="auto" w:fill="274F78"/>
          </w:tcPr>
          <w:p>
            <w:pPr>
              <w:spacing w:after="0"/>
              <w:rPr>
                <w:sz w:val="23"/>
                <w:szCs w:val="23"/>
                <w:color w:val="auto"/>
              </w:rPr>
            </w:pPr>
          </w:p>
        </w:tc>
        <w:tc>
          <w:tcPr>
            <w:tcW w:w="6380" w:type="dxa"/>
            <w:vAlign w:val="bottom"/>
            <w:shd w:val="clear" w:color="auto" w:fill="274F78"/>
          </w:tcPr>
          <w:p>
            <w:pPr>
              <w:spacing w:after="0"/>
              <w:rPr>
                <w:sz w:val="23"/>
                <w:szCs w:val="23"/>
                <w:color w:val="auto"/>
              </w:rPr>
            </w:pPr>
          </w:p>
        </w:tc>
      </w:tr>
      <w:tr>
        <w:trPr>
          <w:trHeight w:val="394"/>
        </w:trPr>
        <w:tc>
          <w:tcPr>
            <w:tcW w:w="4860" w:type="dxa"/>
            <w:vAlign w:val="bottom"/>
            <w:tcBorders>
              <w:bottom w:val="single" w:sz="8" w:color="58595B"/>
            </w:tcBorders>
          </w:tcPr>
          <w:p>
            <w:pPr>
              <w:spacing w:after="0"/>
              <w:rPr>
                <w:sz w:val="24"/>
                <w:szCs w:val="24"/>
                <w:color w:val="auto"/>
              </w:rPr>
            </w:pPr>
          </w:p>
        </w:tc>
        <w:tc>
          <w:tcPr>
            <w:tcW w:w="638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4" w:name="page55"/>
    <w:bookmarkEnd w:id="54"/>
    <w:p>
      <w:pPr>
        <w:ind w:left="1180" w:right="1180"/>
        <w:spacing w:after="0" w:line="241" w:lineRule="auto"/>
        <w:rPr>
          <w:sz w:val="20"/>
          <w:szCs w:val="20"/>
          <w:color w:val="auto"/>
        </w:rPr>
      </w:pPr>
      <w:r>
        <w:rPr>
          <w:rFonts w:ascii="Arial" w:cs="Arial" w:eastAsia="Arial" w:hAnsi="Arial"/>
          <w:sz w:val="18"/>
          <w:szCs w:val="18"/>
          <w:color w:val="58595B"/>
        </w:rPr>
        <w:t>Our named executive officers' 2025 total direct compensation (consisting of base salaries, annual performance-based cash incentives and long-term equity incentives) generally fell near the 50th percentile of the peer group data, with base salaries falling slightly below the 50th percentile. This approach aligns with our philosophy of emphasizing variable performance-based compensation over fixed compensation.</w:t>
      </w:r>
    </w:p>
    <w:p>
      <w:pPr>
        <w:spacing w:after="0" w:line="142" w:lineRule="exact"/>
        <w:rPr>
          <w:sz w:val="20"/>
          <w:szCs w:val="20"/>
          <w:color w:val="auto"/>
        </w:rPr>
      </w:pPr>
    </w:p>
    <w:p>
      <w:pPr>
        <w:ind w:left="1180" w:right="1120"/>
        <w:spacing w:after="0" w:line="247" w:lineRule="auto"/>
        <w:rPr>
          <w:sz w:val="20"/>
          <w:szCs w:val="20"/>
          <w:color w:val="auto"/>
        </w:rPr>
      </w:pPr>
      <w:r>
        <w:rPr>
          <w:rFonts w:ascii="Arial" w:cs="Arial" w:eastAsia="Arial" w:hAnsi="Arial"/>
          <w:sz w:val="18"/>
          <w:szCs w:val="18"/>
          <w:color w:val="58595B"/>
        </w:rPr>
        <w:t>While the compensation decisions of our compensation committee ultimately were subjective judgments, our compensation committee also considered the following factors in making compensation decisions for our named executive officers:</w:t>
      </w:r>
    </w:p>
    <w:p>
      <w:pPr>
        <w:spacing w:after="0" w:line="137" w:lineRule="exact"/>
        <w:rPr>
          <w:sz w:val="20"/>
          <w:szCs w:val="20"/>
          <w:color w:val="auto"/>
        </w:rPr>
      </w:pPr>
    </w:p>
    <w:p>
      <w:pPr>
        <w:ind w:left="1640" w:hanging="286"/>
        <w:spacing w:after="0"/>
        <w:tabs>
          <w:tab w:leader="none" w:pos="1640" w:val="left"/>
        </w:tabs>
        <w:numPr>
          <w:ilvl w:val="0"/>
          <w:numId w:val="51"/>
        </w:numPr>
        <w:rPr>
          <w:rFonts w:ascii="Arial" w:cs="Arial" w:eastAsia="Arial" w:hAnsi="Arial"/>
          <w:sz w:val="18"/>
          <w:szCs w:val="18"/>
          <w:color w:val="58595B"/>
        </w:rPr>
      </w:pPr>
      <w:r>
        <w:rPr>
          <w:rFonts w:ascii="Arial" w:cs="Arial" w:eastAsia="Arial" w:hAnsi="Arial"/>
          <w:sz w:val="18"/>
          <w:szCs w:val="18"/>
          <w:color w:val="58595B"/>
        </w:rPr>
        <w:t>FNF's overall performance, both past and expected future performance,</w:t>
      </w:r>
    </w:p>
    <w:p>
      <w:pPr>
        <w:spacing w:after="0" w:line="175" w:lineRule="exact"/>
        <w:rPr>
          <w:rFonts w:ascii="Arial" w:cs="Arial" w:eastAsia="Arial" w:hAnsi="Arial"/>
          <w:sz w:val="18"/>
          <w:szCs w:val="18"/>
          <w:color w:val="58595B"/>
        </w:rPr>
      </w:pPr>
    </w:p>
    <w:p>
      <w:pPr>
        <w:ind w:left="1640" w:hanging="286"/>
        <w:spacing w:after="0"/>
        <w:tabs>
          <w:tab w:leader="none" w:pos="1640" w:val="left"/>
        </w:tabs>
        <w:numPr>
          <w:ilvl w:val="0"/>
          <w:numId w:val="51"/>
        </w:numPr>
        <w:rPr>
          <w:rFonts w:ascii="Arial" w:cs="Arial" w:eastAsia="Arial" w:hAnsi="Arial"/>
          <w:sz w:val="18"/>
          <w:szCs w:val="18"/>
          <w:color w:val="58595B"/>
        </w:rPr>
      </w:pPr>
      <w:r>
        <w:rPr>
          <w:rFonts w:ascii="Arial" w:cs="Arial" w:eastAsia="Arial" w:hAnsi="Arial"/>
          <w:sz w:val="18"/>
          <w:szCs w:val="18"/>
          <w:color w:val="58595B"/>
        </w:rPr>
        <w:t>FNF's success with mergers and acquisitions,</w:t>
      </w:r>
    </w:p>
    <w:p>
      <w:pPr>
        <w:spacing w:after="0" w:line="175" w:lineRule="exact"/>
        <w:rPr>
          <w:rFonts w:ascii="Arial" w:cs="Arial" w:eastAsia="Arial" w:hAnsi="Arial"/>
          <w:sz w:val="18"/>
          <w:szCs w:val="18"/>
          <w:color w:val="58595B"/>
        </w:rPr>
      </w:pPr>
    </w:p>
    <w:p>
      <w:pPr>
        <w:ind w:left="1640" w:hanging="286"/>
        <w:spacing w:after="0"/>
        <w:tabs>
          <w:tab w:leader="none" w:pos="1640" w:val="left"/>
        </w:tabs>
        <w:numPr>
          <w:ilvl w:val="0"/>
          <w:numId w:val="51"/>
        </w:numPr>
        <w:rPr>
          <w:rFonts w:ascii="Arial" w:cs="Arial" w:eastAsia="Arial" w:hAnsi="Arial"/>
          <w:sz w:val="18"/>
          <w:szCs w:val="18"/>
          <w:color w:val="58595B"/>
        </w:rPr>
      </w:pPr>
      <w:r>
        <w:rPr>
          <w:rFonts w:ascii="Arial" w:cs="Arial" w:eastAsia="Arial" w:hAnsi="Arial"/>
          <w:sz w:val="18"/>
          <w:szCs w:val="18"/>
          <w:color w:val="58595B"/>
        </w:rPr>
        <w:t>Return to shareholders with both dividends and stock price performance,</w:t>
      </w:r>
    </w:p>
    <w:p>
      <w:pPr>
        <w:spacing w:after="0" w:line="175" w:lineRule="exact"/>
        <w:rPr>
          <w:rFonts w:ascii="Arial" w:cs="Arial" w:eastAsia="Arial" w:hAnsi="Arial"/>
          <w:sz w:val="18"/>
          <w:szCs w:val="18"/>
          <w:color w:val="58595B"/>
        </w:rPr>
      </w:pPr>
    </w:p>
    <w:p>
      <w:pPr>
        <w:ind w:left="1640" w:right="1060" w:hanging="286"/>
        <w:spacing w:after="0" w:line="247" w:lineRule="auto"/>
        <w:tabs>
          <w:tab w:leader="none" w:pos="1640" w:val="left"/>
        </w:tabs>
        <w:numPr>
          <w:ilvl w:val="0"/>
          <w:numId w:val="51"/>
        </w:numPr>
        <w:rPr>
          <w:rFonts w:ascii="Arial" w:cs="Arial" w:eastAsia="Arial" w:hAnsi="Arial"/>
          <w:sz w:val="18"/>
          <w:szCs w:val="18"/>
          <w:color w:val="58595B"/>
        </w:rPr>
      </w:pPr>
      <w:r>
        <w:rPr>
          <w:rFonts w:ascii="Arial" w:cs="Arial" w:eastAsia="Arial" w:hAnsi="Arial"/>
          <w:sz w:val="18"/>
          <w:szCs w:val="18"/>
          <w:color w:val="58595B"/>
        </w:rPr>
        <w:t>Accomplishments with respect to each individual officer, such as individual performance over the past year, objectives to achieve over future quarters, performance expectations from the Board, years of service to FNF, and the impact that the officer will have to FNF's performance going forward, and</w:t>
      </w:r>
    </w:p>
    <w:p>
      <w:pPr>
        <w:spacing w:after="0" w:line="137" w:lineRule="exact"/>
        <w:rPr>
          <w:rFonts w:ascii="Arial" w:cs="Arial" w:eastAsia="Arial" w:hAnsi="Arial"/>
          <w:sz w:val="18"/>
          <w:szCs w:val="18"/>
          <w:color w:val="58595B"/>
        </w:rPr>
      </w:pPr>
    </w:p>
    <w:p>
      <w:pPr>
        <w:ind w:left="1640" w:hanging="286"/>
        <w:spacing w:after="0"/>
        <w:tabs>
          <w:tab w:leader="none" w:pos="1640" w:val="left"/>
        </w:tabs>
        <w:numPr>
          <w:ilvl w:val="0"/>
          <w:numId w:val="51"/>
        </w:numPr>
        <w:rPr>
          <w:rFonts w:ascii="Arial" w:cs="Arial" w:eastAsia="Arial" w:hAnsi="Arial"/>
          <w:sz w:val="18"/>
          <w:szCs w:val="18"/>
          <w:color w:val="58595B"/>
        </w:rPr>
      </w:pPr>
      <w:r>
        <w:rPr>
          <w:rFonts w:ascii="Arial" w:cs="Arial" w:eastAsia="Arial" w:hAnsi="Arial"/>
          <w:sz w:val="18"/>
          <w:szCs w:val="18"/>
          <w:color w:val="58595B"/>
        </w:rPr>
        <w:t>The external marketplace within the insurance industry along with market trends and the advice from SCG.</w:t>
      </w:r>
    </w:p>
    <w:p>
      <w:pPr>
        <w:spacing w:after="0" w:line="175" w:lineRule="exact"/>
        <w:rPr>
          <w:sz w:val="20"/>
          <w:szCs w:val="20"/>
          <w:color w:val="auto"/>
        </w:rPr>
      </w:pPr>
    </w:p>
    <w:p>
      <w:pPr>
        <w:ind w:left="1180" w:right="1180"/>
        <w:spacing w:after="0" w:line="266" w:lineRule="auto"/>
        <w:rPr>
          <w:sz w:val="20"/>
          <w:szCs w:val="20"/>
          <w:color w:val="auto"/>
        </w:rPr>
      </w:pPr>
      <w:r>
        <w:rPr>
          <w:rFonts w:ascii="Arial" w:cs="Arial" w:eastAsia="Arial" w:hAnsi="Arial"/>
          <w:sz w:val="18"/>
          <w:szCs w:val="18"/>
          <w:color w:val="58595B"/>
        </w:rPr>
        <w:t>The marketplace compensation information in this discussion is not deemed filed or a part of this compensation discussion and analysis for certification purposes.</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OUR NAMED EXECUTIVE OFFICERS HAVE SIGNIFICANT OWNERSHIP STAKES</w:t>
      </w:r>
    </w:p>
    <w:p>
      <w:pPr>
        <w:spacing w:after="0" w:line="193" w:lineRule="exact"/>
        <w:rPr>
          <w:sz w:val="20"/>
          <w:szCs w:val="20"/>
          <w:color w:val="auto"/>
        </w:rPr>
      </w:pPr>
    </w:p>
    <w:p>
      <w:pPr>
        <w:ind w:left="1180" w:right="880"/>
        <w:spacing w:after="0" w:line="233" w:lineRule="auto"/>
        <w:rPr>
          <w:sz w:val="20"/>
          <w:szCs w:val="20"/>
          <w:color w:val="auto"/>
        </w:rPr>
      </w:pPr>
      <w:r>
        <w:rPr>
          <w:rFonts w:ascii="Arial" w:cs="Arial" w:eastAsia="Arial" w:hAnsi="Arial"/>
          <w:sz w:val="18"/>
          <w:szCs w:val="18"/>
          <w:color w:val="58595B"/>
        </w:rPr>
        <w:t>We have formal stock ownership guidelines for all named executive officers and members of our board of directors. The guidelines were established to encourage such individuals to hold a multiple of their base salary (or annual retainer) in our common stock and thereby align a significant portion of their own economic interests with those of our shareholders. Further, the award agreements for our 2025 restricted stock awards provide that our executives who do not hold shares of our stock with a value sufficient to satisfy the applicable stock ownership guidelines must retain 50% of the shares acquired as a result of the lapse of vesting restrictions (excluding shares withheld in satisfaction of tax withholding obligations) until the executive satisfies the applicable stock ownership guideline. The ownership levels are shown in the "Security Ownership of Management and Directors" table below. The guidelines call for the executive or director to reach the ownership multiple within four years. Shares of restricted stock count toward meeting the guidelines. The guidelines, including those applicable to non-employee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104775</wp:posOffset>
            </wp:positionV>
            <wp:extent cx="7620" cy="195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 cy="19558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200" w:type="dxa"/>
            <w:vAlign w:val="bottom"/>
            <w:tcBorders>
              <w:right w:val="single" w:sz="8" w:color="58595B"/>
            </w:tcBorders>
          </w:tcPr>
          <w:p>
            <w:pPr>
              <w:spacing w:after="0"/>
              <w:rPr>
                <w:sz w:val="24"/>
                <w:szCs w:val="24"/>
                <w:color w:val="auto"/>
              </w:rPr>
            </w:pPr>
          </w:p>
        </w:tc>
        <w:tc>
          <w:tcPr>
            <w:tcW w:w="4800" w:type="dxa"/>
            <w:vAlign w:val="bottom"/>
            <w:tcBorders>
              <w:bottom w:val="single" w:sz="8" w:color="234E77"/>
              <w:right w:val="single" w:sz="8" w:color="234E77"/>
            </w:tcBorders>
            <w:shd w:val="clear" w:color="auto" w:fill="234E77"/>
          </w:tcPr>
          <w:p>
            <w:pPr>
              <w:ind w:left="160"/>
              <w:spacing w:after="0"/>
              <w:rPr>
                <w:sz w:val="20"/>
                <w:szCs w:val="20"/>
                <w:color w:val="auto"/>
              </w:rPr>
            </w:pPr>
            <w:r>
              <w:rPr>
                <w:rFonts w:ascii="Arial" w:cs="Arial" w:eastAsia="Arial" w:hAnsi="Arial"/>
                <w:sz w:val="16"/>
                <w:szCs w:val="16"/>
                <w:b w:val="1"/>
                <w:bCs w:val="1"/>
                <w:color w:val="FFFFFF"/>
              </w:rPr>
              <w:t>Position</w:t>
            </w:r>
          </w:p>
        </w:tc>
        <w:tc>
          <w:tcPr>
            <w:tcW w:w="3620" w:type="dxa"/>
            <w:vAlign w:val="bottom"/>
            <w:tcBorders>
              <w:bottom w:val="single" w:sz="8" w:color="234E77"/>
              <w:right w:val="single" w:sz="8" w:color="58595B"/>
            </w:tcBorders>
            <w:gridSpan w:val="2"/>
            <w:shd w:val="clear" w:color="auto" w:fill="234E77"/>
          </w:tcPr>
          <w:p>
            <w:pPr>
              <w:ind w:left="160"/>
              <w:spacing w:after="0"/>
              <w:rPr>
                <w:sz w:val="20"/>
                <w:szCs w:val="20"/>
                <w:color w:val="auto"/>
              </w:rPr>
            </w:pPr>
            <w:r>
              <w:rPr>
                <w:rFonts w:ascii="Arial" w:cs="Arial" w:eastAsia="Arial" w:hAnsi="Arial"/>
                <w:sz w:val="16"/>
                <w:szCs w:val="16"/>
                <w:b w:val="1"/>
                <w:bCs w:val="1"/>
                <w:color w:val="FFFFFF"/>
              </w:rPr>
              <w:t>Minimum Aggregated Value</w:t>
            </w:r>
          </w:p>
        </w:tc>
        <w:tc>
          <w:tcPr>
            <w:tcW w:w="1620" w:type="dxa"/>
            <w:vAlign w:val="bottom"/>
          </w:tcPr>
          <w:p>
            <w:pPr>
              <w:spacing w:after="0"/>
              <w:rPr>
                <w:sz w:val="24"/>
                <w:szCs w:val="24"/>
                <w:color w:val="auto"/>
              </w:rPr>
            </w:pPr>
          </w:p>
        </w:tc>
      </w:tr>
      <w:tr>
        <w:trPr>
          <w:trHeight w:val="231"/>
        </w:trPr>
        <w:tc>
          <w:tcPr>
            <w:tcW w:w="1200" w:type="dxa"/>
            <w:vAlign w:val="bottom"/>
            <w:tcBorders>
              <w:right w:val="single" w:sz="8" w:color="58595B"/>
            </w:tcBorders>
          </w:tcPr>
          <w:p>
            <w:pPr>
              <w:spacing w:after="0"/>
              <w:rPr>
                <w:sz w:val="20"/>
                <w:szCs w:val="20"/>
                <w:color w:val="auto"/>
              </w:rPr>
            </w:pPr>
          </w:p>
        </w:tc>
        <w:tc>
          <w:tcPr>
            <w:tcW w:w="480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Chairman of the Board</w:t>
            </w:r>
          </w:p>
        </w:tc>
        <w:tc>
          <w:tcPr>
            <w:tcW w:w="3620" w:type="dxa"/>
            <w:vAlign w:val="bottom"/>
            <w:tcBorders>
              <w:right w:val="single" w:sz="8" w:color="58595B"/>
            </w:tcBorders>
            <w:gridSpan w:val="2"/>
          </w:tcPr>
          <w:p>
            <w:pPr>
              <w:ind w:left="160"/>
              <w:spacing w:after="0"/>
              <w:rPr>
                <w:sz w:val="20"/>
                <w:szCs w:val="20"/>
                <w:color w:val="auto"/>
              </w:rPr>
            </w:pPr>
            <w:r>
              <w:rPr>
                <w:rFonts w:ascii="Arial" w:cs="Arial" w:eastAsia="Arial" w:hAnsi="Arial"/>
                <w:sz w:val="15"/>
                <w:szCs w:val="15"/>
                <w:color w:val="58595B"/>
              </w:rPr>
              <w:t>10 × annual cash retainer</w:t>
            </w:r>
          </w:p>
        </w:tc>
        <w:tc>
          <w:tcPr>
            <w:tcW w:w="1620" w:type="dxa"/>
            <w:vAlign w:val="bottom"/>
          </w:tcPr>
          <w:p>
            <w:pPr>
              <w:spacing w:after="0"/>
              <w:rPr>
                <w:sz w:val="20"/>
                <w:szCs w:val="20"/>
                <w:color w:val="auto"/>
              </w:rPr>
            </w:pPr>
          </w:p>
        </w:tc>
      </w:tr>
      <w:tr>
        <w:trPr>
          <w:trHeight w:val="40"/>
        </w:trPr>
        <w:tc>
          <w:tcPr>
            <w:tcW w:w="1200" w:type="dxa"/>
            <w:vAlign w:val="bottom"/>
            <w:tcBorders>
              <w:right w:val="single" w:sz="8" w:color="58595B"/>
            </w:tcBorders>
          </w:tcPr>
          <w:p>
            <w:pPr>
              <w:spacing w:after="0"/>
              <w:rPr>
                <w:sz w:val="3"/>
                <w:szCs w:val="3"/>
                <w:color w:val="auto"/>
              </w:rPr>
            </w:pPr>
          </w:p>
        </w:tc>
        <w:tc>
          <w:tcPr>
            <w:tcW w:w="4800" w:type="dxa"/>
            <w:vAlign w:val="bottom"/>
            <w:tcBorders>
              <w:bottom w:val="single" w:sz="8" w:color="58595B"/>
              <w:right w:val="single" w:sz="8" w:color="58595B"/>
            </w:tcBorders>
          </w:tcPr>
          <w:p>
            <w:pPr>
              <w:spacing w:after="0"/>
              <w:rPr>
                <w:sz w:val="3"/>
                <w:szCs w:val="3"/>
                <w:color w:val="auto"/>
              </w:rPr>
            </w:pPr>
          </w:p>
        </w:tc>
        <w:tc>
          <w:tcPr>
            <w:tcW w:w="260" w:type="dxa"/>
            <w:vAlign w:val="bottom"/>
            <w:tcBorders>
              <w:bottom w:val="single" w:sz="8" w:color="58595B"/>
            </w:tcBorders>
          </w:tcPr>
          <w:p>
            <w:pPr>
              <w:spacing w:after="0"/>
              <w:rPr>
                <w:sz w:val="3"/>
                <w:szCs w:val="3"/>
                <w:color w:val="auto"/>
              </w:rPr>
            </w:pPr>
          </w:p>
        </w:tc>
        <w:tc>
          <w:tcPr>
            <w:tcW w:w="3360" w:type="dxa"/>
            <w:vAlign w:val="bottom"/>
            <w:tcBorders>
              <w:bottom w:val="single" w:sz="8" w:color="58595B"/>
              <w:right w:val="single" w:sz="8" w:color="58595B"/>
            </w:tcBorders>
          </w:tcPr>
          <w:p>
            <w:pPr>
              <w:spacing w:after="0"/>
              <w:rPr>
                <w:sz w:val="3"/>
                <w:szCs w:val="3"/>
                <w:color w:val="auto"/>
              </w:rPr>
            </w:pPr>
          </w:p>
        </w:tc>
        <w:tc>
          <w:tcPr>
            <w:tcW w:w="1620" w:type="dxa"/>
            <w:vAlign w:val="bottom"/>
          </w:tcPr>
          <w:p>
            <w:pPr>
              <w:spacing w:after="0"/>
              <w:rPr>
                <w:sz w:val="3"/>
                <w:szCs w:val="3"/>
                <w:color w:val="auto"/>
              </w:rPr>
            </w:pPr>
          </w:p>
        </w:tc>
      </w:tr>
      <w:tr>
        <w:trPr>
          <w:trHeight w:val="223"/>
        </w:trPr>
        <w:tc>
          <w:tcPr>
            <w:tcW w:w="1200" w:type="dxa"/>
            <w:vAlign w:val="bottom"/>
            <w:tcBorders>
              <w:right w:val="single" w:sz="8" w:color="58595B"/>
            </w:tcBorders>
          </w:tcPr>
          <w:p>
            <w:pPr>
              <w:spacing w:after="0"/>
              <w:rPr>
                <w:sz w:val="19"/>
                <w:szCs w:val="19"/>
                <w:color w:val="auto"/>
              </w:rPr>
            </w:pPr>
          </w:p>
        </w:tc>
        <w:tc>
          <w:tcPr>
            <w:tcW w:w="480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Chief Executive Officer</w:t>
            </w:r>
          </w:p>
        </w:tc>
        <w:tc>
          <w:tcPr>
            <w:tcW w:w="260" w:type="dxa"/>
            <w:vAlign w:val="bottom"/>
          </w:tcPr>
          <w:p>
            <w:pPr>
              <w:ind w:left="160"/>
              <w:spacing w:after="0"/>
              <w:rPr>
                <w:sz w:val="20"/>
                <w:szCs w:val="20"/>
                <w:color w:val="auto"/>
              </w:rPr>
            </w:pPr>
            <w:r>
              <w:rPr>
                <w:rFonts w:ascii="Arial" w:cs="Arial" w:eastAsia="Arial" w:hAnsi="Arial"/>
                <w:sz w:val="15"/>
                <w:szCs w:val="15"/>
                <w:color w:val="58595B"/>
                <w:w w:val="95"/>
              </w:rPr>
              <w:t>5</w:t>
            </w:r>
          </w:p>
        </w:tc>
        <w:tc>
          <w:tcPr>
            <w:tcW w:w="3360" w:type="dxa"/>
            <w:vAlign w:val="bottom"/>
            <w:tcBorders>
              <w:right w:val="single" w:sz="8" w:color="58595B"/>
            </w:tcBorders>
          </w:tcPr>
          <w:p>
            <w:pPr>
              <w:ind w:left="20"/>
              <w:spacing w:after="0"/>
              <w:rPr>
                <w:sz w:val="20"/>
                <w:szCs w:val="20"/>
                <w:color w:val="auto"/>
              </w:rPr>
            </w:pPr>
            <w:r>
              <w:rPr>
                <w:rFonts w:ascii="Arial" w:cs="Arial" w:eastAsia="Arial" w:hAnsi="Arial"/>
                <w:sz w:val="15"/>
                <w:szCs w:val="15"/>
                <w:color w:val="58595B"/>
              </w:rPr>
              <w:t>× base salary</w:t>
            </w:r>
          </w:p>
        </w:tc>
        <w:tc>
          <w:tcPr>
            <w:tcW w:w="1620" w:type="dxa"/>
            <w:vAlign w:val="bottom"/>
          </w:tcPr>
          <w:p>
            <w:pPr>
              <w:spacing w:after="0"/>
              <w:rPr>
                <w:sz w:val="19"/>
                <w:szCs w:val="19"/>
                <w:color w:val="auto"/>
              </w:rPr>
            </w:pPr>
          </w:p>
        </w:tc>
      </w:tr>
      <w:tr>
        <w:trPr>
          <w:trHeight w:val="40"/>
        </w:trPr>
        <w:tc>
          <w:tcPr>
            <w:tcW w:w="1200" w:type="dxa"/>
            <w:vAlign w:val="bottom"/>
            <w:tcBorders>
              <w:right w:val="single" w:sz="8" w:color="58595B"/>
            </w:tcBorders>
          </w:tcPr>
          <w:p>
            <w:pPr>
              <w:spacing w:after="0"/>
              <w:rPr>
                <w:sz w:val="3"/>
                <w:szCs w:val="3"/>
                <w:color w:val="auto"/>
              </w:rPr>
            </w:pPr>
          </w:p>
        </w:tc>
        <w:tc>
          <w:tcPr>
            <w:tcW w:w="4800" w:type="dxa"/>
            <w:vAlign w:val="bottom"/>
            <w:tcBorders>
              <w:bottom w:val="single" w:sz="8" w:color="58595B"/>
              <w:right w:val="single" w:sz="8" w:color="58595B"/>
            </w:tcBorders>
          </w:tcPr>
          <w:p>
            <w:pPr>
              <w:spacing w:after="0"/>
              <w:rPr>
                <w:sz w:val="3"/>
                <w:szCs w:val="3"/>
                <w:color w:val="auto"/>
              </w:rPr>
            </w:pPr>
          </w:p>
        </w:tc>
        <w:tc>
          <w:tcPr>
            <w:tcW w:w="260" w:type="dxa"/>
            <w:vAlign w:val="bottom"/>
            <w:tcBorders>
              <w:bottom w:val="single" w:sz="8" w:color="58595B"/>
            </w:tcBorders>
          </w:tcPr>
          <w:p>
            <w:pPr>
              <w:spacing w:after="0"/>
              <w:rPr>
                <w:sz w:val="3"/>
                <w:szCs w:val="3"/>
                <w:color w:val="auto"/>
              </w:rPr>
            </w:pPr>
          </w:p>
        </w:tc>
        <w:tc>
          <w:tcPr>
            <w:tcW w:w="3360" w:type="dxa"/>
            <w:vAlign w:val="bottom"/>
            <w:tcBorders>
              <w:bottom w:val="single" w:sz="8" w:color="58595B"/>
              <w:right w:val="single" w:sz="8" w:color="58595B"/>
            </w:tcBorders>
          </w:tcPr>
          <w:p>
            <w:pPr>
              <w:spacing w:after="0"/>
              <w:rPr>
                <w:sz w:val="3"/>
                <w:szCs w:val="3"/>
                <w:color w:val="auto"/>
              </w:rPr>
            </w:pPr>
          </w:p>
        </w:tc>
        <w:tc>
          <w:tcPr>
            <w:tcW w:w="1620" w:type="dxa"/>
            <w:vAlign w:val="bottom"/>
          </w:tcPr>
          <w:p>
            <w:pPr>
              <w:spacing w:after="0"/>
              <w:rPr>
                <w:sz w:val="3"/>
                <w:szCs w:val="3"/>
                <w:color w:val="auto"/>
              </w:rPr>
            </w:pPr>
          </w:p>
        </w:tc>
      </w:tr>
      <w:tr>
        <w:trPr>
          <w:trHeight w:val="223"/>
        </w:trPr>
        <w:tc>
          <w:tcPr>
            <w:tcW w:w="1200" w:type="dxa"/>
            <w:vAlign w:val="bottom"/>
            <w:tcBorders>
              <w:right w:val="single" w:sz="8" w:color="58595B"/>
            </w:tcBorders>
          </w:tcPr>
          <w:p>
            <w:pPr>
              <w:spacing w:after="0"/>
              <w:rPr>
                <w:sz w:val="19"/>
                <w:szCs w:val="19"/>
                <w:color w:val="auto"/>
              </w:rPr>
            </w:pPr>
          </w:p>
        </w:tc>
        <w:tc>
          <w:tcPr>
            <w:tcW w:w="480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Other Officers</w:t>
            </w:r>
          </w:p>
        </w:tc>
        <w:tc>
          <w:tcPr>
            <w:tcW w:w="260" w:type="dxa"/>
            <w:vAlign w:val="bottom"/>
          </w:tcPr>
          <w:p>
            <w:pPr>
              <w:ind w:left="160"/>
              <w:spacing w:after="0"/>
              <w:rPr>
                <w:sz w:val="20"/>
                <w:szCs w:val="20"/>
                <w:color w:val="auto"/>
              </w:rPr>
            </w:pPr>
            <w:r>
              <w:rPr>
                <w:rFonts w:ascii="Arial" w:cs="Arial" w:eastAsia="Arial" w:hAnsi="Arial"/>
                <w:sz w:val="15"/>
                <w:szCs w:val="15"/>
                <w:color w:val="58595B"/>
                <w:w w:val="95"/>
              </w:rPr>
              <w:t>2</w:t>
            </w:r>
          </w:p>
        </w:tc>
        <w:tc>
          <w:tcPr>
            <w:tcW w:w="3360" w:type="dxa"/>
            <w:vAlign w:val="bottom"/>
            <w:tcBorders>
              <w:right w:val="single" w:sz="8" w:color="58595B"/>
            </w:tcBorders>
          </w:tcPr>
          <w:p>
            <w:pPr>
              <w:ind w:left="20"/>
              <w:spacing w:after="0"/>
              <w:rPr>
                <w:sz w:val="20"/>
                <w:szCs w:val="20"/>
                <w:color w:val="auto"/>
              </w:rPr>
            </w:pPr>
            <w:r>
              <w:rPr>
                <w:rFonts w:ascii="Arial" w:cs="Arial" w:eastAsia="Arial" w:hAnsi="Arial"/>
                <w:sz w:val="15"/>
                <w:szCs w:val="15"/>
                <w:color w:val="58595B"/>
              </w:rPr>
              <w:t>× base salary</w:t>
            </w:r>
          </w:p>
        </w:tc>
        <w:tc>
          <w:tcPr>
            <w:tcW w:w="1620" w:type="dxa"/>
            <w:vAlign w:val="bottom"/>
          </w:tcPr>
          <w:p>
            <w:pPr>
              <w:spacing w:after="0"/>
              <w:rPr>
                <w:sz w:val="19"/>
                <w:szCs w:val="19"/>
                <w:color w:val="auto"/>
              </w:rPr>
            </w:pPr>
          </w:p>
        </w:tc>
      </w:tr>
      <w:tr>
        <w:trPr>
          <w:trHeight w:val="40"/>
        </w:trPr>
        <w:tc>
          <w:tcPr>
            <w:tcW w:w="1200" w:type="dxa"/>
            <w:vAlign w:val="bottom"/>
            <w:tcBorders>
              <w:right w:val="single" w:sz="8" w:color="58595B"/>
            </w:tcBorders>
          </w:tcPr>
          <w:p>
            <w:pPr>
              <w:spacing w:after="0"/>
              <w:rPr>
                <w:sz w:val="3"/>
                <w:szCs w:val="3"/>
                <w:color w:val="auto"/>
              </w:rPr>
            </w:pPr>
          </w:p>
        </w:tc>
        <w:tc>
          <w:tcPr>
            <w:tcW w:w="4800" w:type="dxa"/>
            <w:vAlign w:val="bottom"/>
            <w:tcBorders>
              <w:bottom w:val="single" w:sz="8" w:color="58595B"/>
              <w:right w:val="single" w:sz="8" w:color="58595B"/>
            </w:tcBorders>
          </w:tcPr>
          <w:p>
            <w:pPr>
              <w:spacing w:after="0"/>
              <w:rPr>
                <w:sz w:val="3"/>
                <w:szCs w:val="3"/>
                <w:color w:val="auto"/>
              </w:rPr>
            </w:pPr>
          </w:p>
        </w:tc>
        <w:tc>
          <w:tcPr>
            <w:tcW w:w="260" w:type="dxa"/>
            <w:vAlign w:val="bottom"/>
            <w:tcBorders>
              <w:bottom w:val="single" w:sz="8" w:color="58595B"/>
            </w:tcBorders>
          </w:tcPr>
          <w:p>
            <w:pPr>
              <w:spacing w:after="0"/>
              <w:rPr>
                <w:sz w:val="3"/>
                <w:szCs w:val="3"/>
                <w:color w:val="auto"/>
              </w:rPr>
            </w:pPr>
          </w:p>
        </w:tc>
        <w:tc>
          <w:tcPr>
            <w:tcW w:w="3360" w:type="dxa"/>
            <w:vAlign w:val="bottom"/>
            <w:tcBorders>
              <w:bottom w:val="single" w:sz="8" w:color="58595B"/>
              <w:right w:val="single" w:sz="8" w:color="58595B"/>
            </w:tcBorders>
          </w:tcPr>
          <w:p>
            <w:pPr>
              <w:spacing w:after="0"/>
              <w:rPr>
                <w:sz w:val="3"/>
                <w:szCs w:val="3"/>
                <w:color w:val="auto"/>
              </w:rPr>
            </w:pPr>
          </w:p>
        </w:tc>
        <w:tc>
          <w:tcPr>
            <w:tcW w:w="1620" w:type="dxa"/>
            <w:vAlign w:val="bottom"/>
          </w:tcPr>
          <w:p>
            <w:pPr>
              <w:spacing w:after="0"/>
              <w:rPr>
                <w:sz w:val="3"/>
                <w:szCs w:val="3"/>
                <w:color w:val="auto"/>
              </w:rPr>
            </w:pPr>
          </w:p>
        </w:tc>
      </w:tr>
      <w:tr>
        <w:trPr>
          <w:trHeight w:val="223"/>
        </w:trPr>
        <w:tc>
          <w:tcPr>
            <w:tcW w:w="1200" w:type="dxa"/>
            <w:vAlign w:val="bottom"/>
            <w:tcBorders>
              <w:right w:val="single" w:sz="8" w:color="58595B"/>
            </w:tcBorders>
          </w:tcPr>
          <w:p>
            <w:pPr>
              <w:spacing w:after="0"/>
              <w:rPr>
                <w:sz w:val="19"/>
                <w:szCs w:val="19"/>
                <w:color w:val="auto"/>
              </w:rPr>
            </w:pPr>
          </w:p>
        </w:tc>
        <w:tc>
          <w:tcPr>
            <w:tcW w:w="4800" w:type="dxa"/>
            <w:vAlign w:val="bottom"/>
            <w:tcBorders>
              <w:right w:val="single" w:sz="8" w:color="58595B"/>
            </w:tcBorders>
          </w:tcPr>
          <w:p>
            <w:pPr>
              <w:ind w:left="160"/>
              <w:spacing w:after="0"/>
              <w:rPr>
                <w:sz w:val="20"/>
                <w:szCs w:val="20"/>
                <w:color w:val="auto"/>
              </w:rPr>
            </w:pPr>
            <w:r>
              <w:rPr>
                <w:rFonts w:ascii="Arial" w:cs="Arial" w:eastAsia="Arial" w:hAnsi="Arial"/>
                <w:sz w:val="15"/>
                <w:szCs w:val="15"/>
                <w:color w:val="58595B"/>
              </w:rPr>
              <w:t>Members of the Board</w:t>
            </w:r>
          </w:p>
        </w:tc>
        <w:tc>
          <w:tcPr>
            <w:tcW w:w="260" w:type="dxa"/>
            <w:vAlign w:val="bottom"/>
          </w:tcPr>
          <w:p>
            <w:pPr>
              <w:ind w:left="160"/>
              <w:spacing w:after="0"/>
              <w:rPr>
                <w:sz w:val="20"/>
                <w:szCs w:val="20"/>
                <w:color w:val="auto"/>
              </w:rPr>
            </w:pPr>
            <w:r>
              <w:rPr>
                <w:rFonts w:ascii="Arial" w:cs="Arial" w:eastAsia="Arial" w:hAnsi="Arial"/>
                <w:sz w:val="15"/>
                <w:szCs w:val="15"/>
                <w:color w:val="58595B"/>
                <w:w w:val="95"/>
              </w:rPr>
              <w:t>5</w:t>
            </w:r>
          </w:p>
        </w:tc>
        <w:tc>
          <w:tcPr>
            <w:tcW w:w="3360" w:type="dxa"/>
            <w:vAlign w:val="bottom"/>
            <w:tcBorders>
              <w:right w:val="single" w:sz="8" w:color="58595B"/>
            </w:tcBorders>
          </w:tcPr>
          <w:p>
            <w:pPr>
              <w:ind w:left="20"/>
              <w:spacing w:after="0"/>
              <w:rPr>
                <w:sz w:val="20"/>
                <w:szCs w:val="20"/>
                <w:color w:val="auto"/>
              </w:rPr>
            </w:pPr>
            <w:r>
              <w:rPr>
                <w:rFonts w:ascii="Arial" w:cs="Arial" w:eastAsia="Arial" w:hAnsi="Arial"/>
                <w:sz w:val="15"/>
                <w:szCs w:val="15"/>
                <w:color w:val="58595B"/>
              </w:rPr>
              <w:t>× annual cash retainer</w:t>
            </w:r>
          </w:p>
        </w:tc>
        <w:tc>
          <w:tcPr>
            <w:tcW w:w="1620" w:type="dxa"/>
            <w:vAlign w:val="bottom"/>
          </w:tcPr>
          <w:p>
            <w:pPr>
              <w:spacing w:after="0"/>
              <w:rPr>
                <w:sz w:val="19"/>
                <w:szCs w:val="19"/>
                <w:color w:val="auto"/>
              </w:rPr>
            </w:pPr>
          </w:p>
        </w:tc>
      </w:tr>
      <w:tr>
        <w:trPr>
          <w:trHeight w:val="40"/>
        </w:trPr>
        <w:tc>
          <w:tcPr>
            <w:tcW w:w="1200" w:type="dxa"/>
            <w:vAlign w:val="bottom"/>
            <w:tcBorders>
              <w:right w:val="single" w:sz="8" w:color="58595B"/>
            </w:tcBorders>
          </w:tcPr>
          <w:p>
            <w:pPr>
              <w:spacing w:after="0"/>
              <w:rPr>
                <w:sz w:val="3"/>
                <w:szCs w:val="3"/>
                <w:color w:val="auto"/>
              </w:rPr>
            </w:pPr>
          </w:p>
        </w:tc>
        <w:tc>
          <w:tcPr>
            <w:tcW w:w="4800" w:type="dxa"/>
            <w:vAlign w:val="bottom"/>
            <w:tcBorders>
              <w:bottom w:val="single" w:sz="8" w:color="58595B"/>
              <w:right w:val="single" w:sz="8" w:color="58595B"/>
            </w:tcBorders>
          </w:tcPr>
          <w:p>
            <w:pPr>
              <w:spacing w:after="0"/>
              <w:rPr>
                <w:sz w:val="3"/>
                <w:szCs w:val="3"/>
                <w:color w:val="auto"/>
              </w:rPr>
            </w:pPr>
          </w:p>
        </w:tc>
        <w:tc>
          <w:tcPr>
            <w:tcW w:w="260" w:type="dxa"/>
            <w:vAlign w:val="bottom"/>
            <w:tcBorders>
              <w:bottom w:val="single" w:sz="8" w:color="58595B"/>
            </w:tcBorders>
          </w:tcPr>
          <w:p>
            <w:pPr>
              <w:spacing w:after="0"/>
              <w:rPr>
                <w:sz w:val="3"/>
                <w:szCs w:val="3"/>
                <w:color w:val="auto"/>
              </w:rPr>
            </w:pPr>
          </w:p>
        </w:tc>
        <w:tc>
          <w:tcPr>
            <w:tcW w:w="3360" w:type="dxa"/>
            <w:vAlign w:val="bottom"/>
            <w:tcBorders>
              <w:bottom w:val="single" w:sz="8" w:color="58595B"/>
              <w:right w:val="single" w:sz="8" w:color="58595B"/>
            </w:tcBorders>
          </w:tcPr>
          <w:p>
            <w:pPr>
              <w:spacing w:after="0"/>
              <w:rPr>
                <w:sz w:val="3"/>
                <w:szCs w:val="3"/>
                <w:color w:val="auto"/>
              </w:rPr>
            </w:pPr>
          </w:p>
        </w:tc>
        <w:tc>
          <w:tcPr>
            <w:tcW w:w="1620" w:type="dxa"/>
            <w:vAlign w:val="bottom"/>
          </w:tcPr>
          <w:p>
            <w:pPr>
              <w:spacing w:after="0"/>
              <w:rPr>
                <w:sz w:val="3"/>
                <w:szCs w:val="3"/>
                <w:color w:val="auto"/>
              </w:rPr>
            </w:pPr>
          </w:p>
        </w:tc>
      </w:tr>
      <w:tr>
        <w:trPr>
          <w:trHeight w:val="177"/>
        </w:trPr>
        <w:tc>
          <w:tcPr>
            <w:tcW w:w="12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gridSpan w:val="2"/>
          </w:tcPr>
          <w:p>
            <w:pPr>
              <w:spacing w:after="0"/>
              <w:rPr>
                <w:sz w:val="15"/>
                <w:szCs w:val="15"/>
                <w:color w:val="auto"/>
              </w:rPr>
            </w:pPr>
          </w:p>
        </w:tc>
      </w:tr>
      <w:tr>
        <w:trPr>
          <w:trHeight w:val="329"/>
        </w:trPr>
        <w:tc>
          <w:tcPr>
            <w:tcW w:w="1200" w:type="dxa"/>
            <w:vAlign w:val="bottom"/>
            <w:tcBorders>
              <w:right w:val="single" w:sz="8" w:color="5B769B"/>
            </w:tcBorders>
            <w:shd w:val="clear" w:color="auto" w:fill="5B769B"/>
          </w:tcPr>
          <w:p>
            <w:pPr>
              <w:jc w:val="right"/>
              <w:ind w:right="550"/>
              <w:spacing w:after="0"/>
              <w:rPr>
                <w:sz w:val="20"/>
                <w:szCs w:val="20"/>
                <w:color w:val="auto"/>
              </w:rPr>
            </w:pPr>
            <w:r>
              <w:rPr>
                <w:rFonts w:ascii="Arial" w:cs="Arial" w:eastAsia="Arial" w:hAnsi="Arial"/>
                <w:sz w:val="18"/>
                <w:szCs w:val="18"/>
                <w:color w:val="FFFFFF"/>
              </w:rPr>
              <w:t>51</w:t>
            </w:r>
          </w:p>
        </w:tc>
        <w:tc>
          <w:tcPr>
            <w:tcW w:w="4800" w:type="dxa"/>
            <w:vAlign w:val="bottom"/>
            <w:tcBorders>
              <w:right w:val="single" w:sz="8" w:color="5B769B"/>
            </w:tcBorders>
            <w:shd w:val="clear" w:color="auto" w:fill="5B769B"/>
          </w:tcPr>
          <w:p>
            <w:pPr>
              <w:spacing w:after="0"/>
              <w:rPr>
                <w:sz w:val="24"/>
                <w:szCs w:val="24"/>
                <w:color w:val="auto"/>
              </w:rPr>
            </w:pPr>
          </w:p>
        </w:tc>
        <w:tc>
          <w:tcPr>
            <w:tcW w:w="260" w:type="dxa"/>
            <w:vAlign w:val="bottom"/>
            <w:shd w:val="clear" w:color="auto" w:fill="5B769B"/>
          </w:tcPr>
          <w:p>
            <w:pPr>
              <w:spacing w:after="0"/>
              <w:rPr>
                <w:sz w:val="24"/>
                <w:szCs w:val="24"/>
                <w:color w:val="auto"/>
              </w:rPr>
            </w:pPr>
          </w:p>
        </w:tc>
        <w:tc>
          <w:tcPr>
            <w:tcW w:w="4980" w:type="dxa"/>
            <w:vAlign w:val="bottom"/>
            <w:gridSpan w:val="2"/>
            <w:shd w:val="clear" w:color="auto" w:fill="5B769B"/>
          </w:tcPr>
          <w:p>
            <w:pPr>
              <w:ind w:left="1980"/>
              <w:spacing w:after="0"/>
              <w:rPr>
                <w:sz w:val="20"/>
                <w:szCs w:val="20"/>
                <w:color w:val="auto"/>
              </w:rPr>
            </w:pPr>
            <w:r>
              <w:rPr>
                <w:rFonts w:ascii="Arial" w:cs="Arial" w:eastAsia="Arial" w:hAnsi="Arial"/>
                <w:sz w:val="18"/>
                <w:szCs w:val="18"/>
                <w:color w:val="FFFFFF"/>
              </w:rPr>
              <w:t>Fidelity National Financial, Inc.</w:t>
            </w:r>
          </w:p>
        </w:tc>
      </w:tr>
      <w:tr>
        <w:trPr>
          <w:trHeight w:val="139"/>
        </w:trPr>
        <w:tc>
          <w:tcPr>
            <w:tcW w:w="1200" w:type="dxa"/>
            <w:vAlign w:val="bottom"/>
            <w:tcBorders>
              <w:right w:val="single" w:sz="8" w:color="5B769B"/>
            </w:tcBorders>
            <w:shd w:val="clear" w:color="auto" w:fill="5B769B"/>
          </w:tcPr>
          <w:p>
            <w:pPr>
              <w:spacing w:after="0"/>
              <w:rPr>
                <w:sz w:val="12"/>
                <w:szCs w:val="12"/>
                <w:color w:val="auto"/>
              </w:rPr>
            </w:pPr>
          </w:p>
        </w:tc>
        <w:tc>
          <w:tcPr>
            <w:tcW w:w="4800" w:type="dxa"/>
            <w:vAlign w:val="bottom"/>
            <w:tcBorders>
              <w:right w:val="single" w:sz="8" w:color="5B769B"/>
            </w:tcBorders>
            <w:shd w:val="clear" w:color="auto" w:fill="5B769B"/>
          </w:tcPr>
          <w:p>
            <w:pPr>
              <w:spacing w:after="0"/>
              <w:rPr>
                <w:sz w:val="12"/>
                <w:szCs w:val="12"/>
                <w:color w:val="auto"/>
              </w:rPr>
            </w:pPr>
          </w:p>
        </w:tc>
        <w:tc>
          <w:tcPr>
            <w:tcW w:w="260" w:type="dxa"/>
            <w:vAlign w:val="bottom"/>
            <w:shd w:val="clear" w:color="auto" w:fill="5B769B"/>
          </w:tcPr>
          <w:p>
            <w:pPr>
              <w:spacing w:after="0"/>
              <w:rPr>
                <w:sz w:val="12"/>
                <w:szCs w:val="12"/>
                <w:color w:val="auto"/>
              </w:rPr>
            </w:pPr>
          </w:p>
        </w:tc>
        <w:tc>
          <w:tcPr>
            <w:tcW w:w="3360" w:type="dxa"/>
            <w:vAlign w:val="bottom"/>
            <w:tcBorders>
              <w:right w:val="single" w:sz="8" w:color="5B769B"/>
            </w:tcBorders>
            <w:shd w:val="clear" w:color="auto" w:fill="5B769B"/>
          </w:tcPr>
          <w:p>
            <w:pPr>
              <w:spacing w:after="0"/>
              <w:rPr>
                <w:sz w:val="12"/>
                <w:szCs w:val="12"/>
                <w:color w:val="auto"/>
              </w:rPr>
            </w:pPr>
          </w:p>
        </w:tc>
        <w:tc>
          <w:tcPr>
            <w:tcW w:w="1620" w:type="dxa"/>
            <w:vAlign w:val="bottom"/>
            <w:shd w:val="clear" w:color="auto" w:fill="5B769B"/>
          </w:tcPr>
          <w:p>
            <w:pPr>
              <w:spacing w:after="0"/>
              <w:rPr>
                <w:sz w:val="12"/>
                <w:szCs w:val="12"/>
                <w:color w:val="auto"/>
              </w:rPr>
            </w:pPr>
          </w:p>
        </w:tc>
      </w:tr>
      <w:tr>
        <w:trPr>
          <w:trHeight w:val="37"/>
        </w:trPr>
        <w:tc>
          <w:tcPr>
            <w:tcW w:w="12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71"/>
        </w:trPr>
        <w:tc>
          <w:tcPr>
            <w:tcW w:w="1200" w:type="dxa"/>
            <w:vAlign w:val="bottom"/>
            <w:tcBorders>
              <w:right w:val="single" w:sz="8" w:color="274F78"/>
            </w:tcBorders>
            <w:shd w:val="clear" w:color="auto" w:fill="274F78"/>
          </w:tcPr>
          <w:p>
            <w:pPr>
              <w:spacing w:after="0"/>
              <w:rPr>
                <w:sz w:val="23"/>
                <w:szCs w:val="23"/>
                <w:color w:val="auto"/>
              </w:rPr>
            </w:pPr>
          </w:p>
        </w:tc>
        <w:tc>
          <w:tcPr>
            <w:tcW w:w="4800" w:type="dxa"/>
            <w:vAlign w:val="bottom"/>
            <w:tcBorders>
              <w:right w:val="single" w:sz="8" w:color="274F78"/>
            </w:tcBorders>
            <w:shd w:val="clear" w:color="auto" w:fill="274F78"/>
          </w:tcPr>
          <w:p>
            <w:pPr>
              <w:spacing w:after="0"/>
              <w:rPr>
                <w:sz w:val="23"/>
                <w:szCs w:val="23"/>
                <w:color w:val="auto"/>
              </w:rPr>
            </w:pPr>
          </w:p>
        </w:tc>
        <w:tc>
          <w:tcPr>
            <w:tcW w:w="260" w:type="dxa"/>
            <w:vAlign w:val="bottom"/>
            <w:shd w:val="clear" w:color="auto" w:fill="274F78"/>
          </w:tcPr>
          <w:p>
            <w:pPr>
              <w:spacing w:after="0"/>
              <w:rPr>
                <w:sz w:val="23"/>
                <w:szCs w:val="23"/>
                <w:color w:val="auto"/>
              </w:rPr>
            </w:pPr>
          </w:p>
        </w:tc>
        <w:tc>
          <w:tcPr>
            <w:tcW w:w="3360" w:type="dxa"/>
            <w:vAlign w:val="bottom"/>
            <w:tcBorders>
              <w:right w:val="single" w:sz="8" w:color="274F78"/>
            </w:tcBorders>
            <w:shd w:val="clear" w:color="auto" w:fill="274F78"/>
          </w:tcPr>
          <w:p>
            <w:pPr>
              <w:spacing w:after="0"/>
              <w:rPr>
                <w:sz w:val="23"/>
                <w:szCs w:val="23"/>
                <w:color w:val="auto"/>
              </w:rPr>
            </w:pPr>
          </w:p>
        </w:tc>
        <w:tc>
          <w:tcPr>
            <w:tcW w:w="1620" w:type="dxa"/>
            <w:vAlign w:val="bottom"/>
            <w:shd w:val="clear" w:color="auto" w:fill="274F78"/>
          </w:tcPr>
          <w:p>
            <w:pPr>
              <w:spacing w:after="0"/>
              <w:rPr>
                <w:sz w:val="23"/>
                <w:szCs w:val="23"/>
                <w:color w:val="auto"/>
              </w:rPr>
            </w:pPr>
          </w:p>
        </w:tc>
      </w:tr>
      <w:tr>
        <w:trPr>
          <w:trHeight w:val="394"/>
        </w:trPr>
        <w:tc>
          <w:tcPr>
            <w:tcW w:w="1200" w:type="dxa"/>
            <w:vAlign w:val="bottom"/>
            <w:tcBorders>
              <w:bottom w:val="single" w:sz="8" w:color="58595B"/>
            </w:tcBorders>
          </w:tcPr>
          <w:p>
            <w:pPr>
              <w:spacing w:after="0"/>
              <w:rPr>
                <w:sz w:val="24"/>
                <w:szCs w:val="24"/>
                <w:color w:val="auto"/>
              </w:rPr>
            </w:pPr>
          </w:p>
        </w:tc>
        <w:tc>
          <w:tcPr>
            <w:tcW w:w="4800" w:type="dxa"/>
            <w:vAlign w:val="bottom"/>
            <w:tcBorders>
              <w:bottom w:val="single" w:sz="8" w:color="58595B"/>
            </w:tcBorders>
          </w:tcPr>
          <w:p>
            <w:pPr>
              <w:spacing w:after="0"/>
              <w:rPr>
                <w:sz w:val="24"/>
                <w:szCs w:val="24"/>
                <w:color w:val="auto"/>
              </w:rPr>
            </w:pPr>
          </w:p>
        </w:tc>
        <w:tc>
          <w:tcPr>
            <w:tcW w:w="260" w:type="dxa"/>
            <w:vAlign w:val="bottom"/>
            <w:tcBorders>
              <w:bottom w:val="single" w:sz="8" w:color="58595B"/>
            </w:tcBorders>
          </w:tcPr>
          <w:p>
            <w:pPr>
              <w:spacing w:after="0"/>
              <w:rPr>
                <w:sz w:val="24"/>
                <w:szCs w:val="24"/>
                <w:color w:val="auto"/>
              </w:rPr>
            </w:pPr>
          </w:p>
        </w:tc>
        <w:tc>
          <w:tcPr>
            <w:tcW w:w="3360" w:type="dxa"/>
            <w:vAlign w:val="bottom"/>
            <w:tcBorders>
              <w:bottom w:val="single" w:sz="8" w:color="58595B"/>
            </w:tcBorders>
          </w:tcPr>
          <w:p>
            <w:pPr>
              <w:spacing w:after="0"/>
              <w:rPr>
                <w:sz w:val="24"/>
                <w:szCs w:val="24"/>
                <w:color w:val="auto"/>
              </w:rPr>
            </w:pPr>
          </w:p>
        </w:tc>
        <w:tc>
          <w:tcPr>
            <w:tcW w:w="162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5" w:name="page56"/>
    <w:bookmarkEnd w:id="55"/>
    <w:p>
      <w:pPr>
        <w:ind w:left="1180" w:right="1000"/>
        <w:spacing w:after="0" w:line="233" w:lineRule="auto"/>
        <w:rPr>
          <w:sz w:val="20"/>
          <w:szCs w:val="20"/>
          <w:color w:val="auto"/>
        </w:rPr>
      </w:pPr>
      <w:r>
        <w:rPr>
          <w:rFonts w:ascii="Arial" w:cs="Arial" w:eastAsia="Arial" w:hAnsi="Arial"/>
          <w:sz w:val="18"/>
          <w:szCs w:val="18"/>
          <w:color w:val="58595B"/>
        </w:rPr>
        <w:t>Our named executive officers and our board of directors maintain significant long-term investments in our company. As of December 31, 2025, each of our named executive officers' and non-employee directors' holdings of our stock exceeded these stock ownership guidelines. Collectively, as reported in the "Security Ownership of Management and Directors" table, our named executive officers and directors beneficially own an aggregate of 15.4 million shares of our common stock as of April 13, 2026, which represents approximately 5.7% of our outstanding common stock with a value of approximately $723 million based on the closing price of our common stock on that date. The fact that our executives and directors hold such a large investment in our shares is part of our culture and our compensation philosophy. Management's sizable investment in our shares aligns their economic interests directly with the interests of our shareholders, and their wealth will rise and fall as our share price rises and falls. This promotes teamwork among our management team and strengthens the team's focus on achieving long-term results and increasing shareholder return.</w:t>
      </w:r>
    </w:p>
    <w:p>
      <w:pPr>
        <w:spacing w:after="0" w:line="265"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HEDGING AND PLEDGING POLICY</w:t>
      </w:r>
    </w:p>
    <w:p>
      <w:pPr>
        <w:spacing w:after="0" w:line="193" w:lineRule="exact"/>
        <w:rPr>
          <w:sz w:val="20"/>
          <w:szCs w:val="20"/>
          <w:color w:val="auto"/>
        </w:rPr>
      </w:pPr>
    </w:p>
    <w:p>
      <w:pPr>
        <w:ind w:left="1180" w:right="1120"/>
        <w:spacing w:after="0" w:line="235" w:lineRule="auto"/>
        <w:rPr>
          <w:sz w:val="20"/>
          <w:szCs w:val="20"/>
          <w:color w:val="auto"/>
        </w:rPr>
      </w:pPr>
      <w:r>
        <w:rPr>
          <w:rFonts w:ascii="Arial" w:cs="Arial" w:eastAsia="Arial" w:hAnsi="Arial"/>
          <w:sz w:val="18"/>
          <w:szCs w:val="18"/>
          <w:color w:val="58595B"/>
        </w:rPr>
        <w:t>In order to more closely align the interests of our directors and executive officers with those of our shareholders and to protect against inappropriate risk-taking, we maintain a hedging and pledging policy, which prohibits our executive officers and directors from engaging in hedging or monetization transactions with respect to our securities, engaging in short-term or speculative transactions in our securities that could create heightened legal risk and/or the appearance of improper or inappropriate conduct or holding FNF securities in margin accounts or pledging them as collateral for loans without our approval. None of our executives or directors had outstanding hedges of our securities as of December 31, 2025.</w:t>
      </w:r>
    </w:p>
    <w:p>
      <w:pPr>
        <w:spacing w:after="0" w:line="268"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CLAWBACK POLICY</w:t>
      </w:r>
    </w:p>
    <w:p>
      <w:pPr>
        <w:spacing w:after="0" w:line="193" w:lineRule="exact"/>
        <w:rPr>
          <w:sz w:val="20"/>
          <w:szCs w:val="20"/>
          <w:color w:val="auto"/>
        </w:rPr>
      </w:pPr>
    </w:p>
    <w:p>
      <w:pPr>
        <w:ind w:left="1180" w:right="1120"/>
        <w:spacing w:after="0" w:line="238" w:lineRule="auto"/>
        <w:rPr>
          <w:sz w:val="20"/>
          <w:szCs w:val="20"/>
          <w:color w:val="auto"/>
        </w:rPr>
      </w:pPr>
      <w:r>
        <w:rPr>
          <w:rFonts w:ascii="Arial" w:cs="Arial" w:eastAsia="Arial" w:hAnsi="Arial"/>
          <w:sz w:val="18"/>
          <w:szCs w:val="18"/>
          <w:color w:val="58595B"/>
        </w:rPr>
        <w:t>We have a policy to clawback and recover incentive-based compensation paid to our executive officers if we are required to prepare an accounting restatement due to material noncompliance with financial reporting requirements. Under the policy, in the event of such a restatement we will clawback any incentive-based compensation paid during the preceding three-year period to the extent it would have been lower had the compensation been based on the restated financial results. No clawbacks were made in 2025.</w:t>
      </w:r>
    </w:p>
    <w:p>
      <w:pPr>
        <w:spacing w:after="0" w:line="26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TAX AND ACCOUNTING CONSIDERATIONS</w:t>
      </w:r>
    </w:p>
    <w:p>
      <w:pPr>
        <w:spacing w:after="0" w:line="193" w:lineRule="exact"/>
        <w:rPr>
          <w:sz w:val="20"/>
          <w:szCs w:val="20"/>
          <w:color w:val="auto"/>
        </w:rPr>
      </w:pPr>
    </w:p>
    <w:p>
      <w:pPr>
        <w:ind w:left="1180" w:right="1120"/>
        <w:spacing w:after="0" w:line="266" w:lineRule="auto"/>
        <w:rPr>
          <w:sz w:val="20"/>
          <w:szCs w:val="20"/>
          <w:color w:val="auto"/>
        </w:rPr>
      </w:pPr>
      <w:r>
        <w:rPr>
          <w:rFonts w:ascii="Arial" w:cs="Arial" w:eastAsia="Arial" w:hAnsi="Arial"/>
          <w:sz w:val="18"/>
          <w:szCs w:val="18"/>
          <w:color w:val="58595B"/>
        </w:rPr>
        <w:t>Our compensation committee considers the impact of tax and accounting treatment when determining executive compensation.</w:t>
      </w:r>
    </w:p>
    <w:p>
      <w:pPr>
        <w:spacing w:after="0" w:line="120" w:lineRule="exact"/>
        <w:rPr>
          <w:sz w:val="20"/>
          <w:szCs w:val="20"/>
          <w:color w:val="auto"/>
        </w:rPr>
      </w:pPr>
    </w:p>
    <w:p>
      <w:pPr>
        <w:ind w:left="1180" w:right="900"/>
        <w:spacing w:after="0" w:line="236" w:lineRule="auto"/>
        <w:rPr>
          <w:sz w:val="20"/>
          <w:szCs w:val="20"/>
          <w:color w:val="auto"/>
        </w:rPr>
      </w:pPr>
      <w:r>
        <w:rPr>
          <w:rFonts w:ascii="Arial" w:cs="Arial" w:eastAsia="Arial" w:hAnsi="Arial"/>
          <w:sz w:val="18"/>
          <w:szCs w:val="18"/>
          <w:color w:val="58595B"/>
        </w:rPr>
        <w:t>Section 162(m) of the Internal Revenue Code places a limit of $1,000,000 on the amount that can be deducted in any one year for compensation paid to certain executive officers. While our compensation committee considers the deductibility of compensation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for tax purposes.</w:t>
      </w:r>
    </w:p>
    <w:p>
      <w:pPr>
        <w:spacing w:after="0" w:line="147" w:lineRule="exact"/>
        <w:rPr>
          <w:sz w:val="20"/>
          <w:szCs w:val="20"/>
          <w:color w:val="auto"/>
        </w:rPr>
      </w:pPr>
    </w:p>
    <w:p>
      <w:pPr>
        <w:jc w:val="both"/>
        <w:ind w:left="1180" w:right="1040"/>
        <w:spacing w:after="0" w:line="247" w:lineRule="auto"/>
        <w:rPr>
          <w:sz w:val="20"/>
          <w:szCs w:val="20"/>
          <w:color w:val="auto"/>
        </w:rPr>
      </w:pPr>
      <w:r>
        <w:rPr>
          <w:rFonts w:ascii="Arial" w:cs="Arial" w:eastAsia="Arial" w:hAnsi="Arial"/>
          <w:sz w:val="18"/>
          <w:szCs w:val="18"/>
          <w:color w:val="58595B"/>
        </w:rPr>
        <w:t>Our compensation committee also considers the accounting impact when structuring and approving awards. We account for share-based payments in accordance with ASC Topic 718, which governs the appropriate accounting treatment of share-based payments under GAAP.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52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58595B"/>
            </w:tcBorders>
          </w:tcPr>
          <w:p>
            <w:pPr>
              <w:spacing w:after="0"/>
              <w:rPr>
                <w:sz w:val="24"/>
                <w:szCs w:val="24"/>
                <w:color w:val="auto"/>
              </w:rPr>
            </w:pPr>
          </w:p>
        </w:tc>
        <w:tc>
          <w:tcPr>
            <w:tcW w:w="438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6" w:name="page57"/>
    <w:bookmarkEnd w:id="56"/>
    <w:p>
      <w:pPr>
        <w:ind w:left="820"/>
        <w:spacing w:after="0"/>
        <w:rPr>
          <w:sz w:val="20"/>
          <w:szCs w:val="20"/>
          <w:color w:val="auto"/>
        </w:rPr>
      </w:pPr>
      <w:r>
        <w:rPr>
          <w:rFonts w:ascii="Arial" w:cs="Arial" w:eastAsia="Arial" w:hAnsi="Arial"/>
          <w:sz w:val="23"/>
          <w:szCs w:val="23"/>
          <w:b w:val="1"/>
          <w:bCs w:val="1"/>
          <w:color w:val="5E769B"/>
        </w:rPr>
        <w:t>COMPENSATION COMMITTEE REPORT</w:t>
      </w:r>
    </w:p>
    <w:p>
      <w:pPr>
        <w:spacing w:after="0" w:line="193" w:lineRule="exact"/>
        <w:rPr>
          <w:sz w:val="20"/>
          <w:szCs w:val="20"/>
          <w:color w:val="auto"/>
        </w:rPr>
      </w:pPr>
    </w:p>
    <w:p>
      <w:pPr>
        <w:ind w:left="820" w:right="360"/>
        <w:spacing w:after="0" w:line="247" w:lineRule="auto"/>
        <w:rPr>
          <w:sz w:val="20"/>
          <w:szCs w:val="20"/>
          <w:color w:val="auto"/>
        </w:rPr>
      </w:pPr>
      <w:r>
        <w:rPr>
          <w:rFonts w:ascii="Arial" w:cs="Arial" w:eastAsia="Arial" w:hAnsi="Arial"/>
          <w:sz w:val="18"/>
          <w:szCs w:val="18"/>
          <w:color w:val="58595B"/>
        </w:rPr>
        <w:t>The compensation committee has reviewed and discussed the Compensation Discussion and Analysis required by Item 402(b) of Regulation S-K with management, and the compensation committee recommended to the board that the Compensation Discussion and Analysis be included in this proxy statement.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9678E"/>
        </w:rPr>
        <w:t>THE COMPENSATION COMMITTEE</w:t>
      </w:r>
    </w:p>
    <w:p>
      <w:pPr>
        <w:jc w:val="center"/>
        <w:ind w:right="-199"/>
        <w:spacing w:after="0" w:line="238" w:lineRule="auto"/>
        <w:rPr>
          <w:sz w:val="20"/>
          <w:szCs w:val="20"/>
          <w:color w:val="auto"/>
        </w:rPr>
      </w:pPr>
      <w:r>
        <w:rPr>
          <w:rFonts w:ascii="Arial" w:cs="Arial" w:eastAsia="Arial" w:hAnsi="Arial"/>
          <w:sz w:val="18"/>
          <w:szCs w:val="18"/>
          <w:color w:val="58595B"/>
        </w:rPr>
        <w:t>Thomas M. Hagerty, Chair</w:t>
      </w:r>
    </w:p>
    <w:p>
      <w:pPr>
        <w:jc w:val="center"/>
        <w:ind w:right="-199"/>
        <w:spacing w:after="0" w:line="228" w:lineRule="auto"/>
        <w:rPr>
          <w:sz w:val="20"/>
          <w:szCs w:val="20"/>
          <w:color w:val="auto"/>
        </w:rPr>
      </w:pPr>
      <w:r>
        <w:rPr>
          <w:rFonts w:ascii="Arial" w:cs="Arial" w:eastAsia="Arial" w:hAnsi="Arial"/>
          <w:sz w:val="18"/>
          <w:szCs w:val="18"/>
          <w:color w:val="58595B"/>
        </w:rPr>
        <w:t>Daniel D. (Ron) Lane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58595B"/>
        </w:rPr>
        <w:t>Cary H. Thompson</w:t>
      </w:r>
    </w:p>
    <w:p>
      <w:pPr>
        <w:spacing w:after="0" w:line="200" w:lineRule="exact"/>
        <w:rPr>
          <w:sz w:val="20"/>
          <w:szCs w:val="20"/>
          <w:color w:val="auto"/>
        </w:rPr>
      </w:pPr>
    </w:p>
    <w:p>
      <w:pPr>
        <w:spacing w:after="0" w:line="312" w:lineRule="exact"/>
        <w:rPr>
          <w:sz w:val="20"/>
          <w:szCs w:val="20"/>
          <w:color w:val="auto"/>
        </w:rPr>
      </w:pPr>
    </w:p>
    <w:p>
      <w:pPr>
        <w:ind w:left="820"/>
        <w:spacing w:after="0"/>
        <w:rPr>
          <w:sz w:val="20"/>
          <w:szCs w:val="20"/>
          <w:color w:val="auto"/>
        </w:rPr>
      </w:pPr>
      <w:r>
        <w:rPr>
          <w:rFonts w:ascii="Arial" w:cs="Arial" w:eastAsia="Arial" w:hAnsi="Arial"/>
          <w:sz w:val="33"/>
          <w:szCs w:val="33"/>
          <w:b w:val="1"/>
          <w:bCs w:val="1"/>
          <w:color w:val="274F78"/>
        </w:rPr>
        <w:t>EXECUTIVE COMPENSATION</w:t>
      </w:r>
    </w:p>
    <w:p>
      <w:pPr>
        <w:spacing w:after="0" w:line="202" w:lineRule="exact"/>
        <w:rPr>
          <w:sz w:val="20"/>
          <w:szCs w:val="20"/>
          <w:color w:val="auto"/>
        </w:rPr>
      </w:pPr>
    </w:p>
    <w:p>
      <w:pPr>
        <w:ind w:left="820" w:right="360"/>
        <w:spacing w:after="0" w:line="266" w:lineRule="auto"/>
        <w:rPr>
          <w:sz w:val="20"/>
          <w:szCs w:val="20"/>
          <w:color w:val="auto"/>
        </w:rPr>
      </w:pPr>
      <w:r>
        <w:rPr>
          <w:rFonts w:ascii="Arial" w:cs="Arial" w:eastAsia="Arial" w:hAnsi="Arial"/>
          <w:sz w:val="18"/>
          <w:szCs w:val="18"/>
          <w:color w:val="58595B"/>
        </w:rPr>
        <w:t>The following table contains information concerning the cash and non-cash compensation awarded to or earned by our named executive officers for the years indicated.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5E769B"/>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135890</wp:posOffset>
            </wp:positionV>
            <wp:extent cx="7620" cy="7353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20" cy="73533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135890</wp:posOffset>
            </wp:positionV>
            <wp:extent cx="7620" cy="7353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20" cy="735330"/>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135890</wp:posOffset>
            </wp:positionV>
            <wp:extent cx="7620" cy="7353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20" cy="73533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135890</wp:posOffset>
            </wp:positionV>
            <wp:extent cx="7620" cy="7353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20" cy="73533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135890</wp:posOffset>
            </wp:positionV>
            <wp:extent cx="7620" cy="7353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20" cy="7353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135890</wp:posOffset>
            </wp:positionV>
            <wp:extent cx="7620" cy="7353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20" cy="735330"/>
                    </a:xfrm>
                    <a:prstGeom prst="rect">
                      <a:avLst/>
                    </a:prstGeom>
                    <a:noFill/>
                  </pic:spPr>
                </pic:pic>
              </a:graphicData>
            </a:graphic>
          </wp:anchor>
        </w:drawing>
      </w:r>
    </w:p>
    <w:p>
      <w:pPr>
        <w:spacing w:after="0" w:line="194" w:lineRule="exact"/>
        <w:rPr>
          <w:sz w:val="20"/>
          <w:szCs w:val="20"/>
          <w:color w:val="auto"/>
        </w:rPr>
      </w:pPr>
    </w:p>
    <w:tbl>
      <w:tblPr>
        <w:tblLayout w:type="fixed"/>
        <w:tblInd w:w="1290" w:type="dxa"/>
        <w:tblCellMar>
          <w:top w:w="0" w:type="dxa"/>
          <w:left w:w="0" w:type="dxa"/>
          <w:bottom w:w="0" w:type="dxa"/>
          <w:right w:w="0" w:type="dxa"/>
        </w:tblCellMar>
      </w:tblPr>
      <w:tr>
        <w:trPr>
          <w:trHeight w:val="493"/>
        </w:trPr>
        <w:tc>
          <w:tcPr>
            <w:tcW w:w="2060" w:type="dxa"/>
            <w:vAlign w:val="bottom"/>
            <w:tcBorders>
              <w:left w:val="single" w:sz="8" w:color="58595B"/>
              <w:right w:val="single" w:sz="8" w:color="274F78"/>
            </w:tcBorders>
            <w:shd w:val="clear" w:color="auto" w:fill="274F78"/>
          </w:tcPr>
          <w:p>
            <w:pPr>
              <w:spacing w:after="0"/>
              <w:rPr>
                <w:sz w:val="24"/>
                <w:szCs w:val="24"/>
                <w:color w:val="auto"/>
              </w:rPr>
            </w:pPr>
          </w:p>
        </w:tc>
        <w:tc>
          <w:tcPr>
            <w:tcW w:w="660" w:type="dxa"/>
            <w:vAlign w:val="bottom"/>
            <w:tcBorders>
              <w:right w:val="single" w:sz="8" w:color="274F78"/>
            </w:tcBorders>
            <w:shd w:val="clear" w:color="auto" w:fill="274F78"/>
          </w:tcPr>
          <w:p>
            <w:pPr>
              <w:spacing w:after="0"/>
              <w:rPr>
                <w:sz w:val="24"/>
                <w:szCs w:val="24"/>
                <w:color w:val="auto"/>
              </w:rPr>
            </w:pPr>
          </w:p>
        </w:tc>
        <w:tc>
          <w:tcPr>
            <w:tcW w:w="1020" w:type="dxa"/>
            <w:vAlign w:val="bottom"/>
            <w:tcBorders>
              <w:right w:val="single" w:sz="8" w:color="274F78"/>
            </w:tcBorders>
            <w:shd w:val="clear" w:color="auto" w:fill="274F78"/>
          </w:tcPr>
          <w:p>
            <w:pPr>
              <w:spacing w:after="0"/>
              <w:rPr>
                <w:sz w:val="24"/>
                <w:szCs w:val="24"/>
                <w:color w:val="auto"/>
              </w:rPr>
            </w:pPr>
          </w:p>
        </w:tc>
        <w:tc>
          <w:tcPr>
            <w:tcW w:w="1000" w:type="dxa"/>
            <w:vAlign w:val="bottom"/>
            <w:tcBorders>
              <w:right w:val="single" w:sz="8" w:color="274F78"/>
            </w:tcBorders>
            <w:shd w:val="clear" w:color="auto" w:fill="274F78"/>
          </w:tcPr>
          <w:p>
            <w:pPr>
              <w:spacing w:after="0"/>
              <w:rPr>
                <w:sz w:val="24"/>
                <w:szCs w:val="24"/>
                <w:color w:val="auto"/>
              </w:rPr>
            </w:pP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Non-Equity</w:t>
            </w:r>
          </w:p>
        </w:tc>
        <w:tc>
          <w:tcPr>
            <w:tcW w:w="1340" w:type="dxa"/>
            <w:vAlign w:val="bottom"/>
            <w:tcBorders>
              <w:right w:val="single" w:sz="8" w:color="274F78"/>
            </w:tcBorders>
            <w:shd w:val="clear" w:color="auto" w:fill="274F78"/>
          </w:tcPr>
          <w:p>
            <w:pPr>
              <w:spacing w:after="0"/>
              <w:rPr>
                <w:sz w:val="24"/>
                <w:szCs w:val="24"/>
                <w:color w:val="auto"/>
              </w:rPr>
            </w:pPr>
          </w:p>
        </w:tc>
        <w:tc>
          <w:tcPr>
            <w:tcW w:w="1000" w:type="dxa"/>
            <w:vAlign w:val="bottom"/>
            <w:tcBorders>
              <w:right w:val="single" w:sz="8" w:color="58595B"/>
            </w:tcBorders>
            <w:shd w:val="clear" w:color="auto" w:fill="274F78"/>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60" w:type="dxa"/>
            <w:vAlign w:val="bottom"/>
            <w:tcBorders>
              <w:left w:val="single" w:sz="8" w:color="58595B"/>
              <w:right w:val="single" w:sz="8" w:color="274F78"/>
            </w:tcBorders>
            <w:shd w:val="clear" w:color="auto" w:fill="274F78"/>
          </w:tcPr>
          <w:p>
            <w:pPr>
              <w:spacing w:after="0"/>
              <w:rPr>
                <w:sz w:val="15"/>
                <w:szCs w:val="15"/>
                <w:color w:val="auto"/>
              </w:rPr>
            </w:pPr>
          </w:p>
        </w:tc>
        <w:tc>
          <w:tcPr>
            <w:tcW w:w="660" w:type="dxa"/>
            <w:vAlign w:val="bottom"/>
            <w:tcBorders>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10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Stock</w:t>
            </w: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Incentive Plan</w:t>
            </w:r>
          </w:p>
        </w:tc>
        <w:tc>
          <w:tcPr>
            <w:tcW w:w="134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All Other</w:t>
            </w:r>
          </w:p>
        </w:tc>
        <w:tc>
          <w:tcPr>
            <w:tcW w:w="1000" w:type="dxa"/>
            <w:vAlign w:val="bottom"/>
            <w:tcBorders>
              <w:right w:val="single" w:sz="8" w:color="58595B"/>
            </w:tcBorders>
            <w:shd w:val="clear" w:color="auto" w:fill="274F78"/>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Borders>
              <w:left w:val="single" w:sz="8" w:color="58595B"/>
              <w:right w:val="single" w:sz="8" w:color="274F78"/>
            </w:tcBorders>
            <w:shd w:val="clear" w:color="auto" w:fill="274F78"/>
          </w:tcPr>
          <w:p>
            <w:pPr>
              <w:ind w:left="660"/>
              <w:spacing w:after="0"/>
              <w:rPr>
                <w:sz w:val="20"/>
                <w:szCs w:val="20"/>
                <w:color w:val="auto"/>
              </w:rPr>
            </w:pPr>
            <w:r>
              <w:rPr>
                <w:rFonts w:ascii="Arial" w:cs="Arial" w:eastAsia="Arial" w:hAnsi="Arial"/>
                <w:sz w:val="15"/>
                <w:szCs w:val="15"/>
                <w:b w:val="1"/>
                <w:bCs w:val="1"/>
                <w:color w:val="FFFFFF"/>
              </w:rPr>
              <w:t>Name and</w:t>
            </w:r>
          </w:p>
        </w:tc>
        <w:tc>
          <w:tcPr>
            <w:tcW w:w="6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Fiscal</w:t>
            </w:r>
          </w:p>
        </w:tc>
        <w:tc>
          <w:tcPr>
            <w:tcW w:w="1020" w:type="dxa"/>
            <w:vAlign w:val="bottom"/>
            <w:tcBorders>
              <w:right w:val="single" w:sz="8" w:color="274F78"/>
            </w:tcBorders>
            <w:shd w:val="clear" w:color="auto" w:fill="274F78"/>
          </w:tcPr>
          <w:p>
            <w:pPr>
              <w:ind w:left="280"/>
              <w:spacing w:after="0"/>
              <w:rPr>
                <w:sz w:val="20"/>
                <w:szCs w:val="20"/>
                <w:color w:val="auto"/>
              </w:rPr>
            </w:pPr>
            <w:r>
              <w:rPr>
                <w:rFonts w:ascii="Arial" w:cs="Arial" w:eastAsia="Arial" w:hAnsi="Arial"/>
                <w:sz w:val="15"/>
                <w:szCs w:val="15"/>
                <w:b w:val="1"/>
                <w:bCs w:val="1"/>
                <w:color w:val="FFFFFF"/>
              </w:rPr>
              <w:t>Salary</w:t>
            </w:r>
          </w:p>
        </w:tc>
        <w:tc>
          <w:tcPr>
            <w:tcW w:w="10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Awards</w:t>
            </w: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Compensation</w:t>
            </w:r>
          </w:p>
        </w:tc>
        <w:tc>
          <w:tcPr>
            <w:tcW w:w="134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1000" w:type="dxa"/>
            <w:vAlign w:val="bottom"/>
            <w:tcBorders>
              <w:right w:val="single" w:sz="8" w:color="58595B"/>
            </w:tcBorders>
            <w:shd w:val="clear" w:color="auto" w:fill="274F78"/>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60" w:type="dxa"/>
            <w:vAlign w:val="bottom"/>
            <w:tcBorders>
              <w:left w:val="single" w:sz="8" w:color="58595B"/>
              <w:right w:val="single" w:sz="8" w:color="274F78"/>
            </w:tcBorders>
            <w:shd w:val="clear" w:color="auto" w:fill="274F78"/>
          </w:tcPr>
          <w:p>
            <w:pPr>
              <w:ind w:left="400"/>
              <w:spacing w:after="0"/>
              <w:rPr>
                <w:sz w:val="20"/>
                <w:szCs w:val="20"/>
                <w:color w:val="auto"/>
              </w:rPr>
            </w:pPr>
            <w:r>
              <w:rPr>
                <w:rFonts w:ascii="Arial" w:cs="Arial" w:eastAsia="Arial" w:hAnsi="Arial"/>
                <w:sz w:val="15"/>
                <w:szCs w:val="15"/>
                <w:b w:val="1"/>
                <w:bCs w:val="1"/>
                <w:color w:val="FFFFFF"/>
              </w:rPr>
              <w:t>Principal Position</w:t>
            </w:r>
          </w:p>
        </w:tc>
        <w:tc>
          <w:tcPr>
            <w:tcW w:w="6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Year</w:t>
            </w:r>
          </w:p>
        </w:tc>
        <w:tc>
          <w:tcPr>
            <w:tcW w:w="1020" w:type="dxa"/>
            <w:vAlign w:val="bottom"/>
            <w:tcBorders>
              <w:right w:val="single" w:sz="8" w:color="274F78"/>
            </w:tcBorders>
            <w:shd w:val="clear" w:color="auto" w:fill="274F78"/>
          </w:tcPr>
          <w:p>
            <w:pPr>
              <w:jc w:val="center"/>
              <w:spacing w:after="0" w:line="297" w:lineRule="exact"/>
              <w:rPr>
                <w:sz w:val="20"/>
                <w:szCs w:val="20"/>
                <w:color w:val="auto"/>
              </w:rPr>
            </w:pPr>
            <w:r>
              <w:rPr>
                <w:rFonts w:ascii="Arial" w:cs="Arial" w:eastAsia="Arial" w:hAnsi="Arial"/>
                <w:sz w:val="15"/>
                <w:szCs w:val="15"/>
                <w:b w:val="1"/>
                <w:bCs w:val="1"/>
                <w:color w:val="FFFFFF"/>
                <w:w w:val="91"/>
              </w:rPr>
              <w:t>($)</w:t>
            </w:r>
            <w:r>
              <w:rPr>
                <w:rFonts w:ascii="Arial" w:cs="Arial" w:eastAsia="Arial" w:hAnsi="Arial"/>
                <w:sz w:val="27"/>
                <w:szCs w:val="27"/>
                <w:b w:val="1"/>
                <w:bCs w:val="1"/>
                <w:color w:val="FFFFFF"/>
                <w:w w:val="91"/>
                <w:vertAlign w:val="superscript"/>
              </w:rPr>
              <w:t>1</w:t>
            </w:r>
          </w:p>
        </w:tc>
        <w:tc>
          <w:tcPr>
            <w:tcW w:w="1000" w:type="dxa"/>
            <w:vAlign w:val="bottom"/>
            <w:tcBorders>
              <w:right w:val="single" w:sz="8" w:color="274F78"/>
            </w:tcBorders>
            <w:shd w:val="clear" w:color="auto" w:fill="274F78"/>
          </w:tcPr>
          <w:p>
            <w:pPr>
              <w:jc w:val="center"/>
              <w:spacing w:after="0" w:line="297" w:lineRule="exact"/>
              <w:rPr>
                <w:sz w:val="20"/>
                <w:szCs w:val="20"/>
                <w:color w:val="auto"/>
              </w:rPr>
            </w:pPr>
            <w:r>
              <w:rPr>
                <w:rFonts w:ascii="Arial" w:cs="Arial" w:eastAsia="Arial" w:hAnsi="Arial"/>
                <w:sz w:val="15"/>
                <w:szCs w:val="15"/>
                <w:b w:val="1"/>
                <w:bCs w:val="1"/>
                <w:color w:val="FFFFFF"/>
                <w:w w:val="91"/>
              </w:rPr>
              <w:t>($)</w:t>
            </w:r>
            <w:r>
              <w:rPr>
                <w:rFonts w:ascii="Arial" w:cs="Arial" w:eastAsia="Arial" w:hAnsi="Arial"/>
                <w:sz w:val="27"/>
                <w:szCs w:val="27"/>
                <w:b w:val="1"/>
                <w:bCs w:val="1"/>
                <w:color w:val="FFFFFF"/>
                <w:w w:val="91"/>
                <w:vertAlign w:val="superscript"/>
              </w:rPr>
              <w:t>2</w:t>
            </w:r>
          </w:p>
        </w:tc>
        <w:tc>
          <w:tcPr>
            <w:tcW w:w="1360" w:type="dxa"/>
            <w:vAlign w:val="bottom"/>
            <w:tcBorders>
              <w:right w:val="single" w:sz="8" w:color="274F78"/>
            </w:tcBorders>
            <w:shd w:val="clear" w:color="auto" w:fill="274F78"/>
          </w:tcPr>
          <w:p>
            <w:pPr>
              <w:jc w:val="center"/>
              <w:spacing w:after="0" w:line="297" w:lineRule="exact"/>
              <w:rPr>
                <w:sz w:val="20"/>
                <w:szCs w:val="20"/>
                <w:color w:val="auto"/>
              </w:rPr>
            </w:pPr>
            <w:r>
              <w:rPr>
                <w:rFonts w:ascii="Arial" w:cs="Arial" w:eastAsia="Arial" w:hAnsi="Arial"/>
                <w:sz w:val="15"/>
                <w:szCs w:val="15"/>
                <w:b w:val="1"/>
                <w:bCs w:val="1"/>
                <w:color w:val="FFFFFF"/>
                <w:w w:val="92"/>
              </w:rPr>
              <w:t xml:space="preserve">($) </w:t>
            </w:r>
            <w:r>
              <w:rPr>
                <w:rFonts w:ascii="Arial" w:cs="Arial" w:eastAsia="Arial" w:hAnsi="Arial"/>
                <w:sz w:val="27"/>
                <w:szCs w:val="27"/>
                <w:b w:val="1"/>
                <w:bCs w:val="1"/>
                <w:color w:val="FFFFFF"/>
                <w:w w:val="92"/>
                <w:vertAlign w:val="superscript"/>
              </w:rPr>
              <w:t>3</w:t>
            </w:r>
          </w:p>
        </w:tc>
        <w:tc>
          <w:tcPr>
            <w:tcW w:w="1340" w:type="dxa"/>
            <w:vAlign w:val="bottom"/>
            <w:tcBorders>
              <w:right w:val="single" w:sz="8" w:color="274F78"/>
            </w:tcBorders>
            <w:shd w:val="clear" w:color="auto" w:fill="274F78"/>
          </w:tcPr>
          <w:p>
            <w:pPr>
              <w:jc w:val="center"/>
              <w:spacing w:after="0" w:line="297" w:lineRule="exact"/>
              <w:rPr>
                <w:sz w:val="20"/>
                <w:szCs w:val="20"/>
                <w:color w:val="auto"/>
              </w:rPr>
            </w:pPr>
            <w:r>
              <w:rPr>
                <w:rFonts w:ascii="Arial" w:cs="Arial" w:eastAsia="Arial" w:hAnsi="Arial"/>
                <w:sz w:val="15"/>
                <w:szCs w:val="15"/>
                <w:b w:val="1"/>
                <w:bCs w:val="1"/>
                <w:color w:val="FFFFFF"/>
                <w:w w:val="91"/>
              </w:rPr>
              <w:t>($)</w:t>
            </w:r>
            <w:r>
              <w:rPr>
                <w:rFonts w:ascii="Arial" w:cs="Arial" w:eastAsia="Arial" w:hAnsi="Arial"/>
                <w:sz w:val="27"/>
                <w:szCs w:val="27"/>
                <w:b w:val="1"/>
                <w:bCs w:val="1"/>
                <w:color w:val="FFFFFF"/>
                <w:w w:val="91"/>
                <w:vertAlign w:val="superscript"/>
              </w:rPr>
              <w:t>4</w:t>
            </w:r>
          </w:p>
        </w:tc>
        <w:tc>
          <w:tcPr>
            <w:tcW w:w="1000" w:type="dxa"/>
            <w:vAlign w:val="bottom"/>
            <w:tcBorders>
              <w:right w:val="single" w:sz="8" w:color="58595B"/>
            </w:tcBorders>
            <w:shd w:val="clear" w:color="auto" w:fill="274F78"/>
          </w:tcPr>
          <w:p>
            <w:pPr>
              <w:ind w:left="220"/>
              <w:spacing w:after="0"/>
              <w:rPr>
                <w:sz w:val="20"/>
                <w:szCs w:val="20"/>
                <w:color w:val="auto"/>
              </w:rPr>
            </w:pPr>
            <w:r>
              <w:rPr>
                <w:rFonts w:ascii="Arial" w:cs="Arial" w:eastAsia="Arial" w:hAnsi="Arial"/>
                <w:sz w:val="15"/>
                <w:szCs w:val="15"/>
                <w:b w:val="1"/>
                <w:bCs w:val="1"/>
                <w:color w:val="FFFFFF"/>
              </w:rPr>
              <w:t>Total ($)</w:t>
            </w:r>
          </w:p>
        </w:tc>
        <w:tc>
          <w:tcPr>
            <w:tcW w:w="0" w:type="dxa"/>
            <w:vAlign w:val="bottom"/>
          </w:tcPr>
          <w:p>
            <w:pPr>
              <w:spacing w:after="0"/>
              <w:rPr>
                <w:sz w:val="1"/>
                <w:szCs w:val="1"/>
                <w:color w:val="auto"/>
              </w:rPr>
            </w:pPr>
          </w:p>
        </w:tc>
      </w:tr>
      <w:tr>
        <w:trPr>
          <w:trHeight w:val="255"/>
        </w:trPr>
        <w:tc>
          <w:tcPr>
            <w:tcW w:w="2060" w:type="dxa"/>
            <w:vAlign w:val="bottom"/>
            <w:tcBorders>
              <w:left w:val="single" w:sz="8" w:color="58595B"/>
              <w:right w:val="single" w:sz="8" w:color="58595B"/>
            </w:tcBorders>
          </w:tcPr>
          <w:p>
            <w:pPr>
              <w:spacing w:after="0"/>
              <w:rPr>
                <w:sz w:val="22"/>
                <w:szCs w:val="22"/>
                <w:color w:val="auto"/>
              </w:rPr>
            </w:pP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2025</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1,083,846</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5,960,007</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4,400,000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203,040</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11,646,893</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color w:val="58595B"/>
              </w:rPr>
              <w:t>Michael J. Nolan</w:t>
            </w: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58595B"/>
              <w:right w:val="single" w:sz="8" w:color="58595B"/>
            </w:tcBorders>
            <w:vMerge w:val="continue"/>
          </w:tcPr>
          <w:p>
            <w:pPr>
              <w:spacing w:after="0"/>
              <w:rPr>
                <w:sz w:val="12"/>
                <w:szCs w:val="12"/>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2024</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996,154</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5,800,039</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3,550,496</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221,064</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10,567,753</w:t>
            </w:r>
          </w:p>
        </w:tc>
        <w:tc>
          <w:tcPr>
            <w:tcW w:w="0" w:type="dxa"/>
            <w:vAlign w:val="bottom"/>
          </w:tcPr>
          <w:p>
            <w:pPr>
              <w:spacing w:after="0"/>
              <w:rPr>
                <w:sz w:val="1"/>
                <w:szCs w:val="1"/>
                <w:color w:val="auto"/>
              </w:rPr>
            </w:pPr>
          </w:p>
        </w:tc>
      </w:tr>
      <w:tr>
        <w:trPr>
          <w:trHeight w:val="106"/>
        </w:trPr>
        <w:tc>
          <w:tcPr>
            <w:tcW w:w="2060" w:type="dxa"/>
            <w:vAlign w:val="bottom"/>
            <w:tcBorders>
              <w:left w:val="single" w:sz="8" w:color="58595B"/>
              <w:right w:val="single" w:sz="8" w:color="58595B"/>
            </w:tcBorders>
            <w:vMerge w:val="restart"/>
          </w:tcPr>
          <w:p>
            <w:pPr>
              <w:ind w:left="100"/>
              <w:spacing w:after="0" w:line="171" w:lineRule="exact"/>
              <w:rPr>
                <w:sz w:val="20"/>
                <w:szCs w:val="20"/>
                <w:color w:val="auto"/>
              </w:rPr>
            </w:pPr>
            <w:r>
              <w:rPr>
                <w:rFonts w:ascii="Arial" w:cs="Arial" w:eastAsia="Arial" w:hAnsi="Arial"/>
                <w:sz w:val="15"/>
                <w:szCs w:val="15"/>
                <w:i w:val="1"/>
                <w:iCs w:val="1"/>
                <w:color w:val="58595B"/>
              </w:rPr>
              <w:t>Chief Executive Officer</w:t>
            </w:r>
          </w:p>
        </w:tc>
        <w:tc>
          <w:tcPr>
            <w:tcW w:w="660" w:type="dxa"/>
            <w:vAlign w:val="bottom"/>
            <w:tcBorders>
              <w:right w:val="single" w:sz="8" w:color="58595B"/>
            </w:tcBorders>
            <w:vMerge w:val="continue"/>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136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tcPr>
          <w:p>
            <w:pPr>
              <w:spacing w:after="0"/>
              <w:rPr>
                <w:sz w:val="21"/>
                <w:szCs w:val="21"/>
                <w:color w:val="auto"/>
              </w:rPr>
            </w:pP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2023</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947,308</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5,510,038</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3,236,333</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197,906</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9,891,585</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tcPr>
          <w:p>
            <w:pPr>
              <w:spacing w:after="0"/>
              <w:rPr>
                <w:sz w:val="21"/>
                <w:szCs w:val="21"/>
                <w:color w:val="auto"/>
              </w:rPr>
            </w:pP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2025</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550,000</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3,410,054</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1,650,000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221,043</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5,831,097</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color w:val="58595B"/>
              </w:rPr>
              <w:t>Raymond R. Quirk</w:t>
            </w: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58595B"/>
              <w:right w:val="single" w:sz="8" w:color="58595B"/>
            </w:tcBorders>
            <w:vMerge w:val="continue"/>
          </w:tcPr>
          <w:p>
            <w:pPr>
              <w:spacing w:after="0"/>
              <w:rPr>
                <w:sz w:val="12"/>
                <w:szCs w:val="12"/>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2024</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561,539</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4,300,071</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1,541,663</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231,344</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6,634,617</w:t>
            </w:r>
          </w:p>
        </w:tc>
        <w:tc>
          <w:tcPr>
            <w:tcW w:w="0" w:type="dxa"/>
            <w:vAlign w:val="bottom"/>
          </w:tcPr>
          <w:p>
            <w:pPr>
              <w:spacing w:after="0"/>
              <w:rPr>
                <w:sz w:val="1"/>
                <w:szCs w:val="1"/>
                <w:color w:val="auto"/>
              </w:rPr>
            </w:pPr>
          </w:p>
        </w:tc>
      </w:tr>
      <w:tr>
        <w:trPr>
          <w:trHeight w:val="106"/>
        </w:trPr>
        <w:tc>
          <w:tcPr>
            <w:tcW w:w="2060" w:type="dxa"/>
            <w:vAlign w:val="bottom"/>
            <w:tcBorders>
              <w:left w:val="single" w:sz="8" w:color="58595B"/>
              <w:right w:val="single" w:sz="8" w:color="58595B"/>
            </w:tcBorders>
            <w:vMerge w:val="restart"/>
          </w:tcPr>
          <w:p>
            <w:pPr>
              <w:ind w:left="100"/>
              <w:spacing w:after="0" w:line="171" w:lineRule="exact"/>
              <w:rPr>
                <w:sz w:val="20"/>
                <w:szCs w:val="20"/>
                <w:color w:val="auto"/>
              </w:rPr>
            </w:pPr>
            <w:r>
              <w:rPr>
                <w:rFonts w:ascii="Arial" w:cs="Arial" w:eastAsia="Arial" w:hAnsi="Arial"/>
                <w:sz w:val="15"/>
                <w:szCs w:val="15"/>
                <w:i w:val="1"/>
                <w:iCs w:val="1"/>
                <w:color w:val="58595B"/>
              </w:rPr>
              <w:t>Executive Vice-Chairman</w:t>
            </w:r>
          </w:p>
        </w:tc>
        <w:tc>
          <w:tcPr>
            <w:tcW w:w="660" w:type="dxa"/>
            <w:vAlign w:val="bottom"/>
            <w:tcBorders>
              <w:right w:val="single" w:sz="8" w:color="58595B"/>
            </w:tcBorders>
            <w:vMerge w:val="continue"/>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136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tcPr>
          <w:p>
            <w:pPr>
              <w:spacing w:after="0"/>
              <w:rPr>
                <w:sz w:val="21"/>
                <w:szCs w:val="21"/>
                <w:color w:val="auto"/>
              </w:rPr>
            </w:pP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2023</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665,385</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4,210,079</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1,660,750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200,436</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6,736,650</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color w:val="58595B"/>
              </w:rPr>
              <w:t>Anthony J. Park</w:t>
            </w: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2025</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762,885</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1,785,030</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1,937,500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147,921</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4,633,336</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58595B"/>
              <w:right w:val="single" w:sz="8" w:color="58595B"/>
            </w:tcBorders>
            <w:vMerge w:val="continue"/>
          </w:tcPr>
          <w:p>
            <w:pPr>
              <w:spacing w:after="0"/>
              <w:rPr>
                <w:sz w:val="4"/>
                <w:szCs w:val="4"/>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2024</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695,962</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1,700,052</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1,504,289</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142,974</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4,043,277</w:t>
            </w:r>
          </w:p>
        </w:tc>
        <w:tc>
          <w:tcPr>
            <w:tcW w:w="0" w:type="dxa"/>
            <w:vAlign w:val="bottom"/>
          </w:tcPr>
          <w:p>
            <w:pPr>
              <w:spacing w:after="0"/>
              <w:rPr>
                <w:sz w:val="1"/>
                <w:szCs w:val="1"/>
                <w:color w:val="auto"/>
              </w:rPr>
            </w:pPr>
          </w:p>
        </w:tc>
      </w:tr>
      <w:tr>
        <w:trPr>
          <w:trHeight w:val="173"/>
        </w:trPr>
        <w:tc>
          <w:tcPr>
            <w:tcW w:w="2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i w:val="1"/>
                <w:iCs w:val="1"/>
                <w:color w:val="58595B"/>
              </w:rPr>
              <w:t>Executive Vice President</w:t>
            </w:r>
          </w:p>
        </w:tc>
        <w:tc>
          <w:tcPr>
            <w:tcW w:w="660" w:type="dxa"/>
            <w:vAlign w:val="bottom"/>
            <w:tcBorders>
              <w:right w:val="single" w:sz="8" w:color="58595B"/>
            </w:tcBorders>
            <w:vMerge w:val="continue"/>
          </w:tcPr>
          <w:p>
            <w:pPr>
              <w:spacing w:after="0"/>
              <w:rPr>
                <w:sz w:val="15"/>
                <w:szCs w:val="15"/>
                <w:color w:val="auto"/>
              </w:rPr>
            </w:pPr>
          </w:p>
        </w:tc>
        <w:tc>
          <w:tcPr>
            <w:tcW w:w="1020" w:type="dxa"/>
            <w:vAlign w:val="bottom"/>
            <w:tcBorders>
              <w:right w:val="single" w:sz="8" w:color="58595B"/>
            </w:tcBorders>
            <w:vMerge w:val="continue"/>
          </w:tcPr>
          <w:p>
            <w:pPr>
              <w:spacing w:after="0"/>
              <w:rPr>
                <w:sz w:val="15"/>
                <w:szCs w:val="15"/>
                <w:color w:val="auto"/>
              </w:rPr>
            </w:pPr>
          </w:p>
        </w:tc>
        <w:tc>
          <w:tcPr>
            <w:tcW w:w="1000" w:type="dxa"/>
            <w:vAlign w:val="bottom"/>
            <w:tcBorders>
              <w:right w:val="single" w:sz="8" w:color="58595B"/>
            </w:tcBorders>
            <w:vMerge w:val="continue"/>
          </w:tcPr>
          <w:p>
            <w:pPr>
              <w:spacing w:after="0"/>
              <w:rPr>
                <w:sz w:val="15"/>
                <w:szCs w:val="15"/>
                <w:color w:val="auto"/>
              </w:rPr>
            </w:pPr>
          </w:p>
        </w:tc>
        <w:tc>
          <w:tcPr>
            <w:tcW w:w="1360" w:type="dxa"/>
            <w:vAlign w:val="bottom"/>
            <w:tcBorders>
              <w:right w:val="single" w:sz="8" w:color="58595B"/>
            </w:tcBorders>
            <w:vMerge w:val="continue"/>
          </w:tcPr>
          <w:p>
            <w:pPr>
              <w:spacing w:after="0"/>
              <w:rPr>
                <w:sz w:val="15"/>
                <w:szCs w:val="15"/>
                <w:color w:val="auto"/>
              </w:rPr>
            </w:pPr>
          </w:p>
        </w:tc>
        <w:tc>
          <w:tcPr>
            <w:tcW w:w="1340" w:type="dxa"/>
            <w:vAlign w:val="bottom"/>
            <w:tcBorders>
              <w:right w:val="single" w:sz="8" w:color="58595B"/>
            </w:tcBorders>
            <w:vMerge w:val="continue"/>
          </w:tcPr>
          <w:p>
            <w:pPr>
              <w:spacing w:after="0"/>
              <w:rPr>
                <w:sz w:val="15"/>
                <w:szCs w:val="15"/>
                <w:color w:val="auto"/>
              </w:rPr>
            </w:pPr>
          </w:p>
        </w:tc>
        <w:tc>
          <w:tcPr>
            <w:tcW w:w="1000" w:type="dxa"/>
            <w:vAlign w:val="bottom"/>
            <w:tcBorders>
              <w:right w:val="single" w:sz="8" w:color="58595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i w:val="1"/>
                <w:iCs w:val="1"/>
                <w:color w:val="58595B"/>
              </w:rPr>
              <w:t>and Chief Financial Officer</w:t>
            </w:r>
          </w:p>
        </w:tc>
        <w:tc>
          <w:tcPr>
            <w:tcW w:w="660" w:type="dxa"/>
            <w:vAlign w:val="bottom"/>
            <w:tcBorders>
              <w:bottom w:val="single" w:sz="8" w:color="58595B"/>
              <w:right w:val="single" w:sz="8" w:color="58595B"/>
            </w:tcBorders>
          </w:tcPr>
          <w:p>
            <w:pPr>
              <w:spacing w:after="0"/>
              <w:rPr>
                <w:sz w:val="7"/>
                <w:szCs w:val="7"/>
                <w:color w:val="auto"/>
              </w:rPr>
            </w:pPr>
          </w:p>
        </w:tc>
        <w:tc>
          <w:tcPr>
            <w:tcW w:w="1020" w:type="dxa"/>
            <w:vAlign w:val="bottom"/>
            <w:tcBorders>
              <w:bottom w:val="single" w:sz="8" w:color="58595B"/>
              <w:right w:val="single" w:sz="8" w:color="58595B"/>
            </w:tcBorders>
          </w:tcPr>
          <w:p>
            <w:pPr>
              <w:spacing w:after="0"/>
              <w:rPr>
                <w:sz w:val="7"/>
                <w:szCs w:val="7"/>
                <w:color w:val="auto"/>
              </w:rPr>
            </w:pPr>
          </w:p>
        </w:tc>
        <w:tc>
          <w:tcPr>
            <w:tcW w:w="1000" w:type="dxa"/>
            <w:vAlign w:val="bottom"/>
            <w:tcBorders>
              <w:bottom w:val="single" w:sz="8" w:color="58595B"/>
              <w:right w:val="single" w:sz="8" w:color="58595B"/>
            </w:tcBorders>
          </w:tcPr>
          <w:p>
            <w:pPr>
              <w:spacing w:after="0"/>
              <w:rPr>
                <w:sz w:val="7"/>
                <w:szCs w:val="7"/>
                <w:color w:val="auto"/>
              </w:rPr>
            </w:pPr>
          </w:p>
        </w:tc>
        <w:tc>
          <w:tcPr>
            <w:tcW w:w="1360" w:type="dxa"/>
            <w:vAlign w:val="bottom"/>
            <w:tcBorders>
              <w:bottom w:val="single" w:sz="8" w:color="58595B"/>
              <w:right w:val="single" w:sz="8" w:color="58595B"/>
            </w:tcBorders>
          </w:tcPr>
          <w:p>
            <w:pPr>
              <w:spacing w:after="0"/>
              <w:rPr>
                <w:sz w:val="7"/>
                <w:szCs w:val="7"/>
                <w:color w:val="auto"/>
              </w:rPr>
            </w:pPr>
          </w:p>
        </w:tc>
        <w:tc>
          <w:tcPr>
            <w:tcW w:w="1340" w:type="dxa"/>
            <w:vAlign w:val="bottom"/>
            <w:tcBorders>
              <w:bottom w:val="single" w:sz="8" w:color="58595B"/>
              <w:right w:val="single" w:sz="8" w:color="58595B"/>
            </w:tcBorders>
          </w:tcPr>
          <w:p>
            <w:pPr>
              <w:spacing w:after="0"/>
              <w:rPr>
                <w:sz w:val="7"/>
                <w:szCs w:val="7"/>
                <w:color w:val="auto"/>
              </w:rPr>
            </w:pPr>
          </w:p>
        </w:tc>
        <w:tc>
          <w:tcPr>
            <w:tcW w:w="1000" w:type="dxa"/>
            <w:vAlign w:val="bottom"/>
            <w:tcBorders>
              <w:bottom w:val="single" w:sz="8" w:color="58595B"/>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58595B"/>
              <w:right w:val="single" w:sz="8" w:color="58595B"/>
            </w:tcBorders>
            <w:vMerge w:val="continue"/>
          </w:tcPr>
          <w:p>
            <w:pPr>
              <w:spacing w:after="0"/>
              <w:rPr>
                <w:sz w:val="7"/>
                <w:szCs w:val="7"/>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2023</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657,308</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1,635,036</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1,302,624</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131,324</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3,726,292</w:t>
            </w:r>
          </w:p>
        </w:tc>
        <w:tc>
          <w:tcPr>
            <w:tcW w:w="0" w:type="dxa"/>
            <w:vAlign w:val="bottom"/>
          </w:tcPr>
          <w:p>
            <w:pPr>
              <w:spacing w:after="0"/>
              <w:rPr>
                <w:sz w:val="1"/>
                <w:szCs w:val="1"/>
                <w:color w:val="auto"/>
              </w:rPr>
            </w:pPr>
          </w:p>
        </w:tc>
      </w:tr>
      <w:tr>
        <w:trPr>
          <w:trHeight w:val="160"/>
        </w:trPr>
        <w:tc>
          <w:tcPr>
            <w:tcW w:w="2060" w:type="dxa"/>
            <w:vAlign w:val="bottom"/>
            <w:tcBorders>
              <w:left w:val="single" w:sz="8" w:color="58595B"/>
              <w:right w:val="single" w:sz="8" w:color="58595B"/>
            </w:tcBorders>
          </w:tcPr>
          <w:p>
            <w:pPr>
              <w:spacing w:after="0"/>
              <w:rPr>
                <w:sz w:val="13"/>
                <w:szCs w:val="13"/>
                <w:color w:val="auto"/>
              </w:rPr>
            </w:pPr>
          </w:p>
        </w:tc>
        <w:tc>
          <w:tcPr>
            <w:tcW w:w="660" w:type="dxa"/>
            <w:vAlign w:val="bottom"/>
            <w:tcBorders>
              <w:right w:val="single" w:sz="8" w:color="58595B"/>
            </w:tcBorders>
            <w:vMerge w:val="continue"/>
          </w:tcPr>
          <w:p>
            <w:pPr>
              <w:spacing w:after="0"/>
              <w:rPr>
                <w:sz w:val="13"/>
                <w:szCs w:val="13"/>
                <w:color w:val="auto"/>
              </w:rPr>
            </w:pPr>
          </w:p>
        </w:tc>
        <w:tc>
          <w:tcPr>
            <w:tcW w:w="1020" w:type="dxa"/>
            <w:vAlign w:val="bottom"/>
            <w:tcBorders>
              <w:right w:val="single" w:sz="8" w:color="58595B"/>
            </w:tcBorders>
            <w:vMerge w:val="continue"/>
          </w:tcPr>
          <w:p>
            <w:pPr>
              <w:spacing w:after="0"/>
              <w:rPr>
                <w:sz w:val="13"/>
                <w:szCs w:val="13"/>
                <w:color w:val="auto"/>
              </w:rPr>
            </w:pPr>
          </w:p>
        </w:tc>
        <w:tc>
          <w:tcPr>
            <w:tcW w:w="1000" w:type="dxa"/>
            <w:vAlign w:val="bottom"/>
            <w:tcBorders>
              <w:right w:val="single" w:sz="8" w:color="58595B"/>
            </w:tcBorders>
            <w:vMerge w:val="continue"/>
          </w:tcPr>
          <w:p>
            <w:pPr>
              <w:spacing w:after="0"/>
              <w:rPr>
                <w:sz w:val="13"/>
                <w:szCs w:val="13"/>
                <w:color w:val="auto"/>
              </w:rPr>
            </w:pPr>
          </w:p>
        </w:tc>
        <w:tc>
          <w:tcPr>
            <w:tcW w:w="1360" w:type="dxa"/>
            <w:vAlign w:val="bottom"/>
            <w:tcBorders>
              <w:right w:val="single" w:sz="8" w:color="58595B"/>
            </w:tcBorders>
            <w:vMerge w:val="continue"/>
          </w:tcPr>
          <w:p>
            <w:pPr>
              <w:spacing w:after="0"/>
              <w:rPr>
                <w:sz w:val="13"/>
                <w:szCs w:val="13"/>
                <w:color w:val="auto"/>
              </w:rPr>
            </w:pPr>
          </w:p>
        </w:tc>
        <w:tc>
          <w:tcPr>
            <w:tcW w:w="1340" w:type="dxa"/>
            <w:vAlign w:val="bottom"/>
            <w:tcBorders>
              <w:right w:val="single" w:sz="8" w:color="58595B"/>
            </w:tcBorders>
            <w:vMerge w:val="continue"/>
          </w:tcPr>
          <w:p>
            <w:pPr>
              <w:spacing w:after="0"/>
              <w:rPr>
                <w:sz w:val="13"/>
                <w:szCs w:val="13"/>
                <w:color w:val="auto"/>
              </w:rPr>
            </w:pPr>
          </w:p>
        </w:tc>
        <w:tc>
          <w:tcPr>
            <w:tcW w:w="1000" w:type="dxa"/>
            <w:vAlign w:val="bottom"/>
            <w:tcBorders>
              <w:right w:val="single" w:sz="8" w:color="58595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color w:val="58595B"/>
              </w:rPr>
              <w:t>Peter T. Sadowski</w:t>
            </w: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2025</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655,154</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1,680,035</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1,386,000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117,084</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3,838,273</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58595B"/>
              <w:right w:val="single" w:sz="8" w:color="58595B"/>
            </w:tcBorders>
            <w:vMerge w:val="continue"/>
          </w:tcPr>
          <w:p>
            <w:pPr>
              <w:spacing w:after="0"/>
              <w:rPr>
                <w:sz w:val="4"/>
                <w:szCs w:val="4"/>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2024</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626,538</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1,600,010</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1,236,133</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115,965</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3,578,646</w:t>
            </w:r>
          </w:p>
        </w:tc>
        <w:tc>
          <w:tcPr>
            <w:tcW w:w="0" w:type="dxa"/>
            <w:vAlign w:val="bottom"/>
          </w:tcPr>
          <w:p>
            <w:pPr>
              <w:spacing w:after="0"/>
              <w:rPr>
                <w:sz w:val="1"/>
                <w:szCs w:val="1"/>
                <w:color w:val="auto"/>
              </w:rPr>
            </w:pPr>
          </w:p>
        </w:tc>
      </w:tr>
      <w:tr>
        <w:trPr>
          <w:trHeight w:val="173"/>
        </w:trPr>
        <w:tc>
          <w:tcPr>
            <w:tcW w:w="2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i w:val="1"/>
                <w:iCs w:val="1"/>
                <w:color w:val="58595B"/>
              </w:rPr>
              <w:t>Executive Vice President</w:t>
            </w:r>
          </w:p>
        </w:tc>
        <w:tc>
          <w:tcPr>
            <w:tcW w:w="660" w:type="dxa"/>
            <w:vAlign w:val="bottom"/>
            <w:tcBorders>
              <w:right w:val="single" w:sz="8" w:color="58595B"/>
            </w:tcBorders>
            <w:vMerge w:val="continue"/>
          </w:tcPr>
          <w:p>
            <w:pPr>
              <w:spacing w:after="0"/>
              <w:rPr>
                <w:sz w:val="15"/>
                <w:szCs w:val="15"/>
                <w:color w:val="auto"/>
              </w:rPr>
            </w:pPr>
          </w:p>
        </w:tc>
        <w:tc>
          <w:tcPr>
            <w:tcW w:w="1020" w:type="dxa"/>
            <w:vAlign w:val="bottom"/>
            <w:tcBorders>
              <w:right w:val="single" w:sz="8" w:color="58595B"/>
            </w:tcBorders>
            <w:vMerge w:val="continue"/>
          </w:tcPr>
          <w:p>
            <w:pPr>
              <w:spacing w:after="0"/>
              <w:rPr>
                <w:sz w:val="15"/>
                <w:szCs w:val="15"/>
                <w:color w:val="auto"/>
              </w:rPr>
            </w:pPr>
          </w:p>
        </w:tc>
        <w:tc>
          <w:tcPr>
            <w:tcW w:w="1000" w:type="dxa"/>
            <w:vAlign w:val="bottom"/>
            <w:tcBorders>
              <w:right w:val="single" w:sz="8" w:color="58595B"/>
            </w:tcBorders>
            <w:vMerge w:val="continue"/>
          </w:tcPr>
          <w:p>
            <w:pPr>
              <w:spacing w:after="0"/>
              <w:rPr>
                <w:sz w:val="15"/>
                <w:szCs w:val="15"/>
                <w:color w:val="auto"/>
              </w:rPr>
            </w:pPr>
          </w:p>
        </w:tc>
        <w:tc>
          <w:tcPr>
            <w:tcW w:w="1360" w:type="dxa"/>
            <w:vAlign w:val="bottom"/>
            <w:tcBorders>
              <w:right w:val="single" w:sz="8" w:color="58595B"/>
            </w:tcBorders>
            <w:vMerge w:val="continue"/>
          </w:tcPr>
          <w:p>
            <w:pPr>
              <w:spacing w:after="0"/>
              <w:rPr>
                <w:sz w:val="15"/>
                <w:szCs w:val="15"/>
                <w:color w:val="auto"/>
              </w:rPr>
            </w:pPr>
          </w:p>
        </w:tc>
        <w:tc>
          <w:tcPr>
            <w:tcW w:w="1340" w:type="dxa"/>
            <w:vAlign w:val="bottom"/>
            <w:tcBorders>
              <w:right w:val="single" w:sz="8" w:color="58595B"/>
            </w:tcBorders>
            <w:vMerge w:val="continue"/>
          </w:tcPr>
          <w:p>
            <w:pPr>
              <w:spacing w:after="0"/>
              <w:rPr>
                <w:sz w:val="15"/>
                <w:szCs w:val="15"/>
                <w:color w:val="auto"/>
              </w:rPr>
            </w:pPr>
          </w:p>
        </w:tc>
        <w:tc>
          <w:tcPr>
            <w:tcW w:w="1000" w:type="dxa"/>
            <w:vAlign w:val="bottom"/>
            <w:tcBorders>
              <w:right w:val="single" w:sz="8" w:color="58595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i w:val="1"/>
                <w:iCs w:val="1"/>
                <w:color w:val="58595B"/>
              </w:rPr>
              <w:t>and Chief Legal Officer</w:t>
            </w:r>
          </w:p>
        </w:tc>
        <w:tc>
          <w:tcPr>
            <w:tcW w:w="660" w:type="dxa"/>
            <w:vAlign w:val="bottom"/>
            <w:tcBorders>
              <w:bottom w:val="single" w:sz="8" w:color="58595B"/>
              <w:right w:val="single" w:sz="8" w:color="58595B"/>
            </w:tcBorders>
          </w:tcPr>
          <w:p>
            <w:pPr>
              <w:spacing w:after="0"/>
              <w:rPr>
                <w:sz w:val="7"/>
                <w:szCs w:val="7"/>
                <w:color w:val="auto"/>
              </w:rPr>
            </w:pPr>
          </w:p>
        </w:tc>
        <w:tc>
          <w:tcPr>
            <w:tcW w:w="1020" w:type="dxa"/>
            <w:vAlign w:val="bottom"/>
            <w:tcBorders>
              <w:bottom w:val="single" w:sz="8" w:color="58595B"/>
              <w:right w:val="single" w:sz="8" w:color="58595B"/>
            </w:tcBorders>
          </w:tcPr>
          <w:p>
            <w:pPr>
              <w:spacing w:after="0"/>
              <w:rPr>
                <w:sz w:val="7"/>
                <w:szCs w:val="7"/>
                <w:color w:val="auto"/>
              </w:rPr>
            </w:pPr>
          </w:p>
        </w:tc>
        <w:tc>
          <w:tcPr>
            <w:tcW w:w="1000" w:type="dxa"/>
            <w:vAlign w:val="bottom"/>
            <w:tcBorders>
              <w:bottom w:val="single" w:sz="8" w:color="58595B"/>
              <w:right w:val="single" w:sz="8" w:color="58595B"/>
            </w:tcBorders>
          </w:tcPr>
          <w:p>
            <w:pPr>
              <w:spacing w:after="0"/>
              <w:rPr>
                <w:sz w:val="7"/>
                <w:szCs w:val="7"/>
                <w:color w:val="auto"/>
              </w:rPr>
            </w:pPr>
          </w:p>
        </w:tc>
        <w:tc>
          <w:tcPr>
            <w:tcW w:w="1360" w:type="dxa"/>
            <w:vAlign w:val="bottom"/>
            <w:tcBorders>
              <w:bottom w:val="single" w:sz="8" w:color="58595B"/>
              <w:right w:val="single" w:sz="8" w:color="58595B"/>
            </w:tcBorders>
          </w:tcPr>
          <w:p>
            <w:pPr>
              <w:spacing w:after="0"/>
              <w:rPr>
                <w:sz w:val="7"/>
                <w:szCs w:val="7"/>
                <w:color w:val="auto"/>
              </w:rPr>
            </w:pPr>
          </w:p>
        </w:tc>
        <w:tc>
          <w:tcPr>
            <w:tcW w:w="1340" w:type="dxa"/>
            <w:vAlign w:val="bottom"/>
            <w:tcBorders>
              <w:bottom w:val="single" w:sz="8" w:color="58595B"/>
              <w:right w:val="single" w:sz="8" w:color="58595B"/>
            </w:tcBorders>
          </w:tcPr>
          <w:p>
            <w:pPr>
              <w:spacing w:after="0"/>
              <w:rPr>
                <w:sz w:val="7"/>
                <w:szCs w:val="7"/>
                <w:color w:val="auto"/>
              </w:rPr>
            </w:pPr>
          </w:p>
        </w:tc>
        <w:tc>
          <w:tcPr>
            <w:tcW w:w="1000" w:type="dxa"/>
            <w:vAlign w:val="bottom"/>
            <w:tcBorders>
              <w:bottom w:val="single" w:sz="8" w:color="58595B"/>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58595B"/>
              <w:right w:val="single" w:sz="8" w:color="58595B"/>
            </w:tcBorders>
            <w:vMerge w:val="continue"/>
          </w:tcPr>
          <w:p>
            <w:pPr>
              <w:spacing w:after="0"/>
              <w:rPr>
                <w:sz w:val="7"/>
                <w:szCs w:val="7"/>
                <w:color w:val="auto"/>
              </w:rPr>
            </w:pP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2023</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600,000</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1,545,001</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1,073,100</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108,068</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3,326,169</w:t>
            </w:r>
          </w:p>
        </w:tc>
        <w:tc>
          <w:tcPr>
            <w:tcW w:w="0" w:type="dxa"/>
            <w:vAlign w:val="bottom"/>
          </w:tcPr>
          <w:p>
            <w:pPr>
              <w:spacing w:after="0"/>
              <w:rPr>
                <w:sz w:val="1"/>
                <w:szCs w:val="1"/>
                <w:color w:val="auto"/>
              </w:rPr>
            </w:pPr>
          </w:p>
        </w:tc>
      </w:tr>
      <w:tr>
        <w:trPr>
          <w:trHeight w:val="160"/>
        </w:trPr>
        <w:tc>
          <w:tcPr>
            <w:tcW w:w="2060" w:type="dxa"/>
            <w:vAlign w:val="bottom"/>
            <w:tcBorders>
              <w:left w:val="single" w:sz="8" w:color="58595B"/>
              <w:right w:val="single" w:sz="8" w:color="58595B"/>
            </w:tcBorders>
          </w:tcPr>
          <w:p>
            <w:pPr>
              <w:spacing w:after="0"/>
              <w:rPr>
                <w:sz w:val="13"/>
                <w:szCs w:val="13"/>
                <w:color w:val="auto"/>
              </w:rPr>
            </w:pPr>
          </w:p>
        </w:tc>
        <w:tc>
          <w:tcPr>
            <w:tcW w:w="660" w:type="dxa"/>
            <w:vAlign w:val="bottom"/>
            <w:tcBorders>
              <w:right w:val="single" w:sz="8" w:color="58595B"/>
            </w:tcBorders>
            <w:vMerge w:val="continue"/>
          </w:tcPr>
          <w:p>
            <w:pPr>
              <w:spacing w:after="0"/>
              <w:rPr>
                <w:sz w:val="13"/>
                <w:szCs w:val="13"/>
                <w:color w:val="auto"/>
              </w:rPr>
            </w:pPr>
          </w:p>
        </w:tc>
        <w:tc>
          <w:tcPr>
            <w:tcW w:w="1020" w:type="dxa"/>
            <w:vAlign w:val="bottom"/>
            <w:tcBorders>
              <w:right w:val="single" w:sz="8" w:color="58595B"/>
            </w:tcBorders>
            <w:vMerge w:val="continue"/>
          </w:tcPr>
          <w:p>
            <w:pPr>
              <w:spacing w:after="0"/>
              <w:rPr>
                <w:sz w:val="13"/>
                <w:szCs w:val="13"/>
                <w:color w:val="auto"/>
              </w:rPr>
            </w:pPr>
          </w:p>
        </w:tc>
        <w:tc>
          <w:tcPr>
            <w:tcW w:w="1000" w:type="dxa"/>
            <w:vAlign w:val="bottom"/>
            <w:tcBorders>
              <w:right w:val="single" w:sz="8" w:color="58595B"/>
            </w:tcBorders>
            <w:vMerge w:val="continue"/>
          </w:tcPr>
          <w:p>
            <w:pPr>
              <w:spacing w:after="0"/>
              <w:rPr>
                <w:sz w:val="13"/>
                <w:szCs w:val="13"/>
                <w:color w:val="auto"/>
              </w:rPr>
            </w:pPr>
          </w:p>
        </w:tc>
        <w:tc>
          <w:tcPr>
            <w:tcW w:w="1360" w:type="dxa"/>
            <w:vAlign w:val="bottom"/>
            <w:tcBorders>
              <w:right w:val="single" w:sz="8" w:color="58595B"/>
            </w:tcBorders>
            <w:vMerge w:val="continue"/>
          </w:tcPr>
          <w:p>
            <w:pPr>
              <w:spacing w:after="0"/>
              <w:rPr>
                <w:sz w:val="13"/>
                <w:szCs w:val="13"/>
                <w:color w:val="auto"/>
              </w:rPr>
            </w:pPr>
          </w:p>
        </w:tc>
        <w:tc>
          <w:tcPr>
            <w:tcW w:w="1340" w:type="dxa"/>
            <w:vAlign w:val="bottom"/>
            <w:tcBorders>
              <w:right w:val="single" w:sz="8" w:color="58595B"/>
            </w:tcBorders>
            <w:vMerge w:val="continue"/>
          </w:tcPr>
          <w:p>
            <w:pPr>
              <w:spacing w:after="0"/>
              <w:rPr>
                <w:sz w:val="13"/>
                <w:szCs w:val="13"/>
                <w:color w:val="auto"/>
              </w:rPr>
            </w:pPr>
          </w:p>
        </w:tc>
        <w:tc>
          <w:tcPr>
            <w:tcW w:w="1000" w:type="dxa"/>
            <w:vAlign w:val="bottom"/>
            <w:tcBorders>
              <w:right w:val="single" w:sz="8" w:color="58595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58595B"/>
              <w:right w:val="single" w:sz="8" w:color="58595B"/>
            </w:tcBorders>
            <w:vMerge w:val="restart"/>
          </w:tcPr>
          <w:p>
            <w:pPr>
              <w:ind w:left="100"/>
              <w:spacing w:after="0"/>
              <w:rPr>
                <w:sz w:val="20"/>
                <w:szCs w:val="20"/>
                <w:color w:val="auto"/>
              </w:rPr>
            </w:pPr>
            <w:r>
              <w:rPr>
                <w:rFonts w:ascii="Arial" w:cs="Arial" w:eastAsia="Arial" w:hAnsi="Arial"/>
                <w:sz w:val="15"/>
                <w:szCs w:val="15"/>
                <w:color w:val="58595B"/>
              </w:rPr>
              <w:t>Michael L. Gravelle</w:t>
            </w:r>
          </w:p>
        </w:tc>
        <w:tc>
          <w:tcPr>
            <w:tcW w:w="6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2025</w:t>
            </w: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570,000</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2,200,069</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1,197,000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113,000</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4,080,069</w:t>
            </w: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58595B"/>
              <w:right w:val="single" w:sz="8" w:color="58595B"/>
            </w:tcBorders>
          </w:tcPr>
          <w:p>
            <w:pPr>
              <w:ind w:left="100"/>
              <w:spacing w:after="0" w:line="142" w:lineRule="exact"/>
              <w:rPr>
                <w:sz w:val="20"/>
                <w:szCs w:val="20"/>
                <w:color w:val="auto"/>
              </w:rPr>
            </w:pPr>
            <w:r>
              <w:rPr>
                <w:rFonts w:ascii="Arial" w:cs="Arial" w:eastAsia="Arial" w:hAnsi="Arial"/>
                <w:sz w:val="15"/>
                <w:szCs w:val="15"/>
                <w:i w:val="1"/>
                <w:iCs w:val="1"/>
                <w:color w:val="58595B"/>
              </w:rPr>
              <w:t>Executive Vice President,</w:t>
            </w: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2024</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567,115</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1,600,010</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1,118,406</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190,526</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3,476,057</w:t>
            </w:r>
          </w:p>
        </w:tc>
        <w:tc>
          <w:tcPr>
            <w:tcW w:w="0" w:type="dxa"/>
            <w:vAlign w:val="bottom"/>
          </w:tcPr>
          <w:p>
            <w:pPr>
              <w:spacing w:after="0"/>
              <w:rPr>
                <w:sz w:val="1"/>
                <w:szCs w:val="1"/>
                <w:color w:val="auto"/>
              </w:rPr>
            </w:pPr>
          </w:p>
        </w:tc>
      </w:tr>
      <w:tr>
        <w:trPr>
          <w:trHeight w:val="106"/>
        </w:trPr>
        <w:tc>
          <w:tcPr>
            <w:tcW w:w="2060" w:type="dxa"/>
            <w:vAlign w:val="bottom"/>
            <w:tcBorders>
              <w:left w:val="single" w:sz="8" w:color="58595B"/>
              <w:right w:val="single" w:sz="8" w:color="58595B"/>
            </w:tcBorders>
            <w:vMerge w:val="restart"/>
          </w:tcPr>
          <w:p>
            <w:pPr>
              <w:ind w:left="100"/>
              <w:spacing w:after="0" w:line="171" w:lineRule="exact"/>
              <w:rPr>
                <w:sz w:val="20"/>
                <w:szCs w:val="20"/>
                <w:color w:val="auto"/>
              </w:rPr>
            </w:pPr>
            <w:r>
              <w:rPr>
                <w:rFonts w:ascii="Arial" w:cs="Arial" w:eastAsia="Arial" w:hAnsi="Arial"/>
                <w:sz w:val="15"/>
                <w:szCs w:val="15"/>
                <w:i w:val="1"/>
                <w:iCs w:val="1"/>
                <w:color w:val="58595B"/>
              </w:rPr>
              <w:t>General Counsel and</w:t>
            </w:r>
          </w:p>
        </w:tc>
        <w:tc>
          <w:tcPr>
            <w:tcW w:w="660" w:type="dxa"/>
            <w:vAlign w:val="bottom"/>
            <w:tcBorders>
              <w:right w:val="single" w:sz="8" w:color="58595B"/>
            </w:tcBorders>
            <w:vMerge w:val="continue"/>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136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0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right w:val="single" w:sz="8" w:color="58595B"/>
            </w:tcBorders>
            <w:vMerge w:val="continue"/>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i w:val="1"/>
                <w:iCs w:val="1"/>
                <w:color w:val="58595B"/>
              </w:rPr>
              <w:t>Corporate Secretary</w:t>
            </w:r>
          </w:p>
        </w:tc>
        <w:tc>
          <w:tcPr>
            <w:tcW w:w="6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2023</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545,000</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1,545,001</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974,733</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95,650</w:t>
            </w:r>
          </w:p>
        </w:tc>
        <w:tc>
          <w:tcPr>
            <w:tcW w:w="10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3,160,384</w:t>
            </w:r>
          </w:p>
        </w:tc>
        <w:tc>
          <w:tcPr>
            <w:tcW w:w="0" w:type="dxa"/>
            <w:vAlign w:val="bottom"/>
          </w:tcPr>
          <w:p>
            <w:pPr>
              <w:spacing w:after="0"/>
              <w:rPr>
                <w:sz w:val="1"/>
                <w:szCs w:val="1"/>
                <w:color w:val="auto"/>
              </w:rPr>
            </w:pPr>
          </w:p>
        </w:tc>
      </w:tr>
      <w:tr>
        <w:trPr>
          <w:trHeight w:val="74"/>
        </w:trPr>
        <w:tc>
          <w:tcPr>
            <w:tcW w:w="2060" w:type="dxa"/>
            <w:vAlign w:val="bottom"/>
            <w:tcBorders>
              <w:left w:val="single" w:sz="8" w:color="58595B"/>
              <w:right w:val="single" w:sz="8" w:color="58595B"/>
            </w:tcBorders>
          </w:tcPr>
          <w:p>
            <w:pPr>
              <w:spacing w:after="0"/>
              <w:rPr>
                <w:sz w:val="6"/>
                <w:szCs w:val="6"/>
                <w:color w:val="auto"/>
              </w:rPr>
            </w:pPr>
          </w:p>
        </w:tc>
        <w:tc>
          <w:tcPr>
            <w:tcW w:w="660" w:type="dxa"/>
            <w:vAlign w:val="bottom"/>
            <w:tcBorders>
              <w:right w:val="single" w:sz="8" w:color="58595B"/>
            </w:tcBorders>
            <w:vMerge w:val="continue"/>
          </w:tcPr>
          <w:p>
            <w:pPr>
              <w:spacing w:after="0"/>
              <w:rPr>
                <w:sz w:val="6"/>
                <w:szCs w:val="6"/>
                <w:color w:val="auto"/>
              </w:rPr>
            </w:pPr>
          </w:p>
        </w:tc>
        <w:tc>
          <w:tcPr>
            <w:tcW w:w="1020" w:type="dxa"/>
            <w:vAlign w:val="bottom"/>
            <w:tcBorders>
              <w:right w:val="single" w:sz="8" w:color="58595B"/>
            </w:tcBorders>
            <w:vMerge w:val="continue"/>
          </w:tcPr>
          <w:p>
            <w:pPr>
              <w:spacing w:after="0"/>
              <w:rPr>
                <w:sz w:val="6"/>
                <w:szCs w:val="6"/>
                <w:color w:val="auto"/>
              </w:rPr>
            </w:pPr>
          </w:p>
        </w:tc>
        <w:tc>
          <w:tcPr>
            <w:tcW w:w="1000" w:type="dxa"/>
            <w:vAlign w:val="bottom"/>
            <w:tcBorders>
              <w:right w:val="single" w:sz="8" w:color="58595B"/>
            </w:tcBorders>
            <w:vMerge w:val="continue"/>
          </w:tcPr>
          <w:p>
            <w:pPr>
              <w:spacing w:after="0"/>
              <w:rPr>
                <w:sz w:val="6"/>
                <w:szCs w:val="6"/>
                <w:color w:val="auto"/>
              </w:rPr>
            </w:pPr>
          </w:p>
        </w:tc>
        <w:tc>
          <w:tcPr>
            <w:tcW w:w="1360" w:type="dxa"/>
            <w:vAlign w:val="bottom"/>
            <w:tcBorders>
              <w:right w:val="single" w:sz="8" w:color="58595B"/>
            </w:tcBorders>
            <w:vMerge w:val="continue"/>
          </w:tcPr>
          <w:p>
            <w:pPr>
              <w:spacing w:after="0"/>
              <w:rPr>
                <w:sz w:val="6"/>
                <w:szCs w:val="6"/>
                <w:color w:val="auto"/>
              </w:rPr>
            </w:pPr>
          </w:p>
        </w:tc>
        <w:tc>
          <w:tcPr>
            <w:tcW w:w="1340" w:type="dxa"/>
            <w:vAlign w:val="bottom"/>
            <w:tcBorders>
              <w:right w:val="single" w:sz="8" w:color="58595B"/>
            </w:tcBorders>
            <w:vMerge w:val="continue"/>
          </w:tcPr>
          <w:p>
            <w:pPr>
              <w:spacing w:after="0"/>
              <w:rPr>
                <w:sz w:val="6"/>
                <w:szCs w:val="6"/>
                <w:color w:val="auto"/>
              </w:rPr>
            </w:pPr>
          </w:p>
        </w:tc>
        <w:tc>
          <w:tcPr>
            <w:tcW w:w="1000" w:type="dxa"/>
            <w:vAlign w:val="bottom"/>
            <w:tcBorders>
              <w:right w:val="single" w:sz="8" w:color="58595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58595B"/>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c>
          <w:tcPr>
            <w:tcW w:w="10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20" w:right="360" w:hanging="298"/>
        <w:spacing w:after="0" w:line="274" w:lineRule="auto"/>
        <w:tabs>
          <w:tab w:leader="none" w:pos="1120" w:val="left"/>
        </w:tabs>
        <w:numPr>
          <w:ilvl w:val="0"/>
          <w:numId w:val="52"/>
        </w:numPr>
        <w:rPr>
          <w:rFonts w:ascii="Arial" w:cs="Arial" w:eastAsia="Arial" w:hAnsi="Arial"/>
          <w:sz w:val="13"/>
          <w:szCs w:val="13"/>
          <w:color w:val="58595B"/>
        </w:rPr>
      </w:pPr>
      <w:r>
        <w:rPr>
          <w:rFonts w:ascii="Arial" w:cs="Arial" w:eastAsia="Arial" w:hAnsi="Arial"/>
          <w:sz w:val="13"/>
          <w:szCs w:val="13"/>
          <w:color w:val="58595B"/>
        </w:rPr>
        <w:t>Amounts shown are not reduced to reflect the named executive officers' elections, if any, to defer receipt of salary into our 401(k) plan, ESPP, or 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93345</wp:posOffset>
            </wp:positionV>
            <wp:extent cx="7144385" cy="297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1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53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5" w:right="879" w:bottom="1440" w:gutter="0" w:footer="0" w:header="0"/>
        </w:sectPr>
      </w:pPr>
    </w:p>
    <w:bookmarkStart w:id="57" w:name="page58"/>
    <w:bookmarkEnd w:id="57"/>
    <w:p>
      <w:pPr>
        <w:ind w:left="1480" w:right="1020" w:hanging="298"/>
        <w:spacing w:after="0" w:line="242" w:lineRule="auto"/>
        <w:tabs>
          <w:tab w:leader="none" w:pos="1480" w:val="left"/>
        </w:tabs>
        <w:numPr>
          <w:ilvl w:val="0"/>
          <w:numId w:val="53"/>
        </w:numPr>
        <w:rPr>
          <w:rFonts w:ascii="Arial" w:cs="Arial" w:eastAsia="Arial" w:hAnsi="Arial"/>
          <w:sz w:val="13"/>
          <w:szCs w:val="13"/>
          <w:color w:val="58595B"/>
        </w:rPr>
      </w:pPr>
      <w:r>
        <w:rPr>
          <w:rFonts w:ascii="Arial" w:cs="Arial" w:eastAsia="Arial" w:hAnsi="Arial"/>
          <w:sz w:val="13"/>
          <w:szCs w:val="13"/>
          <w:color w:val="58595B"/>
        </w:rPr>
        <w:t>Represents the grant date fair value of the restricted stock awards computed in accordance with ASC Topic 718, excluding forfeiture assumptions. See the "Grants of Plan-Based Awards" table for details regarding each award. Assumptions used in the calculation of the grant date fair value of the FNF restricted stock awards are included in Note T to our audited financial statements for the fiscal year ended December 31, 2025, included in our Annual Report on Form 10-K filed with the Securities and Exchange Commission on February 26, 2026. The FNF restricted stock awards are performance-based. For Messrs. Nolan, Quirk and Gravelle, also includes the grant date fair value of F&amp;G restricted stock awards in connection with their service as directors of F&amp;G. Assumptions used in the calculation of the grant date fair value of the F&amp;G restricted stock awards are included in Note R to F&amp;G's audited financial statements for the fiscal year ended December 31, 2025, included in F&amp;G's Annual Report on Form 10-K filed with the Securities and Exchange Commission on February 26, 2026. The F&amp;G restricted stock awards received by Messrs. Nolan and Quirk are time-based.</w:t>
      </w:r>
    </w:p>
    <w:p>
      <w:pPr>
        <w:spacing w:after="0" w:line="87" w:lineRule="exact"/>
        <w:rPr>
          <w:rFonts w:ascii="Arial" w:cs="Arial" w:eastAsia="Arial" w:hAnsi="Arial"/>
          <w:sz w:val="13"/>
          <w:szCs w:val="13"/>
          <w:color w:val="58595B"/>
        </w:rPr>
      </w:pPr>
    </w:p>
    <w:p>
      <w:pPr>
        <w:ind w:left="1480" w:hanging="298"/>
        <w:spacing w:after="0"/>
        <w:tabs>
          <w:tab w:leader="none" w:pos="1480" w:val="left"/>
        </w:tabs>
        <w:numPr>
          <w:ilvl w:val="0"/>
          <w:numId w:val="53"/>
        </w:numPr>
        <w:rPr>
          <w:rFonts w:ascii="Arial" w:cs="Arial" w:eastAsia="Arial" w:hAnsi="Arial"/>
          <w:sz w:val="13"/>
          <w:szCs w:val="13"/>
          <w:color w:val="58595B"/>
        </w:rPr>
      </w:pPr>
      <w:r>
        <w:rPr>
          <w:rFonts w:ascii="Arial" w:cs="Arial" w:eastAsia="Arial" w:hAnsi="Arial"/>
          <w:sz w:val="13"/>
          <w:szCs w:val="13"/>
          <w:color w:val="58595B"/>
        </w:rPr>
        <w:t>Represents performance-based compensation earned under our annual incentive plan by each executive.</w:t>
      </w:r>
    </w:p>
    <w:p>
      <w:pPr>
        <w:spacing w:after="0" w:line="109" w:lineRule="exact"/>
        <w:rPr>
          <w:rFonts w:ascii="Arial" w:cs="Arial" w:eastAsia="Arial" w:hAnsi="Arial"/>
          <w:sz w:val="13"/>
          <w:szCs w:val="13"/>
          <w:color w:val="58595B"/>
        </w:rPr>
      </w:pPr>
    </w:p>
    <w:p>
      <w:pPr>
        <w:ind w:left="1480" w:right="980" w:hanging="298"/>
        <w:spacing w:after="0" w:line="256" w:lineRule="auto"/>
        <w:tabs>
          <w:tab w:leader="none" w:pos="1480" w:val="left"/>
        </w:tabs>
        <w:numPr>
          <w:ilvl w:val="0"/>
          <w:numId w:val="53"/>
        </w:numPr>
        <w:rPr>
          <w:rFonts w:ascii="Arial" w:cs="Arial" w:eastAsia="Arial" w:hAnsi="Arial"/>
          <w:sz w:val="13"/>
          <w:szCs w:val="13"/>
          <w:color w:val="58595B"/>
        </w:rPr>
      </w:pPr>
      <w:r>
        <w:rPr>
          <w:rFonts w:ascii="Arial" w:cs="Arial" w:eastAsia="Arial" w:hAnsi="Arial"/>
          <w:sz w:val="13"/>
          <w:szCs w:val="13"/>
          <w:color w:val="58595B"/>
        </w:rPr>
        <w:t>Amounts shown include matching contributions to our ESPP; life insurance premiums paid by us; health insurance fees paid by us under the executive medical plan; personal use of a company airplane; matching contributions to our 401(k) plan; and, for Messrs. Nolan and Quirk, board retainers for their service on the F&amp;G board of directors (which they elected to receive in F&amp;G shares rather than cash), as reflected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5461000</wp:posOffset>
            </wp:positionH>
            <wp:positionV relativeFrom="paragraph">
              <wp:posOffset>100330</wp:posOffset>
            </wp:positionV>
            <wp:extent cx="7620" cy="273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 cy="27368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100330</wp:posOffset>
            </wp:positionV>
            <wp:extent cx="7620" cy="273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 cy="2736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100330</wp:posOffset>
            </wp:positionV>
            <wp:extent cx="7620" cy="273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 cy="27368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100330</wp:posOffset>
            </wp:positionV>
            <wp:extent cx="7620" cy="273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0" cy="273685"/>
                    </a:xfrm>
                    <a:prstGeom prst="rect">
                      <a:avLst/>
                    </a:prstGeom>
                    <a:noFill/>
                  </pic:spPr>
                </pic:pic>
              </a:graphicData>
            </a:graphic>
          </wp:anchor>
        </w:drawing>
      </w:r>
    </w:p>
    <w:p>
      <w:pPr>
        <w:spacing w:after="0" w:line="138" w:lineRule="exact"/>
        <w:rPr>
          <w:sz w:val="20"/>
          <w:szCs w:val="20"/>
          <w:color w:val="auto"/>
        </w:rPr>
      </w:pPr>
    </w:p>
    <w:tbl>
      <w:tblPr>
        <w:tblLayout w:type="fixed"/>
        <w:tblInd w:w="1910" w:type="dxa"/>
        <w:tblCellMar>
          <w:top w:w="0" w:type="dxa"/>
          <w:left w:w="0" w:type="dxa"/>
          <w:bottom w:w="0" w:type="dxa"/>
          <w:right w:w="0" w:type="dxa"/>
        </w:tblCellMar>
      </w:tblPr>
      <w:tr>
        <w:trPr>
          <w:trHeight w:val="313"/>
        </w:trPr>
        <w:tc>
          <w:tcPr>
            <w:tcW w:w="1980" w:type="dxa"/>
            <w:vAlign w:val="bottom"/>
            <w:tcBorders>
              <w:right w:val="single" w:sz="8" w:color="58595B"/>
            </w:tcBorders>
          </w:tcPr>
          <w:p>
            <w:pPr>
              <w:spacing w:after="0"/>
              <w:rPr>
                <w:sz w:val="24"/>
                <w:szCs w:val="24"/>
                <w:color w:val="auto"/>
              </w:rPr>
            </w:pPr>
          </w:p>
        </w:tc>
        <w:tc>
          <w:tcPr>
            <w:tcW w:w="1200" w:type="dxa"/>
            <w:vAlign w:val="bottom"/>
            <w:tcBorders>
              <w:right w:val="single" w:sz="8" w:color="234E77"/>
            </w:tcBorders>
            <w:shd w:val="clear" w:color="auto" w:fill="234E77"/>
          </w:tcPr>
          <w:p>
            <w:pPr>
              <w:ind w:left="260"/>
              <w:spacing w:after="0"/>
              <w:rPr>
                <w:sz w:val="20"/>
                <w:szCs w:val="20"/>
                <w:color w:val="auto"/>
              </w:rPr>
            </w:pPr>
            <w:r>
              <w:rPr>
                <w:rFonts w:ascii="Arial" w:cs="Arial" w:eastAsia="Arial" w:hAnsi="Arial"/>
                <w:sz w:val="15"/>
                <w:szCs w:val="15"/>
                <w:b w:val="1"/>
                <w:bCs w:val="1"/>
                <w:color w:val="FFFFFF"/>
              </w:rPr>
              <w:t>Nolan ($)</w:t>
            </w:r>
          </w:p>
        </w:tc>
        <w:tc>
          <w:tcPr>
            <w:tcW w:w="1180" w:type="dxa"/>
            <w:vAlign w:val="bottom"/>
            <w:tcBorders>
              <w:right w:val="single" w:sz="8" w:color="234E77"/>
            </w:tcBorders>
            <w:shd w:val="clear" w:color="auto" w:fill="234E77"/>
          </w:tcPr>
          <w:p>
            <w:pPr>
              <w:ind w:left="260"/>
              <w:spacing w:after="0"/>
              <w:rPr>
                <w:sz w:val="20"/>
                <w:szCs w:val="20"/>
                <w:color w:val="auto"/>
              </w:rPr>
            </w:pPr>
            <w:r>
              <w:rPr>
                <w:rFonts w:ascii="Arial" w:cs="Arial" w:eastAsia="Arial" w:hAnsi="Arial"/>
                <w:sz w:val="15"/>
                <w:szCs w:val="15"/>
                <w:b w:val="1"/>
                <w:bCs w:val="1"/>
                <w:color w:val="FFFFFF"/>
              </w:rPr>
              <w:t>Quirk ($)</w:t>
            </w:r>
          </w:p>
        </w:tc>
        <w:tc>
          <w:tcPr>
            <w:tcW w:w="1180" w:type="dxa"/>
            <w:vAlign w:val="bottom"/>
            <w:tcBorders>
              <w:right w:val="single" w:sz="8" w:color="234E77"/>
            </w:tcBorders>
            <w:shd w:val="clear" w:color="auto" w:fill="234E77"/>
          </w:tcPr>
          <w:p>
            <w:pPr>
              <w:ind w:left="300"/>
              <w:spacing w:after="0"/>
              <w:rPr>
                <w:sz w:val="20"/>
                <w:szCs w:val="20"/>
                <w:color w:val="auto"/>
              </w:rPr>
            </w:pPr>
            <w:r>
              <w:rPr>
                <w:rFonts w:ascii="Arial" w:cs="Arial" w:eastAsia="Arial" w:hAnsi="Arial"/>
                <w:sz w:val="15"/>
                <w:szCs w:val="15"/>
                <w:b w:val="1"/>
                <w:bCs w:val="1"/>
                <w:color w:val="FFFFFF"/>
              </w:rPr>
              <w:t>Park ($)</w:t>
            </w:r>
          </w:p>
        </w:tc>
        <w:tc>
          <w:tcPr>
            <w:tcW w:w="1180" w:type="dxa"/>
            <w:vAlign w:val="bottom"/>
            <w:tcBorders>
              <w:right w:val="single" w:sz="8" w:color="234E77"/>
            </w:tcBorders>
            <w:shd w:val="clear" w:color="auto" w:fill="234E77"/>
          </w:tcPr>
          <w:p>
            <w:pPr>
              <w:ind w:left="120"/>
              <w:spacing w:after="0"/>
              <w:rPr>
                <w:sz w:val="20"/>
                <w:szCs w:val="20"/>
                <w:color w:val="auto"/>
              </w:rPr>
            </w:pPr>
            <w:r>
              <w:rPr>
                <w:rFonts w:ascii="Arial" w:cs="Arial" w:eastAsia="Arial" w:hAnsi="Arial"/>
                <w:sz w:val="15"/>
                <w:szCs w:val="15"/>
                <w:b w:val="1"/>
                <w:bCs w:val="1"/>
                <w:color w:val="FFFFFF"/>
              </w:rPr>
              <w:t>Sadowski ($)</w:t>
            </w:r>
          </w:p>
        </w:tc>
        <w:tc>
          <w:tcPr>
            <w:tcW w:w="1160" w:type="dxa"/>
            <w:vAlign w:val="bottom"/>
            <w:shd w:val="clear" w:color="auto" w:fill="234E77"/>
          </w:tcPr>
          <w:p>
            <w:pPr>
              <w:ind w:left="160"/>
              <w:spacing w:after="0"/>
              <w:rPr>
                <w:sz w:val="20"/>
                <w:szCs w:val="20"/>
                <w:color w:val="auto"/>
              </w:rPr>
            </w:pPr>
            <w:r>
              <w:rPr>
                <w:rFonts w:ascii="Arial" w:cs="Arial" w:eastAsia="Arial" w:hAnsi="Arial"/>
                <w:sz w:val="15"/>
                <w:szCs w:val="15"/>
                <w:b w:val="1"/>
                <w:bCs w:val="1"/>
                <w:color w:val="FFFFFF"/>
              </w:rPr>
              <w:t>Gravelle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980" w:type="dxa"/>
            <w:vAlign w:val="bottom"/>
            <w:tcBorders>
              <w:bottom w:val="single" w:sz="8" w:color="58595B"/>
              <w:right w:val="single" w:sz="8" w:color="58595B"/>
            </w:tcBorders>
          </w:tcPr>
          <w:p>
            <w:pPr>
              <w:spacing w:after="0"/>
              <w:rPr>
                <w:sz w:val="9"/>
                <w:szCs w:val="9"/>
                <w:color w:val="auto"/>
              </w:rPr>
            </w:pPr>
          </w:p>
        </w:tc>
        <w:tc>
          <w:tcPr>
            <w:tcW w:w="1200" w:type="dxa"/>
            <w:vAlign w:val="bottom"/>
            <w:tcBorders>
              <w:bottom w:val="single" w:sz="8" w:color="58595B"/>
              <w:right w:val="single" w:sz="8" w:color="234E77"/>
            </w:tcBorders>
            <w:shd w:val="clear" w:color="auto" w:fill="234E77"/>
          </w:tcPr>
          <w:p>
            <w:pPr>
              <w:spacing w:after="0"/>
              <w:rPr>
                <w:sz w:val="9"/>
                <w:szCs w:val="9"/>
                <w:color w:val="auto"/>
              </w:rPr>
            </w:pPr>
          </w:p>
        </w:tc>
        <w:tc>
          <w:tcPr>
            <w:tcW w:w="1180" w:type="dxa"/>
            <w:vAlign w:val="bottom"/>
            <w:tcBorders>
              <w:bottom w:val="single" w:sz="8" w:color="58595B"/>
              <w:right w:val="single" w:sz="8" w:color="234E77"/>
            </w:tcBorders>
            <w:shd w:val="clear" w:color="auto" w:fill="234E77"/>
          </w:tcPr>
          <w:p>
            <w:pPr>
              <w:spacing w:after="0"/>
              <w:rPr>
                <w:sz w:val="9"/>
                <w:szCs w:val="9"/>
                <w:color w:val="auto"/>
              </w:rPr>
            </w:pPr>
          </w:p>
        </w:tc>
        <w:tc>
          <w:tcPr>
            <w:tcW w:w="1180" w:type="dxa"/>
            <w:vAlign w:val="bottom"/>
            <w:tcBorders>
              <w:bottom w:val="single" w:sz="8" w:color="58595B"/>
              <w:right w:val="single" w:sz="8" w:color="234E77"/>
            </w:tcBorders>
            <w:shd w:val="clear" w:color="auto" w:fill="234E77"/>
          </w:tcPr>
          <w:p>
            <w:pPr>
              <w:spacing w:after="0"/>
              <w:rPr>
                <w:sz w:val="9"/>
                <w:szCs w:val="9"/>
                <w:color w:val="auto"/>
              </w:rPr>
            </w:pPr>
          </w:p>
        </w:tc>
        <w:tc>
          <w:tcPr>
            <w:tcW w:w="1180" w:type="dxa"/>
            <w:vAlign w:val="bottom"/>
            <w:tcBorders>
              <w:bottom w:val="single" w:sz="8" w:color="58595B"/>
              <w:right w:val="single" w:sz="8" w:color="234E77"/>
            </w:tcBorders>
            <w:shd w:val="clear" w:color="auto" w:fill="234E77"/>
          </w:tcPr>
          <w:p>
            <w:pPr>
              <w:spacing w:after="0"/>
              <w:rPr>
                <w:sz w:val="9"/>
                <w:szCs w:val="9"/>
                <w:color w:val="auto"/>
              </w:rPr>
            </w:pPr>
          </w:p>
        </w:tc>
        <w:tc>
          <w:tcPr>
            <w:tcW w:w="1160" w:type="dxa"/>
            <w:vAlign w:val="bottom"/>
            <w:tcBorders>
              <w:bottom w:val="single" w:sz="8" w:color="58595B"/>
            </w:tcBorders>
            <w:shd w:val="clear" w:color="auto" w:fill="234E77"/>
          </w:tcPr>
          <w:p>
            <w:pPr>
              <w:spacing w:after="0"/>
              <w:rPr>
                <w:sz w:val="9"/>
                <w:szCs w:val="9"/>
                <w:color w:val="auto"/>
              </w:rPr>
            </w:pPr>
          </w:p>
        </w:tc>
        <w:tc>
          <w:tcPr>
            <w:tcW w:w="20" w:type="dxa"/>
            <w:vAlign w:val="bottom"/>
            <w:tcBorders>
              <w:bottom w:val="single" w:sz="8" w:color="58595B"/>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ESPP Matching</w:t>
            </w:r>
          </w:p>
        </w:tc>
        <w:tc>
          <w:tcPr>
            <w:tcW w:w="12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25,000</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29,423</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51,490</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46,385</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58595B"/>
              </w:rPr>
              <w:t>42,029</w:t>
            </w:r>
          </w:p>
        </w:tc>
        <w:tc>
          <w:tcPr>
            <w:tcW w:w="20" w:type="dxa"/>
            <w:vAlign w:val="bottom"/>
            <w:shd w:val="clear" w:color="auto" w:fill="58595B"/>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58595B"/>
              <w:right w:val="single" w:sz="8" w:color="58595B"/>
            </w:tcBorders>
            <w:vMerge w:val="restart"/>
          </w:tcPr>
          <w:p>
            <w:pPr>
              <w:ind w:left="60"/>
              <w:spacing w:after="0"/>
              <w:rPr>
                <w:sz w:val="20"/>
                <w:szCs w:val="20"/>
                <w:color w:val="auto"/>
              </w:rPr>
            </w:pPr>
            <w:r>
              <w:rPr>
                <w:rFonts w:ascii="Arial" w:cs="Arial" w:eastAsia="Arial" w:hAnsi="Arial"/>
                <w:sz w:val="15"/>
                <w:szCs w:val="15"/>
                <w:color w:val="58595B"/>
              </w:rPr>
              <w:t>Contributions</w:t>
            </w:r>
          </w:p>
        </w:tc>
        <w:tc>
          <w:tcPr>
            <w:tcW w:w="120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shd w:val="clear" w:color="auto" w:fill="58595B"/>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80" w:type="dxa"/>
            <w:vAlign w:val="bottom"/>
            <w:tcBorders>
              <w:left w:val="single" w:sz="8" w:color="58595B"/>
              <w:right w:val="single" w:sz="8" w:color="58595B"/>
            </w:tcBorders>
            <w:vMerge w:val="continue"/>
          </w:tcPr>
          <w:p>
            <w:pPr>
              <w:spacing w:after="0"/>
              <w:rPr>
                <w:sz w:val="7"/>
                <w:szCs w:val="7"/>
                <w:color w:val="auto"/>
              </w:rPr>
            </w:pPr>
          </w:p>
        </w:tc>
        <w:tc>
          <w:tcPr>
            <w:tcW w:w="120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shd w:val="clear" w:color="auto" w:fill="58595B"/>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Life Insurance Premiums</w:t>
            </w:r>
          </w:p>
        </w:tc>
        <w:tc>
          <w:tcPr>
            <w:tcW w:w="1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1,143</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321</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387</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321</w:t>
            </w:r>
          </w:p>
        </w:tc>
        <w:tc>
          <w:tcPr>
            <w:tcW w:w="1160" w:type="dxa"/>
            <w:vAlign w:val="bottom"/>
          </w:tcPr>
          <w:p>
            <w:pPr>
              <w:jc w:val="center"/>
              <w:spacing w:after="0"/>
              <w:rPr>
                <w:sz w:val="20"/>
                <w:szCs w:val="20"/>
                <w:color w:val="auto"/>
              </w:rPr>
            </w:pPr>
            <w:r>
              <w:rPr>
                <w:rFonts w:ascii="Arial" w:cs="Arial" w:eastAsia="Arial" w:hAnsi="Arial"/>
                <w:sz w:val="15"/>
                <w:szCs w:val="15"/>
                <w:color w:val="58595B"/>
                <w:w w:val="95"/>
              </w:rPr>
              <w:t>594</w:t>
            </w:r>
          </w:p>
        </w:tc>
        <w:tc>
          <w:tcPr>
            <w:tcW w:w="20" w:type="dxa"/>
            <w:vAlign w:val="bottom"/>
            <w:shd w:val="clear" w:color="auto" w:fill="58595B"/>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Personal Airplane Use</w:t>
            </w:r>
          </w:p>
        </w:tc>
        <w:tc>
          <w:tcPr>
            <w:tcW w:w="1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18,350</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16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20" w:type="dxa"/>
            <w:vAlign w:val="bottom"/>
            <w:shd w:val="clear" w:color="auto" w:fill="58595B"/>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Executive Medical</w:t>
            </w:r>
          </w:p>
        </w:tc>
        <w:tc>
          <w:tcPr>
            <w:tcW w:w="1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63,826</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59,876</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85,544</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59,878</w:t>
            </w:r>
          </w:p>
        </w:tc>
        <w:tc>
          <w:tcPr>
            <w:tcW w:w="1160" w:type="dxa"/>
            <w:vAlign w:val="bottom"/>
          </w:tcPr>
          <w:p>
            <w:pPr>
              <w:jc w:val="center"/>
              <w:spacing w:after="0"/>
              <w:rPr>
                <w:sz w:val="20"/>
                <w:szCs w:val="20"/>
                <w:color w:val="auto"/>
              </w:rPr>
            </w:pPr>
            <w:r>
              <w:rPr>
                <w:rFonts w:ascii="Arial" w:cs="Arial" w:eastAsia="Arial" w:hAnsi="Arial"/>
                <w:sz w:val="15"/>
                <w:szCs w:val="15"/>
                <w:color w:val="58595B"/>
              </w:rPr>
              <w:t>59,877</w:t>
            </w:r>
          </w:p>
        </w:tc>
        <w:tc>
          <w:tcPr>
            <w:tcW w:w="20" w:type="dxa"/>
            <w:vAlign w:val="bottom"/>
            <w:shd w:val="clear" w:color="auto" w:fill="58595B"/>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Company Match – 401(k)</w:t>
            </w:r>
          </w:p>
        </w:tc>
        <w:tc>
          <w:tcPr>
            <w:tcW w:w="1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10,500</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10,500</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10,500</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10,500</w:t>
            </w:r>
          </w:p>
        </w:tc>
        <w:tc>
          <w:tcPr>
            <w:tcW w:w="1160" w:type="dxa"/>
            <w:vAlign w:val="bottom"/>
          </w:tcPr>
          <w:p>
            <w:pPr>
              <w:jc w:val="center"/>
              <w:spacing w:after="0"/>
              <w:rPr>
                <w:sz w:val="20"/>
                <w:szCs w:val="20"/>
                <w:color w:val="auto"/>
              </w:rPr>
            </w:pPr>
            <w:r>
              <w:rPr>
                <w:rFonts w:ascii="Arial" w:cs="Arial" w:eastAsia="Arial" w:hAnsi="Arial"/>
                <w:sz w:val="15"/>
                <w:szCs w:val="15"/>
                <w:color w:val="58595B"/>
              </w:rPr>
              <w:t>10,500</w:t>
            </w:r>
          </w:p>
        </w:tc>
        <w:tc>
          <w:tcPr>
            <w:tcW w:w="20" w:type="dxa"/>
            <w:vAlign w:val="bottom"/>
            <w:shd w:val="clear" w:color="auto" w:fill="58595B"/>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980" w:type="dxa"/>
            <w:vAlign w:val="bottom"/>
            <w:tcBorders>
              <w:left w:val="single" w:sz="8" w:color="58595B"/>
              <w:right w:val="single" w:sz="8" w:color="58595B"/>
            </w:tcBorders>
          </w:tcPr>
          <w:p>
            <w:pPr>
              <w:ind w:left="60"/>
              <w:spacing w:after="0"/>
              <w:rPr>
                <w:sz w:val="20"/>
                <w:szCs w:val="20"/>
                <w:color w:val="auto"/>
              </w:rPr>
            </w:pPr>
            <w:r>
              <w:rPr>
                <w:rFonts w:ascii="Arial" w:cs="Arial" w:eastAsia="Arial" w:hAnsi="Arial"/>
                <w:sz w:val="15"/>
                <w:szCs w:val="15"/>
                <w:color w:val="58595B"/>
              </w:rPr>
              <w:t>F&amp;G Director Retainer (paid</w:t>
            </w:r>
          </w:p>
        </w:tc>
        <w:tc>
          <w:tcPr>
            <w:tcW w:w="12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102,571</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102,571</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11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20" w:type="dxa"/>
            <w:vAlign w:val="bottom"/>
            <w:shd w:val="clear" w:color="auto" w:fill="58595B"/>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58595B"/>
              <w:right w:val="single" w:sz="8" w:color="58595B"/>
            </w:tcBorders>
            <w:vMerge w:val="restart"/>
          </w:tcPr>
          <w:p>
            <w:pPr>
              <w:ind w:left="60"/>
              <w:spacing w:after="0"/>
              <w:rPr>
                <w:sz w:val="20"/>
                <w:szCs w:val="20"/>
                <w:color w:val="auto"/>
              </w:rPr>
            </w:pPr>
            <w:r>
              <w:rPr>
                <w:rFonts w:ascii="Arial" w:cs="Arial" w:eastAsia="Arial" w:hAnsi="Arial"/>
                <w:sz w:val="15"/>
                <w:szCs w:val="15"/>
                <w:color w:val="58595B"/>
              </w:rPr>
              <w:t>in F&amp;G stock)</w:t>
            </w:r>
          </w:p>
        </w:tc>
        <w:tc>
          <w:tcPr>
            <w:tcW w:w="120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80" w:type="dxa"/>
            <w:vAlign w:val="bottom"/>
            <w:tcBorders>
              <w:right w:val="single" w:sz="8" w:color="58595B"/>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shd w:val="clear" w:color="auto" w:fill="58595B"/>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80" w:type="dxa"/>
            <w:vAlign w:val="bottom"/>
            <w:tcBorders>
              <w:left w:val="single" w:sz="8" w:color="58595B"/>
              <w:right w:val="single" w:sz="8" w:color="58595B"/>
            </w:tcBorders>
            <w:vMerge w:val="continue"/>
          </w:tcPr>
          <w:p>
            <w:pPr>
              <w:spacing w:after="0"/>
              <w:rPr>
                <w:sz w:val="7"/>
                <w:szCs w:val="7"/>
                <w:color w:val="auto"/>
              </w:rPr>
            </w:pPr>
          </w:p>
        </w:tc>
        <w:tc>
          <w:tcPr>
            <w:tcW w:w="120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80" w:type="dxa"/>
            <w:vAlign w:val="bottom"/>
            <w:tcBorders>
              <w:right w:val="single" w:sz="8" w:color="58595B"/>
            </w:tcBorders>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shd w:val="clear" w:color="auto" w:fill="58595B"/>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58595B"/>
              <w:bottom w:val="single" w:sz="8" w:color="58595B"/>
              <w:right w:val="single" w:sz="8" w:color="58595B"/>
            </w:tcBorders>
          </w:tcPr>
          <w:p>
            <w:pPr>
              <w:spacing w:after="0"/>
              <w:rPr>
                <w:sz w:val="5"/>
                <w:szCs w:val="5"/>
                <w:color w:val="auto"/>
              </w:rPr>
            </w:pPr>
          </w:p>
        </w:tc>
        <w:tc>
          <w:tcPr>
            <w:tcW w:w="120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80" w:type="dxa"/>
            <w:vAlign w:val="bottom"/>
            <w:tcBorders>
              <w:bottom w:val="single" w:sz="8" w:color="58595B"/>
              <w:right w:val="single" w:sz="8" w:color="58595B"/>
            </w:tcBorders>
          </w:tcPr>
          <w:p>
            <w:pPr>
              <w:spacing w:after="0"/>
              <w:rPr>
                <w:sz w:val="5"/>
                <w:szCs w:val="5"/>
                <w:color w:val="auto"/>
              </w:rPr>
            </w:pPr>
          </w:p>
        </w:tc>
        <w:tc>
          <w:tcPr>
            <w:tcW w:w="116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E769B"/>
        </w:rPr>
        <w:t>GRANTS OF PLAN-BASED AWARDS</w:t>
      </w:r>
    </w:p>
    <w:p>
      <w:pPr>
        <w:spacing w:after="0" w:line="193" w:lineRule="exact"/>
        <w:rPr>
          <w:sz w:val="20"/>
          <w:szCs w:val="20"/>
          <w:color w:val="auto"/>
        </w:rPr>
      </w:pPr>
    </w:p>
    <w:p>
      <w:pPr>
        <w:ind w:left="1180" w:right="1180"/>
        <w:spacing w:after="0" w:line="266" w:lineRule="auto"/>
        <w:rPr>
          <w:sz w:val="20"/>
          <w:szCs w:val="20"/>
          <w:color w:val="auto"/>
        </w:rPr>
      </w:pPr>
      <w:r>
        <w:rPr>
          <w:rFonts w:ascii="Arial" w:cs="Arial" w:eastAsia="Arial" w:hAnsi="Arial"/>
          <w:sz w:val="18"/>
          <w:szCs w:val="18"/>
          <w:color w:val="58595B"/>
        </w:rPr>
        <w:t>The following tables set forth information concerning awards granted to the named executive officers during the fiscal year ended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54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58595B"/>
            </w:tcBorders>
          </w:tcPr>
          <w:p>
            <w:pPr>
              <w:spacing w:after="0"/>
              <w:rPr>
                <w:sz w:val="24"/>
                <w:szCs w:val="24"/>
                <w:color w:val="auto"/>
              </w:rPr>
            </w:pPr>
          </w:p>
        </w:tc>
        <w:tc>
          <w:tcPr>
            <w:tcW w:w="438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519430</wp:posOffset>
            </wp:positionV>
            <wp:extent cx="7620" cy="128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20" cy="1283335"/>
                    </a:xfrm>
                    <a:prstGeom prst="rect">
                      <a:avLst/>
                    </a:prstGeom>
                    <a:noFill/>
                  </pic:spPr>
                </pic:pic>
              </a:graphicData>
            </a:graphic>
          </wp:anchor>
        </w:drawing>
        <w:drawing>
          <wp:anchor simplePos="0" relativeHeight="251657728" behindDoc="1" locked="0" layoutInCell="0" allowOverlap="1">
            <wp:simplePos x="0" y="0"/>
            <wp:positionH relativeFrom="page">
              <wp:posOffset>4505960</wp:posOffset>
            </wp:positionH>
            <wp:positionV relativeFrom="page">
              <wp:posOffset>519430</wp:posOffset>
            </wp:positionV>
            <wp:extent cx="7620" cy="128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 cy="12833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7"/>
        </w:trPr>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40" w:type="dxa"/>
            <w:vAlign w:val="bottom"/>
            <w:tcBorders>
              <w:right w:val="single" w:sz="8" w:color="586D94"/>
            </w:tcBorders>
          </w:tcPr>
          <w:p>
            <w:pPr>
              <w:spacing w:after="0"/>
              <w:rPr>
                <w:sz w:val="21"/>
                <w:szCs w:val="21"/>
                <w:color w:val="auto"/>
              </w:rPr>
            </w:pPr>
          </w:p>
        </w:tc>
        <w:tc>
          <w:tcPr>
            <w:tcW w:w="2700" w:type="dxa"/>
            <w:vAlign w:val="bottom"/>
            <w:tcBorders>
              <w:top w:val="single" w:sz="8" w:color="586D94"/>
              <w:right w:val="single" w:sz="8" w:color="55779A"/>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Estimated Future Payouts</w:t>
            </w:r>
          </w:p>
        </w:tc>
        <w:tc>
          <w:tcPr>
            <w:tcW w:w="2680" w:type="dxa"/>
            <w:vAlign w:val="bottom"/>
            <w:tcBorders>
              <w:top w:val="single" w:sz="8" w:color="586D94"/>
              <w:right w:val="single" w:sz="8" w:color="274F78"/>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Estimated Future Payouts</w:t>
            </w:r>
          </w:p>
        </w:tc>
        <w:tc>
          <w:tcPr>
            <w:tcW w:w="880" w:type="dxa"/>
            <w:vAlign w:val="bottom"/>
            <w:tcBorders>
              <w:top w:val="single" w:sz="8" w:color="000E44"/>
              <w:right w:val="single" w:sz="8" w:color="58595B"/>
            </w:tcBorders>
            <w:shd w:val="clear" w:color="auto" w:fill="274F78"/>
          </w:tcPr>
          <w:p>
            <w:pPr>
              <w:spacing w:after="0"/>
              <w:rPr>
                <w:sz w:val="21"/>
                <w:szCs w:val="21"/>
                <w:color w:val="auto"/>
              </w:rPr>
            </w:pPr>
          </w:p>
        </w:tc>
        <w:tc>
          <w:tcPr>
            <w:tcW w:w="900" w:type="dxa"/>
            <w:vAlign w:val="bottom"/>
            <w:tcBorders>
              <w:top w:val="single" w:sz="8" w:color="000E44"/>
              <w:right w:val="single" w:sz="8" w:color="58595B"/>
            </w:tcBorders>
            <w:shd w:val="clear" w:color="auto" w:fill="274F78"/>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Borders>
              <w:right w:val="single" w:sz="8" w:color="586D94"/>
            </w:tcBorders>
          </w:tcPr>
          <w:p>
            <w:pPr>
              <w:spacing w:after="0"/>
              <w:rPr>
                <w:sz w:val="14"/>
                <w:szCs w:val="14"/>
                <w:color w:val="auto"/>
              </w:rPr>
            </w:pPr>
          </w:p>
        </w:tc>
        <w:tc>
          <w:tcPr>
            <w:tcW w:w="2700" w:type="dxa"/>
            <w:vAlign w:val="bottom"/>
            <w:tcBorders>
              <w:right w:val="single" w:sz="8" w:color="55779A"/>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Under Non-Equity Incentive</w:t>
            </w:r>
          </w:p>
        </w:tc>
        <w:tc>
          <w:tcPr>
            <w:tcW w:w="2680" w:type="dxa"/>
            <w:vAlign w:val="bottom"/>
            <w:tcBorders>
              <w:right w:val="single" w:sz="8" w:color="274F78"/>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Under Equity Incentive</w:t>
            </w:r>
          </w:p>
        </w:tc>
        <w:tc>
          <w:tcPr>
            <w:tcW w:w="880" w:type="dxa"/>
            <w:vAlign w:val="bottom"/>
            <w:tcBorders>
              <w:right w:val="single" w:sz="8" w:color="58595B"/>
            </w:tcBorders>
            <w:shd w:val="clear" w:color="auto" w:fill="274F78"/>
          </w:tcPr>
          <w:p>
            <w:pPr>
              <w:spacing w:after="0"/>
              <w:rPr>
                <w:sz w:val="14"/>
                <w:szCs w:val="14"/>
                <w:color w:val="auto"/>
              </w:rPr>
            </w:pPr>
          </w:p>
        </w:tc>
        <w:tc>
          <w:tcPr>
            <w:tcW w:w="900" w:type="dxa"/>
            <w:vAlign w:val="bottom"/>
            <w:tcBorders>
              <w:right w:val="single" w:sz="8" w:color="58595B"/>
            </w:tcBorders>
            <w:vMerge w:val="restart"/>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(K)</w:t>
            </w: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40" w:type="dxa"/>
            <w:vAlign w:val="bottom"/>
            <w:tcBorders>
              <w:right w:val="single" w:sz="8" w:color="586D94"/>
            </w:tcBorders>
          </w:tcPr>
          <w:p>
            <w:pPr>
              <w:spacing w:after="0"/>
              <w:rPr>
                <w:sz w:val="9"/>
                <w:szCs w:val="9"/>
                <w:color w:val="auto"/>
              </w:rPr>
            </w:pPr>
          </w:p>
        </w:tc>
        <w:tc>
          <w:tcPr>
            <w:tcW w:w="800" w:type="dxa"/>
            <w:vAlign w:val="bottom"/>
            <w:shd w:val="clear" w:color="auto" w:fill="55779A"/>
          </w:tcPr>
          <w:p>
            <w:pPr>
              <w:spacing w:after="0"/>
              <w:rPr>
                <w:sz w:val="9"/>
                <w:szCs w:val="9"/>
                <w:color w:val="auto"/>
              </w:rPr>
            </w:pPr>
          </w:p>
        </w:tc>
        <w:tc>
          <w:tcPr>
            <w:tcW w:w="1060" w:type="dxa"/>
            <w:vAlign w:val="bottom"/>
            <w:gridSpan w:val="3"/>
            <w:vMerge w:val="restart"/>
            <w:shd w:val="clear" w:color="auto" w:fill="55779A"/>
          </w:tcPr>
          <w:p>
            <w:pPr>
              <w:jc w:val="center"/>
              <w:spacing w:after="0" w:line="259" w:lineRule="exact"/>
              <w:rPr>
                <w:sz w:val="20"/>
                <w:szCs w:val="20"/>
                <w:color w:val="auto"/>
              </w:rPr>
            </w:pPr>
            <w:r>
              <w:rPr>
                <w:rFonts w:ascii="Arial" w:cs="Arial" w:eastAsia="Arial" w:hAnsi="Arial"/>
                <w:sz w:val="15"/>
                <w:szCs w:val="15"/>
                <w:b w:val="1"/>
                <w:bCs w:val="1"/>
                <w:color w:val="FFFFFF"/>
                <w:w w:val="94"/>
              </w:rPr>
              <w:t>Plan Awards</w:t>
            </w:r>
            <w:r>
              <w:rPr>
                <w:rFonts w:ascii="Arial" w:cs="Arial" w:eastAsia="Arial" w:hAnsi="Arial"/>
                <w:sz w:val="24"/>
                <w:szCs w:val="24"/>
                <w:b w:val="1"/>
                <w:bCs w:val="1"/>
                <w:color w:val="FFFFFF"/>
                <w:w w:val="94"/>
                <w:vertAlign w:val="superscript"/>
              </w:rPr>
              <w:t>(1)</w:t>
            </w:r>
          </w:p>
        </w:tc>
        <w:tc>
          <w:tcPr>
            <w:tcW w:w="840" w:type="dxa"/>
            <w:vAlign w:val="bottom"/>
            <w:tcBorders>
              <w:right w:val="single" w:sz="8" w:color="55779A"/>
            </w:tcBorders>
            <w:shd w:val="clear" w:color="auto" w:fill="55779A"/>
          </w:tcPr>
          <w:p>
            <w:pPr>
              <w:spacing w:after="0"/>
              <w:rPr>
                <w:sz w:val="9"/>
                <w:szCs w:val="9"/>
                <w:color w:val="auto"/>
              </w:rPr>
            </w:pPr>
          </w:p>
        </w:tc>
        <w:tc>
          <w:tcPr>
            <w:tcW w:w="800" w:type="dxa"/>
            <w:vAlign w:val="bottom"/>
            <w:shd w:val="clear" w:color="auto" w:fill="55779A"/>
          </w:tcPr>
          <w:p>
            <w:pPr>
              <w:spacing w:after="0"/>
              <w:rPr>
                <w:sz w:val="9"/>
                <w:szCs w:val="9"/>
                <w:color w:val="auto"/>
              </w:rPr>
            </w:pPr>
          </w:p>
        </w:tc>
        <w:tc>
          <w:tcPr>
            <w:tcW w:w="1060" w:type="dxa"/>
            <w:vAlign w:val="bottom"/>
            <w:gridSpan w:val="3"/>
            <w:vMerge w:val="restart"/>
            <w:shd w:val="clear" w:color="auto" w:fill="55779A"/>
          </w:tcPr>
          <w:p>
            <w:pPr>
              <w:jc w:val="center"/>
              <w:ind w:right="20"/>
              <w:spacing w:after="0" w:line="259" w:lineRule="exact"/>
              <w:rPr>
                <w:sz w:val="20"/>
                <w:szCs w:val="20"/>
                <w:color w:val="auto"/>
              </w:rPr>
            </w:pPr>
            <w:r>
              <w:rPr>
                <w:rFonts w:ascii="Arial" w:cs="Arial" w:eastAsia="Arial" w:hAnsi="Arial"/>
                <w:sz w:val="15"/>
                <w:szCs w:val="15"/>
                <w:b w:val="1"/>
                <w:bCs w:val="1"/>
                <w:color w:val="FFFFFF"/>
                <w:w w:val="94"/>
              </w:rPr>
              <w:t>Plan Awards</w:t>
            </w:r>
            <w:r>
              <w:rPr>
                <w:rFonts w:ascii="Arial" w:cs="Arial" w:eastAsia="Arial" w:hAnsi="Arial"/>
                <w:sz w:val="24"/>
                <w:szCs w:val="24"/>
                <w:b w:val="1"/>
                <w:bCs w:val="1"/>
                <w:color w:val="FFFFFF"/>
                <w:w w:val="94"/>
                <w:vertAlign w:val="superscript"/>
              </w:rPr>
              <w:t>(2)</w:t>
            </w:r>
          </w:p>
        </w:tc>
        <w:tc>
          <w:tcPr>
            <w:tcW w:w="820" w:type="dxa"/>
            <w:vAlign w:val="bottom"/>
            <w:tcBorders>
              <w:right w:val="single" w:sz="8" w:color="274F78"/>
            </w:tcBorders>
            <w:shd w:val="clear" w:color="auto" w:fill="55779A"/>
          </w:tcPr>
          <w:p>
            <w:pPr>
              <w:spacing w:after="0"/>
              <w:rPr>
                <w:sz w:val="9"/>
                <w:szCs w:val="9"/>
                <w:color w:val="auto"/>
              </w:rPr>
            </w:pPr>
          </w:p>
        </w:tc>
        <w:tc>
          <w:tcPr>
            <w:tcW w:w="880" w:type="dxa"/>
            <w:vAlign w:val="bottom"/>
            <w:tcBorders>
              <w:right w:val="single" w:sz="8" w:color="58595B"/>
            </w:tcBorders>
            <w:shd w:val="clear" w:color="auto" w:fill="274F78"/>
          </w:tcPr>
          <w:p>
            <w:pPr>
              <w:spacing w:after="0"/>
              <w:rPr>
                <w:sz w:val="9"/>
                <w:szCs w:val="9"/>
                <w:color w:val="auto"/>
              </w:rPr>
            </w:pPr>
          </w:p>
        </w:tc>
        <w:tc>
          <w:tcPr>
            <w:tcW w:w="900" w:type="dxa"/>
            <w:vAlign w:val="bottom"/>
            <w:tcBorders>
              <w:right w:val="single" w:sz="8" w:color="58595B"/>
            </w:tcBorders>
            <w:vMerge w:val="continue"/>
            <w:shd w:val="clear" w:color="auto" w:fill="274F78"/>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Borders>
              <w:right w:val="single" w:sz="8" w:color="586D94"/>
            </w:tcBorders>
          </w:tcPr>
          <w:p>
            <w:pPr>
              <w:spacing w:after="0"/>
              <w:rPr>
                <w:sz w:val="14"/>
                <w:szCs w:val="14"/>
                <w:color w:val="auto"/>
              </w:rPr>
            </w:pPr>
          </w:p>
        </w:tc>
        <w:tc>
          <w:tcPr>
            <w:tcW w:w="800" w:type="dxa"/>
            <w:vAlign w:val="bottom"/>
            <w:tcBorders>
              <w:bottom w:val="single" w:sz="8" w:color="55779A"/>
            </w:tcBorders>
            <w:shd w:val="clear" w:color="auto" w:fill="55779A"/>
          </w:tcPr>
          <w:p>
            <w:pPr>
              <w:spacing w:after="0"/>
              <w:rPr>
                <w:sz w:val="14"/>
                <w:szCs w:val="14"/>
                <w:color w:val="auto"/>
              </w:rPr>
            </w:pPr>
          </w:p>
        </w:tc>
        <w:tc>
          <w:tcPr>
            <w:tcW w:w="1060" w:type="dxa"/>
            <w:vAlign w:val="bottom"/>
            <w:tcBorders>
              <w:bottom w:val="single" w:sz="8" w:color="55779A"/>
            </w:tcBorders>
            <w:gridSpan w:val="3"/>
            <w:vMerge w:val="continue"/>
            <w:shd w:val="clear" w:color="auto" w:fill="55779A"/>
          </w:tcPr>
          <w:p>
            <w:pPr>
              <w:spacing w:after="0"/>
              <w:rPr>
                <w:sz w:val="14"/>
                <w:szCs w:val="14"/>
                <w:color w:val="auto"/>
              </w:rPr>
            </w:pPr>
          </w:p>
        </w:tc>
        <w:tc>
          <w:tcPr>
            <w:tcW w:w="840" w:type="dxa"/>
            <w:vAlign w:val="bottom"/>
            <w:tcBorders>
              <w:bottom w:val="single" w:sz="8" w:color="55779A"/>
              <w:right w:val="single" w:sz="8" w:color="55779A"/>
            </w:tcBorders>
            <w:shd w:val="clear" w:color="auto" w:fill="55779A"/>
          </w:tcPr>
          <w:p>
            <w:pPr>
              <w:spacing w:after="0"/>
              <w:rPr>
                <w:sz w:val="14"/>
                <w:szCs w:val="14"/>
                <w:color w:val="auto"/>
              </w:rPr>
            </w:pPr>
          </w:p>
        </w:tc>
        <w:tc>
          <w:tcPr>
            <w:tcW w:w="800" w:type="dxa"/>
            <w:vAlign w:val="bottom"/>
            <w:tcBorders>
              <w:bottom w:val="single" w:sz="8" w:color="55779A"/>
            </w:tcBorders>
            <w:shd w:val="clear" w:color="auto" w:fill="55779A"/>
          </w:tcPr>
          <w:p>
            <w:pPr>
              <w:spacing w:after="0"/>
              <w:rPr>
                <w:sz w:val="14"/>
                <w:szCs w:val="14"/>
                <w:color w:val="auto"/>
              </w:rPr>
            </w:pPr>
          </w:p>
        </w:tc>
        <w:tc>
          <w:tcPr>
            <w:tcW w:w="1060" w:type="dxa"/>
            <w:vAlign w:val="bottom"/>
            <w:tcBorders>
              <w:bottom w:val="single" w:sz="8" w:color="55779A"/>
            </w:tcBorders>
            <w:gridSpan w:val="3"/>
            <w:vMerge w:val="continue"/>
            <w:shd w:val="clear" w:color="auto" w:fill="55779A"/>
          </w:tcPr>
          <w:p>
            <w:pPr>
              <w:spacing w:after="0"/>
              <w:rPr>
                <w:sz w:val="14"/>
                <w:szCs w:val="14"/>
                <w:color w:val="auto"/>
              </w:rPr>
            </w:pPr>
          </w:p>
        </w:tc>
        <w:tc>
          <w:tcPr>
            <w:tcW w:w="820" w:type="dxa"/>
            <w:vAlign w:val="bottom"/>
            <w:tcBorders>
              <w:bottom w:val="single" w:sz="8" w:color="55779A"/>
              <w:right w:val="single" w:sz="8" w:color="274F78"/>
            </w:tcBorders>
            <w:shd w:val="clear" w:color="auto" w:fill="55779A"/>
          </w:tcPr>
          <w:p>
            <w:pPr>
              <w:spacing w:after="0"/>
              <w:rPr>
                <w:sz w:val="14"/>
                <w:szCs w:val="14"/>
                <w:color w:val="auto"/>
              </w:rPr>
            </w:pPr>
          </w:p>
        </w:tc>
        <w:tc>
          <w:tcPr>
            <w:tcW w:w="880" w:type="dxa"/>
            <w:vAlign w:val="bottom"/>
            <w:tcBorders>
              <w:bottom w:val="single" w:sz="8" w:color="274F78"/>
              <w:right w:val="single" w:sz="8" w:color="58595B"/>
            </w:tcBorders>
            <w:shd w:val="clear" w:color="auto" w:fill="274F78"/>
          </w:tcPr>
          <w:p>
            <w:pPr>
              <w:jc w:val="center"/>
              <w:spacing w:after="0" w:line="165" w:lineRule="exact"/>
              <w:rPr>
                <w:sz w:val="20"/>
                <w:szCs w:val="20"/>
                <w:color w:val="auto"/>
              </w:rPr>
            </w:pPr>
            <w:r>
              <w:rPr>
                <w:rFonts w:ascii="Arial" w:cs="Arial" w:eastAsia="Arial" w:hAnsi="Arial"/>
                <w:sz w:val="15"/>
                <w:szCs w:val="15"/>
                <w:b w:val="1"/>
                <w:bCs w:val="1"/>
                <w:color w:val="FFFFFF"/>
                <w:w w:val="97"/>
              </w:rPr>
              <w:t>(J)</w:t>
            </w:r>
          </w:p>
        </w:tc>
        <w:tc>
          <w:tcPr>
            <w:tcW w:w="900" w:type="dxa"/>
            <w:vAlign w:val="bottom"/>
            <w:tcBorders>
              <w:bottom w:val="single" w:sz="8" w:color="274F78"/>
              <w:right w:val="single" w:sz="8" w:color="58595B"/>
            </w:tcBorders>
            <w:shd w:val="clear" w:color="auto" w:fill="274F78"/>
          </w:tcPr>
          <w:p>
            <w:pPr>
              <w:jc w:val="center"/>
              <w:spacing w:after="0" w:line="165" w:lineRule="exact"/>
              <w:rPr>
                <w:sz w:val="20"/>
                <w:szCs w:val="20"/>
                <w:color w:val="auto"/>
              </w:rPr>
            </w:pPr>
            <w:r>
              <w:rPr>
                <w:rFonts w:ascii="Arial" w:cs="Arial" w:eastAsia="Arial" w:hAnsi="Arial"/>
                <w:sz w:val="15"/>
                <w:szCs w:val="15"/>
                <w:b w:val="1"/>
                <w:bCs w:val="1"/>
                <w:color w:val="FFFFFF"/>
                <w:w w:val="99"/>
              </w:rPr>
              <w:t>Grant</w:t>
            </w:r>
          </w:p>
        </w:tc>
        <w:tc>
          <w:tcPr>
            <w:tcW w:w="0" w:type="dxa"/>
            <w:vAlign w:val="bottom"/>
          </w:tcPr>
          <w:p>
            <w:pPr>
              <w:spacing w:after="0"/>
              <w:rPr>
                <w:sz w:val="1"/>
                <w:szCs w:val="1"/>
                <w:color w:val="auto"/>
              </w:rPr>
            </w:pPr>
          </w:p>
        </w:tc>
      </w:tr>
      <w:tr>
        <w:trPr>
          <w:trHeight w:val="160"/>
        </w:trPr>
        <w:tc>
          <w:tcPr>
            <w:tcW w:w="1040" w:type="dxa"/>
            <w:vAlign w:val="bottom"/>
            <w:tcBorders>
              <w:left w:val="single" w:sz="8" w:color="274F78"/>
              <w:right w:val="single" w:sz="8" w:color="274F78"/>
            </w:tcBorders>
            <w:shd w:val="clear" w:color="auto" w:fill="274F78"/>
          </w:tcPr>
          <w:p>
            <w:pPr>
              <w:spacing w:after="0"/>
              <w:rPr>
                <w:sz w:val="13"/>
                <w:szCs w:val="13"/>
                <w:color w:val="auto"/>
              </w:rPr>
            </w:pPr>
          </w:p>
        </w:tc>
        <w:tc>
          <w:tcPr>
            <w:tcW w:w="1020" w:type="dxa"/>
            <w:vAlign w:val="bottom"/>
            <w:tcBorders>
              <w:right w:val="single" w:sz="8" w:color="274F78"/>
            </w:tcBorders>
            <w:shd w:val="clear" w:color="auto" w:fill="274F78"/>
          </w:tcPr>
          <w:p>
            <w:pPr>
              <w:spacing w:after="0"/>
              <w:rPr>
                <w:sz w:val="13"/>
                <w:szCs w:val="13"/>
                <w:color w:val="auto"/>
              </w:rPr>
            </w:pPr>
          </w:p>
        </w:tc>
        <w:tc>
          <w:tcPr>
            <w:tcW w:w="2040" w:type="dxa"/>
            <w:vAlign w:val="bottom"/>
            <w:tcBorders>
              <w:right w:val="single" w:sz="8" w:color="274F78"/>
            </w:tcBorders>
            <w:shd w:val="clear" w:color="auto" w:fill="274F78"/>
          </w:tcPr>
          <w:p>
            <w:pPr>
              <w:spacing w:after="0"/>
              <w:rPr>
                <w:sz w:val="13"/>
                <w:szCs w:val="13"/>
                <w:color w:val="auto"/>
              </w:rPr>
            </w:pPr>
          </w:p>
        </w:tc>
        <w:tc>
          <w:tcPr>
            <w:tcW w:w="800" w:type="dxa"/>
            <w:vAlign w:val="bottom"/>
            <w:shd w:val="clear" w:color="auto" w:fill="274F78"/>
          </w:tcPr>
          <w:p>
            <w:pPr>
              <w:spacing w:after="0"/>
              <w:rPr>
                <w:sz w:val="13"/>
                <w:szCs w:val="13"/>
                <w:color w:val="auto"/>
              </w:rPr>
            </w:pPr>
          </w:p>
        </w:tc>
        <w:tc>
          <w:tcPr>
            <w:tcW w:w="100" w:type="dxa"/>
            <w:vAlign w:val="bottom"/>
            <w:tcBorders>
              <w:right w:val="single" w:sz="8" w:color="274F78"/>
            </w:tcBorders>
            <w:shd w:val="clear" w:color="auto" w:fill="274F78"/>
          </w:tcPr>
          <w:p>
            <w:pPr>
              <w:spacing w:after="0"/>
              <w:rPr>
                <w:sz w:val="13"/>
                <w:szCs w:val="13"/>
                <w:color w:val="auto"/>
              </w:rPr>
            </w:pPr>
          </w:p>
        </w:tc>
        <w:tc>
          <w:tcPr>
            <w:tcW w:w="900" w:type="dxa"/>
            <w:vAlign w:val="bottom"/>
            <w:tcBorders>
              <w:right w:val="single" w:sz="8" w:color="274F78"/>
            </w:tcBorders>
            <w:shd w:val="clear" w:color="auto" w:fill="274F78"/>
          </w:tcPr>
          <w:p>
            <w:pPr>
              <w:spacing w:after="0"/>
              <w:rPr>
                <w:sz w:val="13"/>
                <w:szCs w:val="13"/>
                <w:color w:val="auto"/>
              </w:rPr>
            </w:pPr>
          </w:p>
        </w:tc>
        <w:tc>
          <w:tcPr>
            <w:tcW w:w="60" w:type="dxa"/>
            <w:vAlign w:val="bottom"/>
            <w:shd w:val="clear" w:color="auto" w:fill="274F78"/>
          </w:tcPr>
          <w:p>
            <w:pPr>
              <w:spacing w:after="0"/>
              <w:rPr>
                <w:sz w:val="13"/>
                <w:szCs w:val="13"/>
                <w:color w:val="auto"/>
              </w:rPr>
            </w:pPr>
          </w:p>
        </w:tc>
        <w:tc>
          <w:tcPr>
            <w:tcW w:w="840" w:type="dxa"/>
            <w:vAlign w:val="bottom"/>
            <w:tcBorders>
              <w:right w:val="single" w:sz="8" w:color="274F78"/>
            </w:tcBorders>
            <w:shd w:val="clear" w:color="auto" w:fill="274F78"/>
          </w:tcPr>
          <w:p>
            <w:pPr>
              <w:spacing w:after="0"/>
              <w:rPr>
                <w:sz w:val="13"/>
                <w:szCs w:val="13"/>
                <w:color w:val="auto"/>
              </w:rPr>
            </w:pPr>
          </w:p>
        </w:tc>
        <w:tc>
          <w:tcPr>
            <w:tcW w:w="800" w:type="dxa"/>
            <w:vAlign w:val="bottom"/>
            <w:shd w:val="clear" w:color="auto" w:fill="274F78"/>
          </w:tcPr>
          <w:p>
            <w:pPr>
              <w:spacing w:after="0"/>
              <w:rPr>
                <w:sz w:val="13"/>
                <w:szCs w:val="13"/>
                <w:color w:val="auto"/>
              </w:rPr>
            </w:pPr>
          </w:p>
        </w:tc>
        <w:tc>
          <w:tcPr>
            <w:tcW w:w="100" w:type="dxa"/>
            <w:vAlign w:val="bottom"/>
            <w:tcBorders>
              <w:right w:val="single" w:sz="8" w:color="274F78"/>
            </w:tcBorders>
            <w:shd w:val="clear" w:color="auto" w:fill="274F78"/>
          </w:tcPr>
          <w:p>
            <w:pPr>
              <w:spacing w:after="0"/>
              <w:rPr>
                <w:sz w:val="13"/>
                <w:szCs w:val="13"/>
                <w:color w:val="auto"/>
              </w:rPr>
            </w:pPr>
          </w:p>
        </w:tc>
        <w:tc>
          <w:tcPr>
            <w:tcW w:w="900" w:type="dxa"/>
            <w:vAlign w:val="bottom"/>
            <w:tcBorders>
              <w:right w:val="single" w:sz="8" w:color="274F78"/>
            </w:tcBorders>
            <w:shd w:val="clear" w:color="auto" w:fill="274F78"/>
          </w:tcPr>
          <w:p>
            <w:pPr>
              <w:spacing w:after="0"/>
              <w:rPr>
                <w:sz w:val="13"/>
                <w:szCs w:val="13"/>
                <w:color w:val="auto"/>
              </w:rPr>
            </w:pPr>
          </w:p>
        </w:tc>
        <w:tc>
          <w:tcPr>
            <w:tcW w:w="60" w:type="dxa"/>
            <w:vAlign w:val="bottom"/>
            <w:shd w:val="clear" w:color="auto" w:fill="274F78"/>
          </w:tcPr>
          <w:p>
            <w:pPr>
              <w:spacing w:after="0"/>
              <w:rPr>
                <w:sz w:val="13"/>
                <w:szCs w:val="13"/>
                <w:color w:val="auto"/>
              </w:rPr>
            </w:pPr>
          </w:p>
        </w:tc>
        <w:tc>
          <w:tcPr>
            <w:tcW w:w="820" w:type="dxa"/>
            <w:vAlign w:val="bottom"/>
            <w:tcBorders>
              <w:right w:val="single" w:sz="8" w:color="274F78"/>
            </w:tcBorders>
            <w:shd w:val="clear" w:color="auto" w:fill="274F78"/>
          </w:tcPr>
          <w:p>
            <w:pPr>
              <w:spacing w:after="0"/>
              <w:rPr>
                <w:sz w:val="13"/>
                <w:szCs w:val="13"/>
                <w:color w:val="auto"/>
              </w:rPr>
            </w:pPr>
          </w:p>
        </w:tc>
        <w:tc>
          <w:tcPr>
            <w:tcW w:w="880" w:type="dxa"/>
            <w:vAlign w:val="bottom"/>
            <w:tcBorders>
              <w:right w:val="single" w:sz="8" w:color="58595B"/>
            </w:tcBorders>
            <w:shd w:val="clear" w:color="auto" w:fill="274F78"/>
          </w:tcPr>
          <w:p>
            <w:pPr>
              <w:jc w:val="center"/>
              <w:spacing w:after="0" w:line="160" w:lineRule="exact"/>
              <w:rPr>
                <w:sz w:val="20"/>
                <w:szCs w:val="20"/>
                <w:color w:val="auto"/>
              </w:rPr>
            </w:pPr>
            <w:r>
              <w:rPr>
                <w:rFonts w:ascii="Arial" w:cs="Arial" w:eastAsia="Arial" w:hAnsi="Arial"/>
                <w:sz w:val="15"/>
                <w:szCs w:val="15"/>
                <w:b w:val="1"/>
                <w:bCs w:val="1"/>
                <w:color w:val="FFFFFF"/>
                <w:w w:val="97"/>
              </w:rPr>
              <w:t>All Other</w:t>
            </w:r>
          </w:p>
        </w:tc>
        <w:tc>
          <w:tcPr>
            <w:tcW w:w="900" w:type="dxa"/>
            <w:vAlign w:val="bottom"/>
            <w:tcBorders>
              <w:right w:val="single" w:sz="8" w:color="58595B"/>
            </w:tcBorders>
            <w:shd w:val="clear" w:color="auto" w:fill="274F78"/>
          </w:tcPr>
          <w:p>
            <w:pPr>
              <w:jc w:val="center"/>
              <w:spacing w:after="0" w:line="160" w:lineRule="exact"/>
              <w:rPr>
                <w:sz w:val="20"/>
                <w:szCs w:val="20"/>
                <w:color w:val="auto"/>
              </w:rPr>
            </w:pPr>
            <w:r>
              <w:rPr>
                <w:rFonts w:ascii="Arial" w:cs="Arial" w:eastAsia="Arial" w:hAnsi="Arial"/>
                <w:sz w:val="15"/>
                <w:szCs w:val="15"/>
                <w:b w:val="1"/>
                <w:bCs w:val="1"/>
                <w:color w:val="FFFFFF"/>
                <w:w w:val="98"/>
              </w:rPr>
              <w:t>Date</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Awards:</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Fair</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Number</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Value of</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of</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Stock and</w:t>
            </w:r>
          </w:p>
        </w:tc>
        <w:tc>
          <w:tcPr>
            <w:tcW w:w="0" w:type="dxa"/>
            <w:vAlign w:val="bottom"/>
          </w:tcPr>
          <w:p>
            <w:pPr>
              <w:spacing w:after="0"/>
              <w:rPr>
                <w:sz w:val="1"/>
                <w:szCs w:val="1"/>
                <w:color w:val="auto"/>
              </w:rPr>
            </w:pPr>
          </w:p>
        </w:tc>
      </w:tr>
      <w:tr>
        <w:trPr>
          <w:trHeight w:val="185"/>
        </w:trPr>
        <w:tc>
          <w:tcPr>
            <w:tcW w:w="1040" w:type="dxa"/>
            <w:vAlign w:val="bottom"/>
            <w:tcBorders>
              <w:left w:val="single" w:sz="8" w:color="274F78"/>
              <w:right w:val="single" w:sz="8" w:color="274F78"/>
            </w:tcBorders>
            <w:shd w:val="clear" w:color="auto" w:fill="274F78"/>
          </w:tcPr>
          <w:p>
            <w:pPr>
              <w:spacing w:after="0"/>
              <w:rPr>
                <w:sz w:val="16"/>
                <w:szCs w:val="16"/>
                <w:color w:val="auto"/>
              </w:rPr>
            </w:pPr>
          </w:p>
        </w:tc>
        <w:tc>
          <w:tcPr>
            <w:tcW w:w="1020" w:type="dxa"/>
            <w:vAlign w:val="bottom"/>
            <w:tcBorders>
              <w:right w:val="single" w:sz="8" w:color="274F78"/>
            </w:tcBorders>
            <w:shd w:val="clear" w:color="auto" w:fill="274F78"/>
          </w:tcPr>
          <w:p>
            <w:pPr>
              <w:spacing w:after="0"/>
              <w:rPr>
                <w:sz w:val="16"/>
                <w:szCs w:val="16"/>
                <w:color w:val="auto"/>
              </w:rPr>
            </w:pPr>
          </w:p>
        </w:tc>
        <w:tc>
          <w:tcPr>
            <w:tcW w:w="2040" w:type="dxa"/>
            <w:vAlign w:val="bottom"/>
            <w:tcBorders>
              <w:right w:val="single" w:sz="8" w:color="274F78"/>
            </w:tcBorders>
            <w:shd w:val="clear" w:color="auto" w:fill="274F78"/>
          </w:tcPr>
          <w:p>
            <w:pPr>
              <w:spacing w:after="0"/>
              <w:rPr>
                <w:sz w:val="16"/>
                <w:szCs w:val="16"/>
                <w:color w:val="auto"/>
              </w:rPr>
            </w:pPr>
          </w:p>
        </w:tc>
        <w:tc>
          <w:tcPr>
            <w:tcW w:w="800" w:type="dxa"/>
            <w:vAlign w:val="bottom"/>
            <w:shd w:val="clear" w:color="auto" w:fill="274F78"/>
          </w:tcPr>
          <w:p>
            <w:pPr>
              <w:jc w:val="center"/>
              <w:ind w:left="6"/>
              <w:spacing w:after="0"/>
              <w:rPr>
                <w:sz w:val="20"/>
                <w:szCs w:val="20"/>
                <w:color w:val="auto"/>
              </w:rPr>
            </w:pPr>
            <w:r>
              <w:rPr>
                <w:rFonts w:ascii="Arial" w:cs="Arial" w:eastAsia="Arial" w:hAnsi="Arial"/>
                <w:sz w:val="15"/>
                <w:szCs w:val="15"/>
                <w:b w:val="1"/>
                <w:bCs w:val="1"/>
                <w:color w:val="FFFFFF"/>
                <w:w w:val="95"/>
              </w:rPr>
              <w:t>(D)</w:t>
            </w:r>
          </w:p>
        </w:tc>
        <w:tc>
          <w:tcPr>
            <w:tcW w:w="100" w:type="dxa"/>
            <w:vAlign w:val="bottom"/>
            <w:tcBorders>
              <w:right w:val="single" w:sz="8" w:color="274F78"/>
            </w:tcBorders>
            <w:shd w:val="clear" w:color="auto" w:fill="274F78"/>
          </w:tcPr>
          <w:p>
            <w:pPr>
              <w:spacing w:after="0"/>
              <w:rPr>
                <w:sz w:val="16"/>
                <w:szCs w:val="16"/>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9"/>
              </w:rPr>
              <w:t>(E)</w:t>
            </w:r>
          </w:p>
        </w:tc>
        <w:tc>
          <w:tcPr>
            <w:tcW w:w="84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3"/>
              </w:rPr>
              <w:t>(F)</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rPr>
              <w:t>(G)</w:t>
            </w:r>
          </w:p>
        </w:tc>
        <w:tc>
          <w:tcPr>
            <w:tcW w:w="100" w:type="dxa"/>
            <w:vAlign w:val="bottom"/>
            <w:tcBorders>
              <w:right w:val="single" w:sz="8" w:color="274F78"/>
            </w:tcBorders>
            <w:shd w:val="clear" w:color="auto" w:fill="274F78"/>
          </w:tcPr>
          <w:p>
            <w:pPr>
              <w:spacing w:after="0"/>
              <w:rPr>
                <w:sz w:val="16"/>
                <w:szCs w:val="16"/>
                <w:color w:val="auto"/>
              </w:rPr>
            </w:pPr>
          </w:p>
        </w:tc>
        <w:tc>
          <w:tcPr>
            <w:tcW w:w="960" w:type="dxa"/>
            <w:vAlign w:val="bottom"/>
            <w:gridSpan w:val="2"/>
            <w:shd w:val="clear" w:color="auto" w:fill="274F78"/>
          </w:tcPr>
          <w:p>
            <w:pPr>
              <w:jc w:val="center"/>
              <w:ind w:right="100"/>
              <w:spacing w:after="0"/>
              <w:rPr>
                <w:sz w:val="20"/>
                <w:szCs w:val="20"/>
                <w:color w:val="auto"/>
              </w:rPr>
            </w:pPr>
            <w:r>
              <w:rPr>
                <w:rFonts w:ascii="Arial" w:cs="Arial" w:eastAsia="Arial" w:hAnsi="Arial"/>
                <w:sz w:val="15"/>
                <w:szCs w:val="15"/>
                <w:b w:val="1"/>
                <w:bCs w:val="1"/>
                <w:color w:val="FFFFFF"/>
              </w:rPr>
              <w:t>(H)</w:t>
            </w:r>
          </w:p>
        </w:tc>
        <w:tc>
          <w:tcPr>
            <w:tcW w:w="82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8"/>
              </w:rPr>
              <w:t>(I)</w:t>
            </w: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Shares</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Option</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(A)</w:t>
            </w:r>
          </w:p>
        </w:tc>
        <w:tc>
          <w:tcPr>
            <w:tcW w:w="10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(B)</w:t>
            </w:r>
          </w:p>
        </w:tc>
        <w:tc>
          <w:tcPr>
            <w:tcW w:w="2040" w:type="dxa"/>
            <w:vAlign w:val="bottom"/>
            <w:tcBorders>
              <w:right w:val="single" w:sz="8" w:color="274F78"/>
            </w:tcBorders>
            <w:shd w:val="clear" w:color="auto" w:fill="274F78"/>
          </w:tcPr>
          <w:p>
            <w:pPr>
              <w:ind w:left="900"/>
              <w:spacing w:after="0"/>
              <w:rPr>
                <w:sz w:val="20"/>
                <w:szCs w:val="20"/>
                <w:color w:val="auto"/>
              </w:rPr>
            </w:pPr>
            <w:r>
              <w:rPr>
                <w:rFonts w:ascii="Arial" w:cs="Arial" w:eastAsia="Arial" w:hAnsi="Arial"/>
                <w:sz w:val="15"/>
                <w:szCs w:val="15"/>
                <w:b w:val="1"/>
                <w:bCs w:val="1"/>
                <w:color w:val="FFFFFF"/>
              </w:rPr>
              <w:t>(C)</w:t>
            </w:r>
          </w:p>
        </w:tc>
        <w:tc>
          <w:tcPr>
            <w:tcW w:w="800" w:type="dxa"/>
            <w:vAlign w:val="bottom"/>
            <w:shd w:val="clear" w:color="auto" w:fill="274F78"/>
          </w:tcPr>
          <w:p>
            <w:pPr>
              <w:jc w:val="center"/>
              <w:ind w:left="6"/>
              <w:spacing w:after="0"/>
              <w:rPr>
                <w:sz w:val="20"/>
                <w:szCs w:val="20"/>
                <w:color w:val="auto"/>
              </w:rPr>
            </w:pPr>
            <w:r>
              <w:rPr>
                <w:rFonts w:ascii="Arial" w:cs="Arial" w:eastAsia="Arial" w:hAnsi="Arial"/>
                <w:sz w:val="15"/>
                <w:szCs w:val="15"/>
                <w:b w:val="1"/>
                <w:bCs w:val="1"/>
                <w:color w:val="FFFFFF"/>
                <w:w w:val="99"/>
              </w:rPr>
              <w:t>Threshold</w:t>
            </w:r>
          </w:p>
        </w:tc>
        <w:tc>
          <w:tcPr>
            <w:tcW w:w="100" w:type="dxa"/>
            <w:vAlign w:val="bottom"/>
            <w:tcBorders>
              <w:right w:val="single" w:sz="8" w:color="274F78"/>
            </w:tcBorders>
            <w:shd w:val="clear" w:color="auto" w:fill="274F78"/>
          </w:tcPr>
          <w:p>
            <w:pPr>
              <w:spacing w:after="0"/>
              <w:rPr>
                <w:sz w:val="15"/>
                <w:szCs w:val="15"/>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5"/>
              </w:rPr>
              <w:t>Target</w:t>
            </w:r>
          </w:p>
        </w:tc>
        <w:tc>
          <w:tcPr>
            <w:tcW w:w="84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8"/>
              </w:rPr>
              <w:t>Maximum</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6"/>
              </w:rPr>
              <w:t>Threshold</w:t>
            </w:r>
          </w:p>
        </w:tc>
        <w:tc>
          <w:tcPr>
            <w:tcW w:w="100" w:type="dxa"/>
            <w:vAlign w:val="bottom"/>
            <w:tcBorders>
              <w:right w:val="single" w:sz="8" w:color="274F78"/>
            </w:tcBorders>
            <w:shd w:val="clear" w:color="auto" w:fill="274F78"/>
          </w:tcPr>
          <w:p>
            <w:pPr>
              <w:spacing w:after="0"/>
              <w:rPr>
                <w:sz w:val="15"/>
                <w:szCs w:val="15"/>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5"/>
              </w:rPr>
              <w:t>Target</w:t>
            </w:r>
          </w:p>
        </w:tc>
        <w:tc>
          <w:tcPr>
            <w:tcW w:w="82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8"/>
              </w:rPr>
              <w:t>Maximum</w:t>
            </w: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of Stock</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Awards</w:t>
            </w:r>
          </w:p>
        </w:tc>
        <w:tc>
          <w:tcPr>
            <w:tcW w:w="0" w:type="dxa"/>
            <w:vAlign w:val="bottom"/>
          </w:tcPr>
          <w:p>
            <w:pPr>
              <w:spacing w:after="0"/>
              <w:rPr>
                <w:sz w:val="1"/>
                <w:szCs w:val="1"/>
                <w:color w:val="auto"/>
              </w:rPr>
            </w:pPr>
          </w:p>
        </w:tc>
      </w:tr>
      <w:tr>
        <w:trPr>
          <w:trHeight w:val="271"/>
        </w:trPr>
        <w:tc>
          <w:tcPr>
            <w:tcW w:w="1040" w:type="dxa"/>
            <w:vAlign w:val="bottom"/>
            <w:tcBorders>
              <w:left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Name</w:t>
            </w:r>
          </w:p>
        </w:tc>
        <w:tc>
          <w:tcPr>
            <w:tcW w:w="10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Grant Date</w:t>
            </w:r>
          </w:p>
        </w:tc>
        <w:tc>
          <w:tcPr>
            <w:tcW w:w="2040" w:type="dxa"/>
            <w:vAlign w:val="bottom"/>
            <w:tcBorders>
              <w:right w:val="single" w:sz="8" w:color="274F78"/>
            </w:tcBorders>
            <w:shd w:val="clear" w:color="auto" w:fill="274F78"/>
          </w:tcPr>
          <w:p>
            <w:pPr>
              <w:ind w:left="600"/>
              <w:spacing w:after="0"/>
              <w:rPr>
                <w:sz w:val="20"/>
                <w:szCs w:val="20"/>
                <w:color w:val="auto"/>
              </w:rPr>
            </w:pPr>
            <w:r>
              <w:rPr>
                <w:rFonts w:ascii="Arial" w:cs="Arial" w:eastAsia="Arial" w:hAnsi="Arial"/>
                <w:sz w:val="15"/>
                <w:szCs w:val="15"/>
                <w:b w:val="1"/>
                <w:bCs w:val="1"/>
                <w:color w:val="FFFFFF"/>
              </w:rPr>
              <w:t>Award Type</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1000" w:type="dxa"/>
            <w:vAlign w:val="bottom"/>
            <w:tcBorders>
              <w:right w:val="single" w:sz="8" w:color="274F78"/>
            </w:tcBorders>
            <w:gridSpan w:val="2"/>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60" w:type="dxa"/>
            <w:vAlign w:val="bottom"/>
            <w:shd w:val="clear" w:color="auto" w:fill="274F78"/>
          </w:tcPr>
          <w:p>
            <w:pPr>
              <w:spacing w:after="0"/>
              <w:rPr>
                <w:sz w:val="23"/>
                <w:szCs w:val="23"/>
                <w:color w:val="auto"/>
              </w:rPr>
            </w:pPr>
          </w:p>
        </w:tc>
        <w:tc>
          <w:tcPr>
            <w:tcW w:w="84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7"/>
              </w:rPr>
              <w:t>($)</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1000" w:type="dxa"/>
            <w:vAlign w:val="bottom"/>
            <w:tcBorders>
              <w:right w:val="single" w:sz="8" w:color="274F78"/>
            </w:tcBorders>
            <w:gridSpan w:val="2"/>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60" w:type="dxa"/>
            <w:vAlign w:val="bottom"/>
            <w:shd w:val="clear" w:color="auto" w:fill="274F78"/>
          </w:tcPr>
          <w:p>
            <w:pPr>
              <w:spacing w:after="0"/>
              <w:rPr>
                <w:sz w:val="23"/>
                <w:szCs w:val="23"/>
                <w:color w:val="auto"/>
              </w:rPr>
            </w:pPr>
          </w:p>
        </w:tc>
        <w:tc>
          <w:tcPr>
            <w:tcW w:w="82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7"/>
              </w:rPr>
              <w:t>(#)</w:t>
            </w:r>
          </w:p>
        </w:tc>
        <w:tc>
          <w:tcPr>
            <w:tcW w:w="880" w:type="dxa"/>
            <w:vAlign w:val="bottom"/>
            <w:tcBorders>
              <w:right w:val="single" w:sz="8" w:color="58595B"/>
            </w:tcBorders>
            <w:shd w:val="clear" w:color="auto" w:fill="274F78"/>
          </w:tcPr>
          <w:p>
            <w:pPr>
              <w:jc w:val="center"/>
              <w:spacing w:after="0" w:line="259" w:lineRule="exact"/>
              <w:rPr>
                <w:sz w:val="20"/>
                <w:szCs w:val="20"/>
                <w:color w:val="auto"/>
              </w:rPr>
            </w:pPr>
            <w:r>
              <w:rPr>
                <w:rFonts w:ascii="Arial" w:cs="Arial" w:eastAsia="Arial" w:hAnsi="Arial"/>
                <w:sz w:val="29"/>
                <w:szCs w:val="29"/>
                <w:b w:val="1"/>
                <w:bCs w:val="1"/>
                <w:color w:val="FFFFFF"/>
                <w:w w:val="88"/>
                <w:vertAlign w:val="subscript"/>
              </w:rPr>
              <w:t>(#)</w:t>
            </w:r>
            <w:r>
              <w:rPr>
                <w:rFonts w:ascii="Arial" w:cs="Arial" w:eastAsia="Arial" w:hAnsi="Arial"/>
                <w:sz w:val="12"/>
                <w:szCs w:val="12"/>
                <w:b w:val="1"/>
                <w:bCs w:val="1"/>
                <w:color w:val="FFFFFF"/>
                <w:w w:val="88"/>
              </w:rPr>
              <w:t>(3)</w:t>
            </w:r>
          </w:p>
        </w:tc>
        <w:tc>
          <w:tcPr>
            <w:tcW w:w="900" w:type="dxa"/>
            <w:vAlign w:val="bottom"/>
            <w:tcBorders>
              <w:right w:val="single" w:sz="8" w:color="58595B"/>
            </w:tcBorders>
            <w:shd w:val="clear" w:color="auto" w:fill="274F78"/>
          </w:tcPr>
          <w:p>
            <w:pPr>
              <w:jc w:val="center"/>
              <w:spacing w:after="0" w:line="259" w:lineRule="exact"/>
              <w:rPr>
                <w:sz w:val="20"/>
                <w:szCs w:val="20"/>
                <w:color w:val="auto"/>
              </w:rPr>
            </w:pPr>
            <w:r>
              <w:rPr>
                <w:rFonts w:ascii="Arial" w:cs="Arial" w:eastAsia="Arial" w:hAnsi="Arial"/>
                <w:sz w:val="29"/>
                <w:szCs w:val="29"/>
                <w:b w:val="1"/>
                <w:bCs w:val="1"/>
                <w:color w:val="FFFFFF"/>
                <w:w w:val="83"/>
                <w:vertAlign w:val="subscript"/>
              </w:rPr>
              <w:t>($)</w:t>
            </w:r>
            <w:r>
              <w:rPr>
                <w:rFonts w:ascii="Arial" w:cs="Arial" w:eastAsia="Arial" w:hAnsi="Arial"/>
                <w:sz w:val="12"/>
                <w:szCs w:val="12"/>
                <w:b w:val="1"/>
                <w:bCs w:val="1"/>
                <w:color w:val="FFFFFF"/>
                <w:w w:val="83"/>
              </w:rPr>
              <w:t>(4)</w:t>
            </w:r>
          </w:p>
        </w:tc>
        <w:tc>
          <w:tcPr>
            <w:tcW w:w="0" w:type="dxa"/>
            <w:vAlign w:val="bottom"/>
          </w:tcPr>
          <w:p>
            <w:pPr>
              <w:spacing w:after="0"/>
              <w:rPr>
                <w:sz w:val="1"/>
                <w:szCs w:val="1"/>
                <w:color w:val="auto"/>
              </w:rPr>
            </w:pPr>
          </w:p>
        </w:tc>
      </w:tr>
      <w:tr>
        <w:trPr>
          <w:trHeight w:val="255"/>
        </w:trPr>
        <w:tc>
          <w:tcPr>
            <w:tcW w:w="1040" w:type="dxa"/>
            <w:vAlign w:val="bottom"/>
            <w:tcBorders>
              <w:left w:val="single" w:sz="8" w:color="58595B"/>
              <w:right w:val="single" w:sz="8" w:color="58595B"/>
            </w:tcBorders>
            <w:shd w:val="clear" w:color="auto" w:fill="859BB6"/>
          </w:tcPr>
          <w:p>
            <w:pPr>
              <w:spacing w:after="0"/>
              <w:rPr>
                <w:sz w:val="22"/>
                <w:szCs w:val="22"/>
                <w:color w:val="auto"/>
              </w:rPr>
            </w:pP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F&amp;G Restricted Stock</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2"/>
                <w:szCs w:val="22"/>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2"/>
                <w:szCs w:val="22"/>
                <w:color w:val="auto"/>
              </w:rPr>
            </w:pPr>
          </w:p>
        </w:tc>
        <w:tc>
          <w:tcPr>
            <w:tcW w:w="840" w:type="dxa"/>
            <w:vAlign w:val="bottom"/>
            <w:tcBorders>
              <w:right w:val="single" w:sz="8" w:color="58595B"/>
            </w:tcBorders>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2"/>
                <w:szCs w:val="22"/>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2"/>
                <w:szCs w:val="22"/>
                <w:color w:val="auto"/>
              </w:rPr>
            </w:pPr>
          </w:p>
        </w:tc>
        <w:tc>
          <w:tcPr>
            <w:tcW w:w="820" w:type="dxa"/>
            <w:vAlign w:val="bottom"/>
            <w:tcBorders>
              <w:right w:val="single" w:sz="8" w:color="58595B"/>
            </w:tcBorders>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6,436</w:t>
            </w: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210,007</w:t>
            </w: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58595B"/>
              <w:right w:val="single" w:sz="8" w:color="58595B"/>
            </w:tcBorders>
            <w:shd w:val="clear" w:color="auto" w:fill="859BB6"/>
          </w:tcPr>
          <w:p>
            <w:pPr>
              <w:jc w:val="center"/>
              <w:spacing w:after="0"/>
              <w:rPr>
                <w:sz w:val="20"/>
                <w:szCs w:val="20"/>
                <w:color w:val="auto"/>
              </w:rPr>
            </w:pPr>
            <w:r>
              <w:rPr>
                <w:rFonts w:ascii="Arial" w:cs="Arial" w:eastAsia="Arial" w:hAnsi="Arial"/>
                <w:sz w:val="15"/>
                <w:szCs w:val="15"/>
                <w:color w:val="FFFFFF"/>
                <w:w w:val="97"/>
              </w:rPr>
              <w:t>Michael J.</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19"/>
                <w:szCs w:val="19"/>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100,000</w:t>
            </w:r>
          </w:p>
        </w:tc>
        <w:tc>
          <w:tcPr>
            <w:tcW w:w="60" w:type="dxa"/>
            <w:vAlign w:val="bottom"/>
          </w:tcPr>
          <w:p>
            <w:pPr>
              <w:spacing w:after="0"/>
              <w:rPr>
                <w:sz w:val="19"/>
                <w:szCs w:val="19"/>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5,750,000</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6"/>
              </w:rPr>
              <w:t>Nolan</w:t>
            </w: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58595B"/>
              <w:right w:val="single" w:sz="8" w:color="58595B"/>
            </w:tcBorders>
            <w:vMerge w:val="continue"/>
            <w:shd w:val="clear" w:color="auto" w:fill="859BB6"/>
          </w:tcPr>
          <w:p>
            <w:pPr>
              <w:spacing w:after="0"/>
              <w:rPr>
                <w:sz w:val="7"/>
                <w:szCs w:val="7"/>
                <w:color w:val="auto"/>
              </w:rPr>
            </w:pPr>
          </w:p>
        </w:tc>
        <w:tc>
          <w:tcPr>
            <w:tcW w:w="1020" w:type="dxa"/>
            <w:vAlign w:val="bottom"/>
            <w:tcBorders>
              <w:right w:val="single" w:sz="8" w:color="58595B"/>
            </w:tcBorders>
          </w:tcPr>
          <w:p>
            <w:pPr>
              <w:spacing w:after="0"/>
              <w:rPr>
                <w:sz w:val="7"/>
                <w:szCs w:val="7"/>
                <w:color w:val="auto"/>
              </w:rPr>
            </w:pPr>
          </w:p>
        </w:tc>
        <w:tc>
          <w:tcPr>
            <w:tcW w:w="2040" w:type="dxa"/>
            <w:vAlign w:val="bottom"/>
            <w:tcBorders>
              <w:right w:val="single" w:sz="8" w:color="58595B"/>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right w:val="single" w:sz="8" w:color="58595B"/>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right w:val="single" w:sz="8" w:color="58595B"/>
            </w:tcBorders>
          </w:tcPr>
          <w:p>
            <w:pPr>
              <w:spacing w:after="0"/>
              <w:rPr>
                <w:sz w:val="7"/>
                <w:szCs w:val="7"/>
                <w:color w:val="auto"/>
              </w:rPr>
            </w:pPr>
          </w:p>
        </w:tc>
        <w:tc>
          <w:tcPr>
            <w:tcW w:w="88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58595B"/>
              <w:right w:val="single" w:sz="8" w:color="58595B"/>
            </w:tcBorders>
            <w:shd w:val="clear" w:color="auto" w:fill="859BB6"/>
          </w:tcPr>
          <w:p>
            <w:pPr>
              <w:spacing w:after="0"/>
              <w:rPr>
                <w:sz w:val="21"/>
                <w:szCs w:val="21"/>
                <w:color w:val="auto"/>
              </w:rPr>
            </w:pP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4/14/2025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Annual Incentive Plan</w:t>
            </w:r>
          </w:p>
        </w:tc>
        <w:tc>
          <w:tcPr>
            <w:tcW w:w="800" w:type="dxa"/>
            <w:vAlign w:val="bottom"/>
          </w:tcPr>
          <w:p>
            <w:pPr>
              <w:jc w:val="center"/>
              <w:spacing w:after="0"/>
              <w:rPr>
                <w:sz w:val="20"/>
                <w:szCs w:val="20"/>
                <w:color w:val="auto"/>
              </w:rPr>
            </w:pPr>
            <w:r>
              <w:rPr>
                <w:rFonts w:ascii="Arial" w:cs="Arial" w:eastAsia="Arial" w:hAnsi="Arial"/>
                <w:sz w:val="15"/>
                <w:szCs w:val="15"/>
                <w:color w:val="58595B"/>
                <w:w w:val="98"/>
              </w:rPr>
              <w:t>$1,100,000</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$2,200,000</w:t>
            </w:r>
          </w:p>
        </w:tc>
        <w:tc>
          <w:tcPr>
            <w:tcW w:w="60" w:type="dxa"/>
            <w:vAlign w:val="bottom"/>
          </w:tcPr>
          <w:p>
            <w:pPr>
              <w:spacing w:after="0"/>
              <w:rPr>
                <w:sz w:val="21"/>
                <w:szCs w:val="21"/>
                <w:color w:val="auto"/>
              </w:rPr>
            </w:pPr>
          </w:p>
        </w:tc>
        <w:tc>
          <w:tcPr>
            <w:tcW w:w="840" w:type="dxa"/>
            <w:vAlign w:val="bottom"/>
            <w:tcBorders>
              <w:right w:val="single" w:sz="8" w:color="58595B"/>
            </w:tcBorders>
          </w:tcPr>
          <w:p>
            <w:pPr>
              <w:jc w:val="center"/>
              <w:ind w:right="26"/>
              <w:spacing w:after="0"/>
              <w:rPr>
                <w:sz w:val="20"/>
                <w:szCs w:val="20"/>
                <w:color w:val="auto"/>
              </w:rPr>
            </w:pPr>
            <w:r>
              <w:rPr>
                <w:rFonts w:ascii="Arial" w:cs="Arial" w:eastAsia="Arial" w:hAnsi="Arial"/>
                <w:sz w:val="15"/>
                <w:szCs w:val="15"/>
                <w:color w:val="58595B"/>
                <w:w w:val="98"/>
              </w:rPr>
              <w:t>$4,400,000</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1"/>
                <w:szCs w:val="21"/>
                <w:color w:val="auto"/>
              </w:rPr>
            </w:pPr>
          </w:p>
        </w:tc>
        <w:tc>
          <w:tcPr>
            <w:tcW w:w="820" w:type="dxa"/>
            <w:vAlign w:val="bottom"/>
            <w:tcBorders>
              <w:right w:val="single" w:sz="8" w:color="58595B"/>
            </w:tcBorders>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58595B"/>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58595B"/>
              <w:right w:val="single" w:sz="8" w:color="58595B"/>
            </w:tcBorders>
            <w:shd w:val="clear" w:color="auto" w:fill="859BB6"/>
          </w:tcPr>
          <w:p>
            <w:pPr>
              <w:spacing w:after="0"/>
              <w:rPr>
                <w:sz w:val="21"/>
                <w:szCs w:val="21"/>
                <w:color w:val="auto"/>
              </w:rPr>
            </w:pP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F&amp;G Restricted Stock</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1"/>
                <w:szCs w:val="21"/>
                <w:color w:val="auto"/>
              </w:rPr>
            </w:pPr>
          </w:p>
        </w:tc>
        <w:tc>
          <w:tcPr>
            <w:tcW w:w="840" w:type="dxa"/>
            <w:vAlign w:val="bottom"/>
            <w:tcBorders>
              <w:right w:val="single" w:sz="8" w:color="58595B"/>
            </w:tcBorders>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Borders>
              <w:right w:val="single" w:sz="8" w:color="58595B"/>
            </w:tcBorders>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6,436</w:t>
            </w: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210,007</w:t>
            </w: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58595B"/>
              <w:right w:val="single" w:sz="8" w:color="58595B"/>
            </w:tcBorders>
            <w:shd w:val="clear" w:color="auto" w:fill="859BB6"/>
          </w:tcPr>
          <w:p>
            <w:pPr>
              <w:jc w:val="center"/>
              <w:spacing w:after="0"/>
              <w:rPr>
                <w:sz w:val="20"/>
                <w:szCs w:val="20"/>
                <w:color w:val="auto"/>
              </w:rPr>
            </w:pPr>
            <w:r>
              <w:rPr>
                <w:rFonts w:ascii="Arial" w:cs="Arial" w:eastAsia="Arial" w:hAnsi="Arial"/>
                <w:sz w:val="15"/>
                <w:szCs w:val="15"/>
                <w:color w:val="FFFFFF"/>
                <w:w w:val="98"/>
              </w:rPr>
              <w:t>Raymond R.</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19"/>
                <w:szCs w:val="19"/>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55,653</w:t>
            </w:r>
          </w:p>
        </w:tc>
        <w:tc>
          <w:tcPr>
            <w:tcW w:w="60" w:type="dxa"/>
            <w:vAlign w:val="bottom"/>
          </w:tcPr>
          <w:p>
            <w:pPr>
              <w:spacing w:after="0"/>
              <w:rPr>
                <w:sz w:val="19"/>
                <w:szCs w:val="19"/>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3,200,047</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rPr>
              <w:t>Quirk</w:t>
            </w: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58595B"/>
              <w:right w:val="single" w:sz="8" w:color="58595B"/>
            </w:tcBorders>
            <w:vMerge w:val="continue"/>
            <w:shd w:val="clear" w:color="auto" w:fill="859BB6"/>
          </w:tcPr>
          <w:p>
            <w:pPr>
              <w:spacing w:after="0"/>
              <w:rPr>
                <w:sz w:val="7"/>
                <w:szCs w:val="7"/>
                <w:color w:val="auto"/>
              </w:rPr>
            </w:pPr>
          </w:p>
        </w:tc>
        <w:tc>
          <w:tcPr>
            <w:tcW w:w="1020" w:type="dxa"/>
            <w:vAlign w:val="bottom"/>
            <w:tcBorders>
              <w:right w:val="single" w:sz="8" w:color="58595B"/>
            </w:tcBorders>
          </w:tcPr>
          <w:p>
            <w:pPr>
              <w:spacing w:after="0"/>
              <w:rPr>
                <w:sz w:val="7"/>
                <w:szCs w:val="7"/>
                <w:color w:val="auto"/>
              </w:rPr>
            </w:pPr>
          </w:p>
        </w:tc>
        <w:tc>
          <w:tcPr>
            <w:tcW w:w="2040" w:type="dxa"/>
            <w:vAlign w:val="bottom"/>
            <w:tcBorders>
              <w:right w:val="single" w:sz="8" w:color="58595B"/>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right w:val="single" w:sz="8" w:color="58595B"/>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right w:val="single" w:sz="8" w:color="58595B"/>
            </w:tcBorders>
          </w:tcPr>
          <w:p>
            <w:pPr>
              <w:spacing w:after="0"/>
              <w:rPr>
                <w:sz w:val="7"/>
                <w:szCs w:val="7"/>
                <w:color w:val="auto"/>
              </w:rPr>
            </w:pPr>
          </w:p>
        </w:tc>
        <w:tc>
          <w:tcPr>
            <w:tcW w:w="88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58595B"/>
              <w:right w:val="single" w:sz="8" w:color="58595B"/>
            </w:tcBorders>
            <w:shd w:val="clear" w:color="auto" w:fill="859BB6"/>
          </w:tcPr>
          <w:p>
            <w:pPr>
              <w:spacing w:after="0"/>
              <w:rPr>
                <w:sz w:val="21"/>
                <w:szCs w:val="21"/>
                <w:color w:val="auto"/>
              </w:rPr>
            </w:pP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4/14/2025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Annual Incentive Plan</w:t>
            </w:r>
          </w:p>
        </w:tc>
        <w:tc>
          <w:tcPr>
            <w:tcW w:w="800" w:type="dxa"/>
            <w:vAlign w:val="bottom"/>
          </w:tcPr>
          <w:p>
            <w:pPr>
              <w:jc w:val="center"/>
              <w:spacing w:after="0"/>
              <w:rPr>
                <w:sz w:val="20"/>
                <w:szCs w:val="20"/>
                <w:color w:val="auto"/>
              </w:rPr>
            </w:pPr>
            <w:r>
              <w:rPr>
                <w:rFonts w:ascii="Arial" w:cs="Arial" w:eastAsia="Arial" w:hAnsi="Arial"/>
                <w:sz w:val="15"/>
                <w:szCs w:val="15"/>
                <w:color w:val="58595B"/>
                <w:w w:val="99"/>
              </w:rPr>
              <w:t>$412,500</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$825,000</w:t>
            </w:r>
          </w:p>
        </w:tc>
        <w:tc>
          <w:tcPr>
            <w:tcW w:w="60" w:type="dxa"/>
            <w:vAlign w:val="bottom"/>
          </w:tcPr>
          <w:p>
            <w:pPr>
              <w:spacing w:after="0"/>
              <w:rPr>
                <w:sz w:val="21"/>
                <w:szCs w:val="21"/>
                <w:color w:val="auto"/>
              </w:rPr>
            </w:pPr>
          </w:p>
        </w:tc>
        <w:tc>
          <w:tcPr>
            <w:tcW w:w="840" w:type="dxa"/>
            <w:vAlign w:val="bottom"/>
            <w:tcBorders>
              <w:right w:val="single" w:sz="8" w:color="58595B"/>
            </w:tcBorders>
          </w:tcPr>
          <w:p>
            <w:pPr>
              <w:jc w:val="center"/>
              <w:ind w:right="26"/>
              <w:spacing w:after="0"/>
              <w:rPr>
                <w:sz w:val="20"/>
                <w:szCs w:val="20"/>
                <w:color w:val="auto"/>
              </w:rPr>
            </w:pPr>
            <w:r>
              <w:rPr>
                <w:rFonts w:ascii="Arial" w:cs="Arial" w:eastAsia="Arial" w:hAnsi="Arial"/>
                <w:sz w:val="15"/>
                <w:szCs w:val="15"/>
                <w:color w:val="58595B"/>
                <w:w w:val="98"/>
              </w:rPr>
              <w:t>$1,650,000</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1"/>
                <w:szCs w:val="21"/>
                <w:color w:val="auto"/>
              </w:rPr>
            </w:pPr>
          </w:p>
        </w:tc>
        <w:tc>
          <w:tcPr>
            <w:tcW w:w="820" w:type="dxa"/>
            <w:vAlign w:val="bottom"/>
            <w:tcBorders>
              <w:right w:val="single" w:sz="8" w:color="58595B"/>
            </w:tcBorders>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58595B"/>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58595B"/>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8"/>
              </w:rPr>
              <w:t>Anthony J.</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19"/>
                <w:szCs w:val="19"/>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31,044</w:t>
            </w:r>
          </w:p>
        </w:tc>
        <w:tc>
          <w:tcPr>
            <w:tcW w:w="60" w:type="dxa"/>
            <w:vAlign w:val="bottom"/>
          </w:tcPr>
          <w:p>
            <w:pPr>
              <w:spacing w:after="0"/>
              <w:rPr>
                <w:sz w:val="19"/>
                <w:szCs w:val="19"/>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1,785,030</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vMerge w:val="continue"/>
            <w:shd w:val="clear" w:color="auto" w:fill="859BB6"/>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line="160" w:lineRule="exact"/>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58595B"/>
              <w:right w:val="single" w:sz="8" w:color="58595B"/>
            </w:tcBorders>
            <w:vMerge w:val="continue"/>
            <w:shd w:val="clear" w:color="auto" w:fill="859BB6"/>
          </w:tcPr>
          <w:p>
            <w:pPr>
              <w:spacing w:after="0"/>
              <w:rPr>
                <w:sz w:val="4"/>
                <w:szCs w:val="4"/>
                <w:color w:val="auto"/>
              </w:rPr>
            </w:pPr>
          </w:p>
        </w:tc>
        <w:tc>
          <w:tcPr>
            <w:tcW w:w="1020" w:type="dxa"/>
            <w:vAlign w:val="bottom"/>
            <w:tcBorders>
              <w:right w:val="single" w:sz="8" w:color="58595B"/>
            </w:tcBorders>
          </w:tcPr>
          <w:p>
            <w:pPr>
              <w:spacing w:after="0"/>
              <w:rPr>
                <w:sz w:val="4"/>
                <w:szCs w:val="4"/>
                <w:color w:val="auto"/>
              </w:rPr>
            </w:pPr>
          </w:p>
        </w:tc>
        <w:tc>
          <w:tcPr>
            <w:tcW w:w="2040" w:type="dxa"/>
            <w:vAlign w:val="bottom"/>
            <w:tcBorders>
              <w:right w:val="single" w:sz="8" w:color="58595B"/>
            </w:tcBorders>
            <w:vMerge w:val="continue"/>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58595B"/>
            </w:tcBorders>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right w:val="single" w:sz="8" w:color="58595B"/>
            </w:tcBorders>
          </w:tcPr>
          <w:p>
            <w:pPr>
              <w:spacing w:after="0"/>
              <w:rPr>
                <w:sz w:val="4"/>
                <w:szCs w:val="4"/>
                <w:color w:val="auto"/>
              </w:rPr>
            </w:pPr>
          </w:p>
        </w:tc>
        <w:tc>
          <w:tcPr>
            <w:tcW w:w="88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040" w:type="dxa"/>
            <w:vAlign w:val="bottom"/>
            <w:tcBorders>
              <w:left w:val="single" w:sz="8" w:color="58595B"/>
              <w:bottom w:val="single" w:sz="8" w:color="859BB6"/>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7"/>
              </w:rPr>
              <w:t>Park</w:t>
            </w:r>
          </w:p>
        </w:tc>
        <w:tc>
          <w:tcPr>
            <w:tcW w:w="1020" w:type="dxa"/>
            <w:vAlign w:val="bottom"/>
            <w:tcBorders>
              <w:bottom w:val="single" w:sz="8" w:color="58595B"/>
              <w:right w:val="single" w:sz="8" w:color="58595B"/>
            </w:tcBorders>
          </w:tcPr>
          <w:p>
            <w:pPr>
              <w:spacing w:after="0"/>
              <w:rPr>
                <w:sz w:val="8"/>
                <w:szCs w:val="8"/>
                <w:color w:val="auto"/>
              </w:rPr>
            </w:pPr>
          </w:p>
        </w:tc>
        <w:tc>
          <w:tcPr>
            <w:tcW w:w="20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20" w:type="dxa"/>
            <w:vAlign w:val="bottom"/>
            <w:tcBorders>
              <w:bottom w:val="single" w:sz="8" w:color="58595B"/>
              <w:right w:val="single" w:sz="8" w:color="58595B"/>
            </w:tcBorders>
          </w:tcPr>
          <w:p>
            <w:pPr>
              <w:spacing w:after="0"/>
              <w:rPr>
                <w:sz w:val="8"/>
                <w:szCs w:val="8"/>
                <w:color w:val="auto"/>
              </w:rPr>
            </w:pPr>
          </w:p>
        </w:tc>
        <w:tc>
          <w:tcPr>
            <w:tcW w:w="88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58595B"/>
              <w:right w:val="single" w:sz="8" w:color="58595B"/>
            </w:tcBorders>
            <w:vMerge w:val="continue"/>
            <w:shd w:val="clear" w:color="auto" w:fill="859BB6"/>
          </w:tcPr>
          <w:p>
            <w:pPr>
              <w:spacing w:after="0"/>
              <w:rPr>
                <w:sz w:val="6"/>
                <w:szCs w:val="6"/>
                <w:color w:val="auto"/>
              </w:rPr>
            </w:pP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4/14/2025</w:t>
            </w: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Annual Incentive Plan</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9"/>
              </w:rPr>
              <w:t>$484,375</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$968,750</w:t>
            </w:r>
          </w:p>
        </w:tc>
        <w:tc>
          <w:tcPr>
            <w:tcW w:w="60" w:type="dxa"/>
            <w:vAlign w:val="bottom"/>
          </w:tcPr>
          <w:p>
            <w:pPr>
              <w:spacing w:after="0"/>
              <w:rPr>
                <w:sz w:val="6"/>
                <w:szCs w:val="6"/>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8"/>
              </w:rPr>
              <w:t>$1,937,500</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6"/>
                <w:szCs w:val="6"/>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173"/>
        </w:trPr>
        <w:tc>
          <w:tcPr>
            <w:tcW w:w="1040" w:type="dxa"/>
            <w:vAlign w:val="bottom"/>
            <w:tcBorders>
              <w:left w:val="single" w:sz="8" w:color="58595B"/>
              <w:right w:val="single" w:sz="8" w:color="58595B"/>
            </w:tcBorders>
            <w:shd w:val="clear" w:color="auto" w:fill="859BB6"/>
          </w:tcPr>
          <w:p>
            <w:pPr>
              <w:spacing w:after="0"/>
              <w:rPr>
                <w:sz w:val="15"/>
                <w:szCs w:val="15"/>
                <w:color w:val="auto"/>
              </w:rPr>
            </w:pPr>
          </w:p>
        </w:tc>
        <w:tc>
          <w:tcPr>
            <w:tcW w:w="1020" w:type="dxa"/>
            <w:vAlign w:val="bottom"/>
            <w:tcBorders>
              <w:right w:val="single" w:sz="8" w:color="58595B"/>
            </w:tcBorders>
            <w:vMerge w:val="continue"/>
          </w:tcPr>
          <w:p>
            <w:pPr>
              <w:spacing w:after="0"/>
              <w:rPr>
                <w:sz w:val="15"/>
                <w:szCs w:val="15"/>
                <w:color w:val="auto"/>
              </w:rPr>
            </w:pPr>
          </w:p>
        </w:tc>
        <w:tc>
          <w:tcPr>
            <w:tcW w:w="2040" w:type="dxa"/>
            <w:vAlign w:val="bottom"/>
            <w:tcBorders>
              <w:right w:val="single" w:sz="8" w:color="58595B"/>
            </w:tcBorders>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58595B"/>
            </w:tcBorders>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right w:val="single" w:sz="8" w:color="58595B"/>
            </w:tcBorders>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58595B"/>
            </w:tcBorders>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right w:val="single" w:sz="8" w:color="58595B"/>
            </w:tcBorders>
            <w:vMerge w:val="continue"/>
          </w:tcPr>
          <w:p>
            <w:pPr>
              <w:spacing w:after="0"/>
              <w:rPr>
                <w:sz w:val="15"/>
                <w:szCs w:val="15"/>
                <w:color w:val="auto"/>
              </w:rPr>
            </w:pPr>
          </w:p>
        </w:tc>
        <w:tc>
          <w:tcPr>
            <w:tcW w:w="880" w:type="dxa"/>
            <w:vAlign w:val="bottom"/>
            <w:tcBorders>
              <w:right w:val="single" w:sz="8" w:color="58595B"/>
            </w:tcBorders>
            <w:vMerge w:val="continue"/>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58595B"/>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58595B"/>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7"/>
              </w:rPr>
              <w:t>Peter T.</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19"/>
                <w:szCs w:val="19"/>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29,218</w:t>
            </w:r>
          </w:p>
        </w:tc>
        <w:tc>
          <w:tcPr>
            <w:tcW w:w="60" w:type="dxa"/>
            <w:vAlign w:val="bottom"/>
          </w:tcPr>
          <w:p>
            <w:pPr>
              <w:spacing w:after="0"/>
              <w:rPr>
                <w:sz w:val="19"/>
                <w:szCs w:val="19"/>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1,680,035</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vMerge w:val="continue"/>
            <w:shd w:val="clear" w:color="auto" w:fill="859BB6"/>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line="160" w:lineRule="exact"/>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58595B"/>
              <w:right w:val="single" w:sz="8" w:color="58595B"/>
            </w:tcBorders>
            <w:vMerge w:val="continue"/>
            <w:shd w:val="clear" w:color="auto" w:fill="859BB6"/>
          </w:tcPr>
          <w:p>
            <w:pPr>
              <w:spacing w:after="0"/>
              <w:rPr>
                <w:sz w:val="4"/>
                <w:szCs w:val="4"/>
                <w:color w:val="auto"/>
              </w:rPr>
            </w:pPr>
          </w:p>
        </w:tc>
        <w:tc>
          <w:tcPr>
            <w:tcW w:w="1020" w:type="dxa"/>
            <w:vAlign w:val="bottom"/>
            <w:tcBorders>
              <w:right w:val="single" w:sz="8" w:color="58595B"/>
            </w:tcBorders>
          </w:tcPr>
          <w:p>
            <w:pPr>
              <w:spacing w:after="0"/>
              <w:rPr>
                <w:sz w:val="4"/>
                <w:szCs w:val="4"/>
                <w:color w:val="auto"/>
              </w:rPr>
            </w:pPr>
          </w:p>
        </w:tc>
        <w:tc>
          <w:tcPr>
            <w:tcW w:w="2040" w:type="dxa"/>
            <w:vAlign w:val="bottom"/>
            <w:tcBorders>
              <w:right w:val="single" w:sz="8" w:color="58595B"/>
            </w:tcBorders>
            <w:vMerge w:val="continue"/>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58595B"/>
            </w:tcBorders>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right w:val="single" w:sz="8" w:color="58595B"/>
            </w:tcBorders>
          </w:tcPr>
          <w:p>
            <w:pPr>
              <w:spacing w:after="0"/>
              <w:rPr>
                <w:sz w:val="4"/>
                <w:szCs w:val="4"/>
                <w:color w:val="auto"/>
              </w:rPr>
            </w:pPr>
          </w:p>
        </w:tc>
        <w:tc>
          <w:tcPr>
            <w:tcW w:w="88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040" w:type="dxa"/>
            <w:vAlign w:val="bottom"/>
            <w:tcBorders>
              <w:left w:val="single" w:sz="8" w:color="58595B"/>
              <w:bottom w:val="single" w:sz="8" w:color="859BB6"/>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9"/>
              </w:rPr>
              <w:t>Sadowski</w:t>
            </w:r>
          </w:p>
        </w:tc>
        <w:tc>
          <w:tcPr>
            <w:tcW w:w="1020" w:type="dxa"/>
            <w:vAlign w:val="bottom"/>
            <w:tcBorders>
              <w:bottom w:val="single" w:sz="8" w:color="58595B"/>
              <w:right w:val="single" w:sz="8" w:color="58595B"/>
            </w:tcBorders>
          </w:tcPr>
          <w:p>
            <w:pPr>
              <w:spacing w:after="0"/>
              <w:rPr>
                <w:sz w:val="8"/>
                <w:szCs w:val="8"/>
                <w:color w:val="auto"/>
              </w:rPr>
            </w:pPr>
          </w:p>
        </w:tc>
        <w:tc>
          <w:tcPr>
            <w:tcW w:w="20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20" w:type="dxa"/>
            <w:vAlign w:val="bottom"/>
            <w:tcBorders>
              <w:bottom w:val="single" w:sz="8" w:color="58595B"/>
              <w:right w:val="single" w:sz="8" w:color="58595B"/>
            </w:tcBorders>
          </w:tcPr>
          <w:p>
            <w:pPr>
              <w:spacing w:after="0"/>
              <w:rPr>
                <w:sz w:val="8"/>
                <w:szCs w:val="8"/>
                <w:color w:val="auto"/>
              </w:rPr>
            </w:pPr>
          </w:p>
        </w:tc>
        <w:tc>
          <w:tcPr>
            <w:tcW w:w="88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58595B"/>
              <w:right w:val="single" w:sz="8" w:color="58595B"/>
            </w:tcBorders>
            <w:vMerge w:val="continue"/>
            <w:shd w:val="clear" w:color="auto" w:fill="859BB6"/>
          </w:tcPr>
          <w:p>
            <w:pPr>
              <w:spacing w:after="0"/>
              <w:rPr>
                <w:sz w:val="6"/>
                <w:szCs w:val="6"/>
                <w:color w:val="auto"/>
              </w:rPr>
            </w:pP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4/14/2025</w:t>
            </w: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Annual Incentive Plan</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9"/>
              </w:rPr>
              <w:t>$346,500</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$693,000</w:t>
            </w:r>
          </w:p>
        </w:tc>
        <w:tc>
          <w:tcPr>
            <w:tcW w:w="60" w:type="dxa"/>
            <w:vAlign w:val="bottom"/>
          </w:tcPr>
          <w:p>
            <w:pPr>
              <w:spacing w:after="0"/>
              <w:rPr>
                <w:sz w:val="6"/>
                <w:szCs w:val="6"/>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8"/>
              </w:rPr>
              <w:t>$1,386,000</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6"/>
                <w:szCs w:val="6"/>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173"/>
        </w:trPr>
        <w:tc>
          <w:tcPr>
            <w:tcW w:w="1040" w:type="dxa"/>
            <w:vAlign w:val="bottom"/>
            <w:tcBorders>
              <w:left w:val="single" w:sz="8" w:color="58595B"/>
              <w:right w:val="single" w:sz="8" w:color="58595B"/>
            </w:tcBorders>
            <w:shd w:val="clear" w:color="auto" w:fill="859BB6"/>
          </w:tcPr>
          <w:p>
            <w:pPr>
              <w:spacing w:after="0"/>
              <w:rPr>
                <w:sz w:val="15"/>
                <w:szCs w:val="15"/>
                <w:color w:val="auto"/>
              </w:rPr>
            </w:pPr>
          </w:p>
        </w:tc>
        <w:tc>
          <w:tcPr>
            <w:tcW w:w="1020" w:type="dxa"/>
            <w:vAlign w:val="bottom"/>
            <w:tcBorders>
              <w:right w:val="single" w:sz="8" w:color="58595B"/>
            </w:tcBorders>
            <w:vMerge w:val="continue"/>
          </w:tcPr>
          <w:p>
            <w:pPr>
              <w:spacing w:after="0"/>
              <w:rPr>
                <w:sz w:val="15"/>
                <w:szCs w:val="15"/>
                <w:color w:val="auto"/>
              </w:rPr>
            </w:pPr>
          </w:p>
        </w:tc>
        <w:tc>
          <w:tcPr>
            <w:tcW w:w="2040" w:type="dxa"/>
            <w:vAlign w:val="bottom"/>
            <w:tcBorders>
              <w:right w:val="single" w:sz="8" w:color="58595B"/>
            </w:tcBorders>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58595B"/>
            </w:tcBorders>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right w:val="single" w:sz="8" w:color="58595B"/>
            </w:tcBorders>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58595B"/>
            </w:tcBorders>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right w:val="single" w:sz="8" w:color="58595B"/>
            </w:tcBorders>
            <w:vMerge w:val="continue"/>
          </w:tcPr>
          <w:p>
            <w:pPr>
              <w:spacing w:after="0"/>
              <w:rPr>
                <w:sz w:val="15"/>
                <w:szCs w:val="15"/>
                <w:color w:val="auto"/>
              </w:rPr>
            </w:pPr>
          </w:p>
        </w:tc>
        <w:tc>
          <w:tcPr>
            <w:tcW w:w="880" w:type="dxa"/>
            <w:vAlign w:val="bottom"/>
            <w:tcBorders>
              <w:right w:val="single" w:sz="8" w:color="58595B"/>
            </w:tcBorders>
            <w:vMerge w:val="continue"/>
          </w:tcPr>
          <w:p>
            <w:pPr>
              <w:spacing w:after="0"/>
              <w:rPr>
                <w:sz w:val="15"/>
                <w:szCs w:val="15"/>
                <w:color w:val="auto"/>
              </w:rPr>
            </w:pPr>
          </w:p>
        </w:tc>
        <w:tc>
          <w:tcPr>
            <w:tcW w:w="900" w:type="dxa"/>
            <w:vAlign w:val="bottom"/>
            <w:tcBorders>
              <w:right w:val="single" w:sz="8" w:color="58595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58595B"/>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gridSpan w:val="2"/>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040" w:type="dxa"/>
            <w:vAlign w:val="bottom"/>
            <w:tcBorders>
              <w:left w:val="single" w:sz="8" w:color="5B769B"/>
              <w:right w:val="single" w:sz="8" w:color="5B769B"/>
            </w:tcBorders>
            <w:shd w:val="clear" w:color="auto" w:fill="5B769B"/>
          </w:tcPr>
          <w:p>
            <w:pPr>
              <w:jc w:val="right"/>
              <w:ind w:right="405"/>
              <w:spacing w:after="0"/>
              <w:rPr>
                <w:sz w:val="20"/>
                <w:szCs w:val="20"/>
                <w:color w:val="auto"/>
              </w:rPr>
            </w:pPr>
            <w:r>
              <w:rPr>
                <w:rFonts w:ascii="Arial" w:cs="Arial" w:eastAsia="Arial" w:hAnsi="Arial"/>
                <w:sz w:val="18"/>
                <w:szCs w:val="18"/>
                <w:color w:val="FFFFFF"/>
              </w:rPr>
              <w:t>55</w:t>
            </w:r>
          </w:p>
        </w:tc>
        <w:tc>
          <w:tcPr>
            <w:tcW w:w="1020" w:type="dxa"/>
            <w:vAlign w:val="bottom"/>
            <w:tcBorders>
              <w:right w:val="single" w:sz="8" w:color="5B769B"/>
            </w:tcBorders>
            <w:shd w:val="clear" w:color="auto" w:fill="5B769B"/>
          </w:tcPr>
          <w:p>
            <w:pPr>
              <w:spacing w:after="0"/>
              <w:rPr>
                <w:sz w:val="24"/>
                <w:szCs w:val="24"/>
                <w:color w:val="auto"/>
              </w:rPr>
            </w:pPr>
          </w:p>
        </w:tc>
        <w:tc>
          <w:tcPr>
            <w:tcW w:w="2040" w:type="dxa"/>
            <w:vAlign w:val="bottom"/>
            <w:tcBorders>
              <w:right w:val="single" w:sz="8" w:color="5B769B"/>
            </w:tcBorders>
            <w:shd w:val="clear" w:color="auto" w:fill="5B769B"/>
          </w:tcPr>
          <w:p>
            <w:pPr>
              <w:spacing w:after="0"/>
              <w:rPr>
                <w:sz w:val="24"/>
                <w:szCs w:val="24"/>
                <w:color w:val="auto"/>
              </w:rPr>
            </w:pPr>
          </w:p>
        </w:tc>
        <w:tc>
          <w:tcPr>
            <w:tcW w:w="800" w:type="dxa"/>
            <w:vAlign w:val="bottom"/>
            <w:shd w:val="clear" w:color="auto" w:fill="5B769B"/>
          </w:tcPr>
          <w:p>
            <w:pPr>
              <w:spacing w:after="0"/>
              <w:rPr>
                <w:sz w:val="24"/>
                <w:szCs w:val="24"/>
                <w:color w:val="auto"/>
              </w:rPr>
            </w:pPr>
          </w:p>
        </w:tc>
        <w:tc>
          <w:tcPr>
            <w:tcW w:w="100" w:type="dxa"/>
            <w:vAlign w:val="bottom"/>
            <w:tcBorders>
              <w:right w:val="single" w:sz="8" w:color="5B769B"/>
            </w:tcBorders>
            <w:shd w:val="clear" w:color="auto" w:fill="5B769B"/>
          </w:tcPr>
          <w:p>
            <w:pPr>
              <w:spacing w:after="0"/>
              <w:rPr>
                <w:sz w:val="24"/>
                <w:szCs w:val="24"/>
                <w:color w:val="auto"/>
              </w:rPr>
            </w:pPr>
          </w:p>
        </w:tc>
        <w:tc>
          <w:tcPr>
            <w:tcW w:w="900" w:type="dxa"/>
            <w:vAlign w:val="bottom"/>
            <w:tcBorders>
              <w:right w:val="single" w:sz="8" w:color="5B769B"/>
            </w:tcBorders>
            <w:shd w:val="clear" w:color="auto" w:fill="5B769B"/>
          </w:tcPr>
          <w:p>
            <w:pPr>
              <w:spacing w:after="0"/>
              <w:rPr>
                <w:sz w:val="24"/>
                <w:szCs w:val="24"/>
                <w:color w:val="auto"/>
              </w:rPr>
            </w:pPr>
          </w:p>
        </w:tc>
        <w:tc>
          <w:tcPr>
            <w:tcW w:w="60" w:type="dxa"/>
            <w:vAlign w:val="bottom"/>
            <w:shd w:val="clear" w:color="auto" w:fill="5B769B"/>
          </w:tcPr>
          <w:p>
            <w:pPr>
              <w:spacing w:after="0"/>
              <w:rPr>
                <w:sz w:val="24"/>
                <w:szCs w:val="24"/>
                <w:color w:val="auto"/>
              </w:rPr>
            </w:pPr>
          </w:p>
        </w:tc>
        <w:tc>
          <w:tcPr>
            <w:tcW w:w="840" w:type="dxa"/>
            <w:vAlign w:val="bottom"/>
            <w:tcBorders>
              <w:right w:val="single" w:sz="8" w:color="5B769B"/>
            </w:tcBorders>
            <w:shd w:val="clear" w:color="auto" w:fill="5B769B"/>
          </w:tcPr>
          <w:p>
            <w:pPr>
              <w:spacing w:after="0"/>
              <w:rPr>
                <w:sz w:val="24"/>
                <w:szCs w:val="24"/>
                <w:color w:val="auto"/>
              </w:rPr>
            </w:pPr>
          </w:p>
        </w:tc>
        <w:tc>
          <w:tcPr>
            <w:tcW w:w="800" w:type="dxa"/>
            <w:vAlign w:val="bottom"/>
            <w:shd w:val="clear" w:color="auto" w:fill="5B769B"/>
          </w:tcPr>
          <w:p>
            <w:pPr>
              <w:spacing w:after="0"/>
              <w:rPr>
                <w:sz w:val="24"/>
                <w:szCs w:val="24"/>
                <w:color w:val="auto"/>
              </w:rPr>
            </w:pPr>
          </w:p>
        </w:tc>
        <w:tc>
          <w:tcPr>
            <w:tcW w:w="100" w:type="dxa"/>
            <w:vAlign w:val="bottom"/>
            <w:tcBorders>
              <w:right w:val="single" w:sz="8" w:color="5B769B"/>
            </w:tcBorders>
            <w:shd w:val="clear" w:color="auto" w:fill="5B769B"/>
          </w:tcPr>
          <w:p>
            <w:pPr>
              <w:spacing w:after="0"/>
              <w:rPr>
                <w:sz w:val="24"/>
                <w:szCs w:val="24"/>
                <w:color w:val="auto"/>
              </w:rPr>
            </w:pPr>
          </w:p>
        </w:tc>
        <w:tc>
          <w:tcPr>
            <w:tcW w:w="3560" w:type="dxa"/>
            <w:vAlign w:val="bottom"/>
            <w:tcBorders>
              <w:right w:val="single" w:sz="8" w:color="5B769B"/>
            </w:tcBorders>
            <w:gridSpan w:val="5"/>
            <w:shd w:val="clear" w:color="auto" w:fill="5B769B"/>
          </w:tcPr>
          <w:p>
            <w:pPr>
              <w:ind w:left="540"/>
              <w:spacing w:after="0"/>
              <w:rPr>
                <w:sz w:val="20"/>
                <w:szCs w:val="20"/>
                <w:color w:val="auto"/>
              </w:rPr>
            </w:pPr>
            <w:r>
              <w:rPr>
                <w:rFonts w:ascii="Arial" w:cs="Arial" w:eastAsia="Arial" w:hAnsi="Arial"/>
                <w:sz w:val="18"/>
                <w:szCs w:val="18"/>
                <w:color w:val="FFFFFF"/>
              </w:rPr>
              <w:t>Fidelity National Financial, Inc.</w:t>
            </w:r>
          </w:p>
        </w:tc>
        <w:tc>
          <w:tcPr>
            <w:tcW w:w="0" w:type="dxa"/>
            <w:vAlign w:val="bottom"/>
          </w:tcPr>
          <w:p>
            <w:pPr>
              <w:spacing w:after="0"/>
              <w:rPr>
                <w:sz w:val="1"/>
                <w:szCs w:val="1"/>
                <w:color w:val="auto"/>
              </w:rPr>
            </w:pPr>
          </w:p>
        </w:tc>
      </w:tr>
      <w:tr>
        <w:trPr>
          <w:trHeight w:val="139"/>
        </w:trPr>
        <w:tc>
          <w:tcPr>
            <w:tcW w:w="1040" w:type="dxa"/>
            <w:vAlign w:val="bottom"/>
            <w:tcBorders>
              <w:left w:val="single" w:sz="8" w:color="5B769B"/>
              <w:right w:val="single" w:sz="8" w:color="5B769B"/>
            </w:tcBorders>
            <w:shd w:val="clear" w:color="auto" w:fill="5B769B"/>
          </w:tcPr>
          <w:p>
            <w:pPr>
              <w:spacing w:after="0"/>
              <w:rPr>
                <w:sz w:val="12"/>
                <w:szCs w:val="12"/>
                <w:color w:val="auto"/>
              </w:rPr>
            </w:pPr>
          </w:p>
        </w:tc>
        <w:tc>
          <w:tcPr>
            <w:tcW w:w="1020" w:type="dxa"/>
            <w:vAlign w:val="bottom"/>
            <w:tcBorders>
              <w:right w:val="single" w:sz="8" w:color="5B769B"/>
            </w:tcBorders>
            <w:shd w:val="clear" w:color="auto" w:fill="5B769B"/>
          </w:tcPr>
          <w:p>
            <w:pPr>
              <w:spacing w:after="0"/>
              <w:rPr>
                <w:sz w:val="12"/>
                <w:szCs w:val="12"/>
                <w:color w:val="auto"/>
              </w:rPr>
            </w:pPr>
          </w:p>
        </w:tc>
        <w:tc>
          <w:tcPr>
            <w:tcW w:w="2040" w:type="dxa"/>
            <w:vAlign w:val="bottom"/>
            <w:tcBorders>
              <w:right w:val="single" w:sz="8" w:color="5B769B"/>
            </w:tcBorders>
            <w:shd w:val="clear" w:color="auto" w:fill="5B769B"/>
          </w:tcPr>
          <w:p>
            <w:pPr>
              <w:spacing w:after="0"/>
              <w:rPr>
                <w:sz w:val="12"/>
                <w:szCs w:val="12"/>
                <w:color w:val="auto"/>
              </w:rPr>
            </w:pPr>
          </w:p>
        </w:tc>
        <w:tc>
          <w:tcPr>
            <w:tcW w:w="800" w:type="dxa"/>
            <w:vAlign w:val="bottom"/>
            <w:shd w:val="clear" w:color="auto" w:fill="5B769B"/>
          </w:tcPr>
          <w:p>
            <w:pPr>
              <w:spacing w:after="0"/>
              <w:rPr>
                <w:sz w:val="12"/>
                <w:szCs w:val="12"/>
                <w:color w:val="auto"/>
              </w:rPr>
            </w:pPr>
          </w:p>
        </w:tc>
        <w:tc>
          <w:tcPr>
            <w:tcW w:w="100" w:type="dxa"/>
            <w:vAlign w:val="bottom"/>
            <w:tcBorders>
              <w:right w:val="single" w:sz="8" w:color="5B769B"/>
            </w:tcBorders>
            <w:shd w:val="clear" w:color="auto" w:fill="5B769B"/>
          </w:tcPr>
          <w:p>
            <w:pPr>
              <w:spacing w:after="0"/>
              <w:rPr>
                <w:sz w:val="12"/>
                <w:szCs w:val="12"/>
                <w:color w:val="auto"/>
              </w:rPr>
            </w:pPr>
          </w:p>
        </w:tc>
        <w:tc>
          <w:tcPr>
            <w:tcW w:w="900" w:type="dxa"/>
            <w:vAlign w:val="bottom"/>
            <w:tcBorders>
              <w:right w:val="single" w:sz="8" w:color="5B769B"/>
            </w:tcBorders>
            <w:shd w:val="clear" w:color="auto" w:fill="5B769B"/>
          </w:tcPr>
          <w:p>
            <w:pPr>
              <w:spacing w:after="0"/>
              <w:rPr>
                <w:sz w:val="12"/>
                <w:szCs w:val="12"/>
                <w:color w:val="auto"/>
              </w:rPr>
            </w:pPr>
          </w:p>
        </w:tc>
        <w:tc>
          <w:tcPr>
            <w:tcW w:w="60" w:type="dxa"/>
            <w:vAlign w:val="bottom"/>
            <w:shd w:val="clear" w:color="auto" w:fill="5B769B"/>
          </w:tcPr>
          <w:p>
            <w:pPr>
              <w:spacing w:after="0"/>
              <w:rPr>
                <w:sz w:val="12"/>
                <w:szCs w:val="12"/>
                <w:color w:val="auto"/>
              </w:rPr>
            </w:pPr>
          </w:p>
        </w:tc>
        <w:tc>
          <w:tcPr>
            <w:tcW w:w="840" w:type="dxa"/>
            <w:vAlign w:val="bottom"/>
            <w:tcBorders>
              <w:right w:val="single" w:sz="8" w:color="5B769B"/>
            </w:tcBorders>
            <w:shd w:val="clear" w:color="auto" w:fill="5B769B"/>
          </w:tcPr>
          <w:p>
            <w:pPr>
              <w:spacing w:after="0"/>
              <w:rPr>
                <w:sz w:val="12"/>
                <w:szCs w:val="12"/>
                <w:color w:val="auto"/>
              </w:rPr>
            </w:pPr>
          </w:p>
        </w:tc>
        <w:tc>
          <w:tcPr>
            <w:tcW w:w="800" w:type="dxa"/>
            <w:vAlign w:val="bottom"/>
            <w:shd w:val="clear" w:color="auto" w:fill="5B769B"/>
          </w:tcPr>
          <w:p>
            <w:pPr>
              <w:spacing w:after="0"/>
              <w:rPr>
                <w:sz w:val="12"/>
                <w:szCs w:val="12"/>
                <w:color w:val="auto"/>
              </w:rPr>
            </w:pPr>
          </w:p>
        </w:tc>
        <w:tc>
          <w:tcPr>
            <w:tcW w:w="100" w:type="dxa"/>
            <w:vAlign w:val="bottom"/>
            <w:tcBorders>
              <w:right w:val="single" w:sz="8" w:color="5B769B"/>
            </w:tcBorders>
            <w:shd w:val="clear" w:color="auto" w:fill="5B769B"/>
          </w:tcPr>
          <w:p>
            <w:pPr>
              <w:spacing w:after="0"/>
              <w:rPr>
                <w:sz w:val="12"/>
                <w:szCs w:val="12"/>
                <w:color w:val="auto"/>
              </w:rPr>
            </w:pPr>
          </w:p>
        </w:tc>
        <w:tc>
          <w:tcPr>
            <w:tcW w:w="900" w:type="dxa"/>
            <w:vAlign w:val="bottom"/>
            <w:tcBorders>
              <w:right w:val="single" w:sz="8" w:color="5B769B"/>
            </w:tcBorders>
            <w:shd w:val="clear" w:color="auto" w:fill="5B769B"/>
          </w:tcPr>
          <w:p>
            <w:pPr>
              <w:spacing w:after="0"/>
              <w:rPr>
                <w:sz w:val="12"/>
                <w:szCs w:val="12"/>
                <w:color w:val="auto"/>
              </w:rPr>
            </w:pPr>
          </w:p>
        </w:tc>
        <w:tc>
          <w:tcPr>
            <w:tcW w:w="60" w:type="dxa"/>
            <w:vAlign w:val="bottom"/>
            <w:shd w:val="clear" w:color="auto" w:fill="5B769B"/>
          </w:tcPr>
          <w:p>
            <w:pPr>
              <w:spacing w:after="0"/>
              <w:rPr>
                <w:sz w:val="12"/>
                <w:szCs w:val="12"/>
                <w:color w:val="auto"/>
              </w:rPr>
            </w:pPr>
          </w:p>
        </w:tc>
        <w:tc>
          <w:tcPr>
            <w:tcW w:w="820" w:type="dxa"/>
            <w:vAlign w:val="bottom"/>
            <w:tcBorders>
              <w:right w:val="single" w:sz="8" w:color="5B769B"/>
            </w:tcBorders>
            <w:shd w:val="clear" w:color="auto" w:fill="5B769B"/>
          </w:tcPr>
          <w:p>
            <w:pPr>
              <w:spacing w:after="0"/>
              <w:rPr>
                <w:sz w:val="12"/>
                <w:szCs w:val="12"/>
                <w:color w:val="auto"/>
              </w:rPr>
            </w:pPr>
          </w:p>
        </w:tc>
        <w:tc>
          <w:tcPr>
            <w:tcW w:w="880" w:type="dxa"/>
            <w:vAlign w:val="bottom"/>
            <w:tcBorders>
              <w:right w:val="single" w:sz="8" w:color="5B769B"/>
            </w:tcBorders>
            <w:shd w:val="clear" w:color="auto" w:fill="5B769B"/>
          </w:tcPr>
          <w:p>
            <w:pPr>
              <w:spacing w:after="0"/>
              <w:rPr>
                <w:sz w:val="12"/>
                <w:szCs w:val="12"/>
                <w:color w:val="auto"/>
              </w:rPr>
            </w:pPr>
          </w:p>
        </w:tc>
        <w:tc>
          <w:tcPr>
            <w:tcW w:w="900" w:type="dxa"/>
            <w:vAlign w:val="bottom"/>
            <w:tcBorders>
              <w:right w:val="single" w:sz="8" w:color="5B769B"/>
            </w:tcBorders>
            <w:shd w:val="clear" w:color="auto" w:fill="5B769B"/>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1040" w:type="dxa"/>
            <w:vAlign w:val="bottom"/>
            <w:tcBorders>
              <w:left w:val="single" w:sz="8" w:color="274F78"/>
              <w:right w:val="single" w:sz="8" w:color="274F78"/>
            </w:tcBorders>
            <w:shd w:val="clear" w:color="auto" w:fill="274F78"/>
          </w:tcPr>
          <w:p>
            <w:pPr>
              <w:spacing w:after="0"/>
              <w:rPr>
                <w:sz w:val="23"/>
                <w:szCs w:val="23"/>
                <w:color w:val="auto"/>
              </w:rPr>
            </w:pPr>
          </w:p>
        </w:tc>
        <w:tc>
          <w:tcPr>
            <w:tcW w:w="1020" w:type="dxa"/>
            <w:vAlign w:val="bottom"/>
            <w:tcBorders>
              <w:right w:val="single" w:sz="8" w:color="274F78"/>
            </w:tcBorders>
            <w:shd w:val="clear" w:color="auto" w:fill="274F78"/>
          </w:tcPr>
          <w:p>
            <w:pPr>
              <w:spacing w:after="0"/>
              <w:rPr>
                <w:sz w:val="23"/>
                <w:szCs w:val="23"/>
                <w:color w:val="auto"/>
              </w:rPr>
            </w:pPr>
          </w:p>
        </w:tc>
        <w:tc>
          <w:tcPr>
            <w:tcW w:w="2040" w:type="dxa"/>
            <w:vAlign w:val="bottom"/>
            <w:tcBorders>
              <w:right w:val="single" w:sz="8" w:color="274F78"/>
            </w:tcBorders>
            <w:shd w:val="clear" w:color="auto" w:fill="274F78"/>
          </w:tcPr>
          <w:p>
            <w:pPr>
              <w:spacing w:after="0"/>
              <w:rPr>
                <w:sz w:val="23"/>
                <w:szCs w:val="23"/>
                <w:color w:val="auto"/>
              </w:rPr>
            </w:pPr>
          </w:p>
        </w:tc>
        <w:tc>
          <w:tcPr>
            <w:tcW w:w="800" w:type="dxa"/>
            <w:vAlign w:val="bottom"/>
            <w:shd w:val="clear" w:color="auto" w:fill="274F78"/>
          </w:tcPr>
          <w:p>
            <w:pPr>
              <w:spacing w:after="0"/>
              <w:rPr>
                <w:sz w:val="23"/>
                <w:szCs w:val="23"/>
                <w:color w:val="auto"/>
              </w:rPr>
            </w:pPr>
          </w:p>
        </w:tc>
        <w:tc>
          <w:tcPr>
            <w:tcW w:w="100" w:type="dxa"/>
            <w:vAlign w:val="bottom"/>
            <w:tcBorders>
              <w:right w:val="single" w:sz="8" w:color="274F78"/>
            </w:tcBorders>
            <w:shd w:val="clear" w:color="auto" w:fill="274F78"/>
          </w:tcPr>
          <w:p>
            <w:pPr>
              <w:spacing w:after="0"/>
              <w:rPr>
                <w:sz w:val="23"/>
                <w:szCs w:val="23"/>
                <w:color w:val="auto"/>
              </w:rPr>
            </w:pPr>
          </w:p>
        </w:tc>
        <w:tc>
          <w:tcPr>
            <w:tcW w:w="900" w:type="dxa"/>
            <w:vAlign w:val="bottom"/>
            <w:tcBorders>
              <w:right w:val="single" w:sz="8" w:color="274F78"/>
            </w:tcBorders>
            <w:shd w:val="clear" w:color="auto" w:fill="274F78"/>
          </w:tcPr>
          <w:p>
            <w:pPr>
              <w:spacing w:after="0"/>
              <w:rPr>
                <w:sz w:val="23"/>
                <w:szCs w:val="23"/>
                <w:color w:val="auto"/>
              </w:rPr>
            </w:pPr>
          </w:p>
        </w:tc>
        <w:tc>
          <w:tcPr>
            <w:tcW w:w="60" w:type="dxa"/>
            <w:vAlign w:val="bottom"/>
            <w:shd w:val="clear" w:color="auto" w:fill="274F78"/>
          </w:tcPr>
          <w:p>
            <w:pPr>
              <w:spacing w:after="0"/>
              <w:rPr>
                <w:sz w:val="23"/>
                <w:szCs w:val="23"/>
                <w:color w:val="auto"/>
              </w:rPr>
            </w:pPr>
          </w:p>
        </w:tc>
        <w:tc>
          <w:tcPr>
            <w:tcW w:w="840" w:type="dxa"/>
            <w:vAlign w:val="bottom"/>
            <w:tcBorders>
              <w:right w:val="single" w:sz="8" w:color="274F78"/>
            </w:tcBorders>
            <w:shd w:val="clear" w:color="auto" w:fill="274F78"/>
          </w:tcPr>
          <w:p>
            <w:pPr>
              <w:spacing w:after="0"/>
              <w:rPr>
                <w:sz w:val="23"/>
                <w:szCs w:val="23"/>
                <w:color w:val="auto"/>
              </w:rPr>
            </w:pPr>
          </w:p>
        </w:tc>
        <w:tc>
          <w:tcPr>
            <w:tcW w:w="800" w:type="dxa"/>
            <w:vAlign w:val="bottom"/>
            <w:shd w:val="clear" w:color="auto" w:fill="274F78"/>
          </w:tcPr>
          <w:p>
            <w:pPr>
              <w:spacing w:after="0"/>
              <w:rPr>
                <w:sz w:val="23"/>
                <w:szCs w:val="23"/>
                <w:color w:val="auto"/>
              </w:rPr>
            </w:pPr>
          </w:p>
        </w:tc>
        <w:tc>
          <w:tcPr>
            <w:tcW w:w="100" w:type="dxa"/>
            <w:vAlign w:val="bottom"/>
            <w:tcBorders>
              <w:right w:val="single" w:sz="8" w:color="274F78"/>
            </w:tcBorders>
            <w:shd w:val="clear" w:color="auto" w:fill="274F78"/>
          </w:tcPr>
          <w:p>
            <w:pPr>
              <w:spacing w:after="0"/>
              <w:rPr>
                <w:sz w:val="23"/>
                <w:szCs w:val="23"/>
                <w:color w:val="auto"/>
              </w:rPr>
            </w:pPr>
          </w:p>
        </w:tc>
        <w:tc>
          <w:tcPr>
            <w:tcW w:w="900" w:type="dxa"/>
            <w:vAlign w:val="bottom"/>
            <w:tcBorders>
              <w:right w:val="single" w:sz="8" w:color="274F78"/>
            </w:tcBorders>
            <w:shd w:val="clear" w:color="auto" w:fill="274F78"/>
          </w:tcPr>
          <w:p>
            <w:pPr>
              <w:spacing w:after="0"/>
              <w:rPr>
                <w:sz w:val="23"/>
                <w:szCs w:val="23"/>
                <w:color w:val="auto"/>
              </w:rPr>
            </w:pPr>
          </w:p>
        </w:tc>
        <w:tc>
          <w:tcPr>
            <w:tcW w:w="60" w:type="dxa"/>
            <w:vAlign w:val="bottom"/>
            <w:shd w:val="clear" w:color="auto" w:fill="274F78"/>
          </w:tcPr>
          <w:p>
            <w:pPr>
              <w:spacing w:after="0"/>
              <w:rPr>
                <w:sz w:val="23"/>
                <w:szCs w:val="23"/>
                <w:color w:val="auto"/>
              </w:rPr>
            </w:pPr>
          </w:p>
        </w:tc>
        <w:tc>
          <w:tcPr>
            <w:tcW w:w="820" w:type="dxa"/>
            <w:vAlign w:val="bottom"/>
            <w:tcBorders>
              <w:right w:val="single" w:sz="8" w:color="274F78"/>
            </w:tcBorders>
            <w:shd w:val="clear" w:color="auto" w:fill="274F78"/>
          </w:tcPr>
          <w:p>
            <w:pPr>
              <w:spacing w:after="0"/>
              <w:rPr>
                <w:sz w:val="23"/>
                <w:szCs w:val="23"/>
                <w:color w:val="auto"/>
              </w:rPr>
            </w:pPr>
          </w:p>
        </w:tc>
        <w:tc>
          <w:tcPr>
            <w:tcW w:w="880" w:type="dxa"/>
            <w:vAlign w:val="bottom"/>
            <w:tcBorders>
              <w:right w:val="single" w:sz="8" w:color="274F78"/>
            </w:tcBorders>
            <w:shd w:val="clear" w:color="auto" w:fill="274F78"/>
          </w:tcPr>
          <w:p>
            <w:pPr>
              <w:spacing w:after="0"/>
              <w:rPr>
                <w:sz w:val="23"/>
                <w:szCs w:val="23"/>
                <w:color w:val="auto"/>
              </w:rPr>
            </w:pPr>
          </w:p>
        </w:tc>
        <w:tc>
          <w:tcPr>
            <w:tcW w:w="900" w:type="dxa"/>
            <w:vAlign w:val="bottom"/>
            <w:tcBorders>
              <w:right w:val="single" w:sz="8" w:color="274F78"/>
            </w:tcBorders>
            <w:shd w:val="clear" w:color="auto" w:fill="274F78"/>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040" w:type="dxa"/>
            <w:vAlign w:val="bottom"/>
            <w:tcBorders>
              <w:bottom w:val="single" w:sz="8" w:color="58595B"/>
            </w:tcBorders>
          </w:tcPr>
          <w:p>
            <w:pPr>
              <w:spacing w:after="0"/>
              <w:rPr>
                <w:sz w:val="24"/>
                <w:szCs w:val="24"/>
                <w:color w:val="auto"/>
              </w:rPr>
            </w:pPr>
          </w:p>
        </w:tc>
        <w:tc>
          <w:tcPr>
            <w:tcW w:w="1020" w:type="dxa"/>
            <w:vAlign w:val="bottom"/>
            <w:tcBorders>
              <w:bottom w:val="single" w:sz="8" w:color="58595B"/>
            </w:tcBorders>
          </w:tcPr>
          <w:p>
            <w:pPr>
              <w:spacing w:after="0"/>
              <w:rPr>
                <w:sz w:val="24"/>
                <w:szCs w:val="24"/>
                <w:color w:val="auto"/>
              </w:rPr>
            </w:pPr>
          </w:p>
        </w:tc>
        <w:tc>
          <w:tcPr>
            <w:tcW w:w="2040" w:type="dxa"/>
            <w:vAlign w:val="bottom"/>
            <w:tcBorders>
              <w:bottom w:val="single" w:sz="8" w:color="58595B"/>
            </w:tcBorders>
          </w:tcPr>
          <w:p>
            <w:pPr>
              <w:spacing w:after="0"/>
              <w:rPr>
                <w:sz w:val="24"/>
                <w:szCs w:val="24"/>
                <w:color w:val="auto"/>
              </w:rPr>
            </w:pPr>
          </w:p>
        </w:tc>
        <w:tc>
          <w:tcPr>
            <w:tcW w:w="800" w:type="dxa"/>
            <w:vAlign w:val="bottom"/>
            <w:tcBorders>
              <w:bottom w:val="single" w:sz="8" w:color="58595B"/>
            </w:tcBorders>
          </w:tcPr>
          <w:p>
            <w:pPr>
              <w:spacing w:after="0"/>
              <w:rPr>
                <w:sz w:val="24"/>
                <w:szCs w:val="24"/>
                <w:color w:val="auto"/>
              </w:rPr>
            </w:pPr>
          </w:p>
        </w:tc>
        <w:tc>
          <w:tcPr>
            <w:tcW w:w="100" w:type="dxa"/>
            <w:vAlign w:val="bottom"/>
            <w:tcBorders>
              <w:bottom w:val="single" w:sz="8" w:color="58595B"/>
            </w:tcBorders>
          </w:tcPr>
          <w:p>
            <w:pPr>
              <w:spacing w:after="0"/>
              <w:rPr>
                <w:sz w:val="24"/>
                <w:szCs w:val="24"/>
                <w:color w:val="auto"/>
              </w:rPr>
            </w:pPr>
          </w:p>
        </w:tc>
        <w:tc>
          <w:tcPr>
            <w:tcW w:w="900" w:type="dxa"/>
            <w:vAlign w:val="bottom"/>
            <w:tcBorders>
              <w:bottom w:val="single" w:sz="8" w:color="58595B"/>
            </w:tcBorders>
          </w:tcPr>
          <w:p>
            <w:pPr>
              <w:spacing w:after="0"/>
              <w:rPr>
                <w:sz w:val="24"/>
                <w:szCs w:val="24"/>
                <w:color w:val="auto"/>
              </w:rPr>
            </w:pPr>
          </w:p>
        </w:tc>
        <w:tc>
          <w:tcPr>
            <w:tcW w:w="60" w:type="dxa"/>
            <w:vAlign w:val="bottom"/>
            <w:tcBorders>
              <w:bottom w:val="single" w:sz="8" w:color="58595B"/>
            </w:tcBorders>
          </w:tcPr>
          <w:p>
            <w:pPr>
              <w:spacing w:after="0"/>
              <w:rPr>
                <w:sz w:val="24"/>
                <w:szCs w:val="24"/>
                <w:color w:val="auto"/>
              </w:rPr>
            </w:pPr>
          </w:p>
        </w:tc>
        <w:tc>
          <w:tcPr>
            <w:tcW w:w="840" w:type="dxa"/>
            <w:vAlign w:val="bottom"/>
            <w:tcBorders>
              <w:bottom w:val="single" w:sz="8" w:color="58595B"/>
            </w:tcBorders>
          </w:tcPr>
          <w:p>
            <w:pPr>
              <w:spacing w:after="0"/>
              <w:rPr>
                <w:sz w:val="24"/>
                <w:szCs w:val="24"/>
                <w:color w:val="auto"/>
              </w:rPr>
            </w:pPr>
          </w:p>
        </w:tc>
        <w:tc>
          <w:tcPr>
            <w:tcW w:w="800" w:type="dxa"/>
            <w:vAlign w:val="bottom"/>
            <w:tcBorders>
              <w:bottom w:val="single" w:sz="8" w:color="58595B"/>
            </w:tcBorders>
          </w:tcPr>
          <w:p>
            <w:pPr>
              <w:spacing w:after="0"/>
              <w:rPr>
                <w:sz w:val="24"/>
                <w:szCs w:val="24"/>
                <w:color w:val="auto"/>
              </w:rPr>
            </w:pPr>
          </w:p>
        </w:tc>
        <w:tc>
          <w:tcPr>
            <w:tcW w:w="100" w:type="dxa"/>
            <w:vAlign w:val="bottom"/>
            <w:tcBorders>
              <w:bottom w:val="single" w:sz="8" w:color="58595B"/>
            </w:tcBorders>
          </w:tcPr>
          <w:p>
            <w:pPr>
              <w:spacing w:after="0"/>
              <w:rPr>
                <w:sz w:val="24"/>
                <w:szCs w:val="24"/>
                <w:color w:val="auto"/>
              </w:rPr>
            </w:pPr>
          </w:p>
        </w:tc>
        <w:tc>
          <w:tcPr>
            <w:tcW w:w="900" w:type="dxa"/>
            <w:vAlign w:val="bottom"/>
            <w:tcBorders>
              <w:bottom w:val="single" w:sz="8" w:color="58595B"/>
            </w:tcBorders>
          </w:tcPr>
          <w:p>
            <w:pPr>
              <w:spacing w:after="0"/>
              <w:rPr>
                <w:sz w:val="24"/>
                <w:szCs w:val="24"/>
                <w:color w:val="auto"/>
              </w:rPr>
            </w:pPr>
          </w:p>
        </w:tc>
        <w:tc>
          <w:tcPr>
            <w:tcW w:w="60" w:type="dxa"/>
            <w:vAlign w:val="bottom"/>
            <w:tcBorders>
              <w:bottom w:val="single" w:sz="8" w:color="58595B"/>
            </w:tcBorders>
          </w:tcPr>
          <w:p>
            <w:pPr>
              <w:spacing w:after="0"/>
              <w:rPr>
                <w:sz w:val="24"/>
                <w:szCs w:val="24"/>
                <w:color w:val="auto"/>
              </w:rPr>
            </w:pPr>
          </w:p>
        </w:tc>
        <w:tc>
          <w:tcPr>
            <w:tcW w:w="820" w:type="dxa"/>
            <w:vAlign w:val="bottom"/>
            <w:tcBorders>
              <w:bottom w:val="single" w:sz="8" w:color="58595B"/>
            </w:tcBorders>
          </w:tcPr>
          <w:p>
            <w:pPr>
              <w:spacing w:after="0"/>
              <w:rPr>
                <w:sz w:val="24"/>
                <w:szCs w:val="24"/>
                <w:color w:val="auto"/>
              </w:rPr>
            </w:pPr>
          </w:p>
        </w:tc>
        <w:tc>
          <w:tcPr>
            <w:tcW w:w="880" w:type="dxa"/>
            <w:vAlign w:val="bottom"/>
            <w:tcBorders>
              <w:bottom w:val="single" w:sz="8" w:color="58595B"/>
            </w:tcBorders>
          </w:tcPr>
          <w:p>
            <w:pPr>
              <w:spacing w:after="0"/>
              <w:rPr>
                <w:sz w:val="24"/>
                <w:szCs w:val="24"/>
                <w:color w:val="auto"/>
              </w:rPr>
            </w:pPr>
          </w:p>
        </w:tc>
        <w:tc>
          <w:tcPr>
            <w:tcW w:w="900" w:type="dxa"/>
            <w:vAlign w:val="bottom"/>
            <w:tcBorders>
              <w:bottom w:val="single" w:sz="8" w:color="58595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5445125</wp:posOffset>
            </wp:positionH>
            <wp:positionV relativeFrom="paragraph">
              <wp:posOffset>-4248150</wp:posOffset>
            </wp:positionV>
            <wp:extent cx="7620" cy="829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-4248150</wp:posOffset>
            </wp:positionV>
            <wp:extent cx="7620" cy="8293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-4248150</wp:posOffset>
            </wp:positionV>
            <wp:extent cx="7620" cy="8293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-4248150</wp:posOffset>
            </wp:positionV>
            <wp:extent cx="7620" cy="8293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-4248150</wp:posOffset>
            </wp:positionV>
            <wp:extent cx="7620" cy="829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-4248150</wp:posOffset>
            </wp:positionV>
            <wp:extent cx="7620" cy="8293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-4248150</wp:posOffset>
            </wp:positionV>
            <wp:extent cx="7620" cy="829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 cy="829310"/>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47"/>
        </w:trPr>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40" w:type="dxa"/>
            <w:vAlign w:val="bottom"/>
            <w:tcBorders>
              <w:right w:val="single" w:sz="8" w:color="586D94"/>
            </w:tcBorders>
          </w:tcPr>
          <w:p>
            <w:pPr>
              <w:spacing w:after="0"/>
              <w:rPr>
                <w:sz w:val="21"/>
                <w:szCs w:val="21"/>
                <w:color w:val="auto"/>
              </w:rPr>
            </w:pPr>
          </w:p>
        </w:tc>
        <w:tc>
          <w:tcPr>
            <w:tcW w:w="2700" w:type="dxa"/>
            <w:vAlign w:val="bottom"/>
            <w:tcBorders>
              <w:top w:val="single" w:sz="8" w:color="586D94"/>
              <w:right w:val="single" w:sz="8" w:color="55779A"/>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Estimated Future Payouts</w:t>
            </w:r>
          </w:p>
        </w:tc>
        <w:tc>
          <w:tcPr>
            <w:tcW w:w="2680" w:type="dxa"/>
            <w:vAlign w:val="bottom"/>
            <w:tcBorders>
              <w:top w:val="single" w:sz="8" w:color="586D94"/>
              <w:right w:val="single" w:sz="8" w:color="274F78"/>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Estimated Future Payouts</w:t>
            </w:r>
          </w:p>
        </w:tc>
        <w:tc>
          <w:tcPr>
            <w:tcW w:w="880" w:type="dxa"/>
            <w:vAlign w:val="bottom"/>
            <w:tcBorders>
              <w:top w:val="single" w:sz="8" w:color="000E44"/>
              <w:right w:val="single" w:sz="8" w:color="58595B"/>
            </w:tcBorders>
            <w:shd w:val="clear" w:color="auto" w:fill="274F78"/>
          </w:tcPr>
          <w:p>
            <w:pPr>
              <w:spacing w:after="0"/>
              <w:rPr>
                <w:sz w:val="21"/>
                <w:szCs w:val="21"/>
                <w:color w:val="auto"/>
              </w:rPr>
            </w:pPr>
          </w:p>
        </w:tc>
        <w:tc>
          <w:tcPr>
            <w:tcW w:w="900" w:type="dxa"/>
            <w:vAlign w:val="bottom"/>
            <w:tcBorders>
              <w:top w:val="single" w:sz="8" w:color="000E44"/>
              <w:right w:val="single" w:sz="8" w:color="58595B"/>
            </w:tcBorders>
            <w:shd w:val="clear" w:color="auto" w:fill="274F78"/>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Borders>
              <w:right w:val="single" w:sz="8" w:color="586D94"/>
            </w:tcBorders>
          </w:tcPr>
          <w:p>
            <w:pPr>
              <w:spacing w:after="0"/>
              <w:rPr>
                <w:sz w:val="14"/>
                <w:szCs w:val="14"/>
                <w:color w:val="auto"/>
              </w:rPr>
            </w:pPr>
          </w:p>
        </w:tc>
        <w:tc>
          <w:tcPr>
            <w:tcW w:w="2700" w:type="dxa"/>
            <w:vAlign w:val="bottom"/>
            <w:tcBorders>
              <w:right w:val="single" w:sz="8" w:color="55779A"/>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Under Non-Equity Incentive</w:t>
            </w:r>
          </w:p>
        </w:tc>
        <w:tc>
          <w:tcPr>
            <w:tcW w:w="2680" w:type="dxa"/>
            <w:vAlign w:val="bottom"/>
            <w:tcBorders>
              <w:right w:val="single" w:sz="8" w:color="274F78"/>
            </w:tcBorders>
            <w:gridSpan w:val="5"/>
            <w:shd w:val="clear" w:color="auto" w:fill="55779A"/>
          </w:tcPr>
          <w:p>
            <w:pPr>
              <w:jc w:val="center"/>
              <w:spacing w:after="0"/>
              <w:rPr>
                <w:sz w:val="20"/>
                <w:szCs w:val="20"/>
                <w:color w:val="auto"/>
              </w:rPr>
            </w:pPr>
            <w:r>
              <w:rPr>
                <w:rFonts w:ascii="Arial" w:cs="Arial" w:eastAsia="Arial" w:hAnsi="Arial"/>
                <w:sz w:val="15"/>
                <w:szCs w:val="15"/>
                <w:b w:val="1"/>
                <w:bCs w:val="1"/>
                <w:color w:val="FFFFFF"/>
                <w:w w:val="98"/>
              </w:rPr>
              <w:t>Under Equity Incentive</w:t>
            </w:r>
          </w:p>
        </w:tc>
        <w:tc>
          <w:tcPr>
            <w:tcW w:w="880" w:type="dxa"/>
            <w:vAlign w:val="bottom"/>
            <w:tcBorders>
              <w:right w:val="single" w:sz="8" w:color="58595B"/>
            </w:tcBorders>
            <w:shd w:val="clear" w:color="auto" w:fill="274F78"/>
          </w:tcPr>
          <w:p>
            <w:pPr>
              <w:spacing w:after="0"/>
              <w:rPr>
                <w:sz w:val="14"/>
                <w:szCs w:val="14"/>
                <w:color w:val="auto"/>
              </w:rPr>
            </w:pPr>
          </w:p>
        </w:tc>
        <w:tc>
          <w:tcPr>
            <w:tcW w:w="900" w:type="dxa"/>
            <w:vAlign w:val="bottom"/>
            <w:tcBorders>
              <w:right w:val="single" w:sz="8" w:color="58595B"/>
            </w:tcBorders>
            <w:vMerge w:val="restart"/>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(K)</w:t>
            </w: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40" w:type="dxa"/>
            <w:vAlign w:val="bottom"/>
            <w:tcBorders>
              <w:right w:val="single" w:sz="8" w:color="586D94"/>
            </w:tcBorders>
          </w:tcPr>
          <w:p>
            <w:pPr>
              <w:spacing w:after="0"/>
              <w:rPr>
                <w:sz w:val="9"/>
                <w:szCs w:val="9"/>
                <w:color w:val="auto"/>
              </w:rPr>
            </w:pPr>
          </w:p>
        </w:tc>
        <w:tc>
          <w:tcPr>
            <w:tcW w:w="800" w:type="dxa"/>
            <w:vAlign w:val="bottom"/>
            <w:shd w:val="clear" w:color="auto" w:fill="55779A"/>
          </w:tcPr>
          <w:p>
            <w:pPr>
              <w:spacing w:after="0"/>
              <w:rPr>
                <w:sz w:val="9"/>
                <w:szCs w:val="9"/>
                <w:color w:val="auto"/>
              </w:rPr>
            </w:pPr>
          </w:p>
        </w:tc>
        <w:tc>
          <w:tcPr>
            <w:tcW w:w="1060" w:type="dxa"/>
            <w:vAlign w:val="bottom"/>
            <w:gridSpan w:val="3"/>
            <w:vMerge w:val="restart"/>
            <w:shd w:val="clear" w:color="auto" w:fill="55779A"/>
          </w:tcPr>
          <w:p>
            <w:pPr>
              <w:jc w:val="center"/>
              <w:spacing w:after="0" w:line="259" w:lineRule="exact"/>
              <w:rPr>
                <w:sz w:val="20"/>
                <w:szCs w:val="20"/>
                <w:color w:val="auto"/>
              </w:rPr>
            </w:pPr>
            <w:r>
              <w:rPr>
                <w:rFonts w:ascii="Arial" w:cs="Arial" w:eastAsia="Arial" w:hAnsi="Arial"/>
                <w:sz w:val="15"/>
                <w:szCs w:val="15"/>
                <w:b w:val="1"/>
                <w:bCs w:val="1"/>
                <w:color w:val="FFFFFF"/>
                <w:w w:val="94"/>
              </w:rPr>
              <w:t>Plan Awards</w:t>
            </w:r>
            <w:r>
              <w:rPr>
                <w:rFonts w:ascii="Arial" w:cs="Arial" w:eastAsia="Arial" w:hAnsi="Arial"/>
                <w:sz w:val="24"/>
                <w:szCs w:val="24"/>
                <w:b w:val="1"/>
                <w:bCs w:val="1"/>
                <w:color w:val="FFFFFF"/>
                <w:w w:val="94"/>
                <w:vertAlign w:val="superscript"/>
              </w:rPr>
              <w:t>(1)</w:t>
            </w:r>
          </w:p>
        </w:tc>
        <w:tc>
          <w:tcPr>
            <w:tcW w:w="840" w:type="dxa"/>
            <w:vAlign w:val="bottom"/>
            <w:tcBorders>
              <w:right w:val="single" w:sz="8" w:color="55779A"/>
            </w:tcBorders>
            <w:shd w:val="clear" w:color="auto" w:fill="55779A"/>
          </w:tcPr>
          <w:p>
            <w:pPr>
              <w:spacing w:after="0"/>
              <w:rPr>
                <w:sz w:val="9"/>
                <w:szCs w:val="9"/>
                <w:color w:val="auto"/>
              </w:rPr>
            </w:pPr>
          </w:p>
        </w:tc>
        <w:tc>
          <w:tcPr>
            <w:tcW w:w="800" w:type="dxa"/>
            <w:vAlign w:val="bottom"/>
            <w:shd w:val="clear" w:color="auto" w:fill="55779A"/>
          </w:tcPr>
          <w:p>
            <w:pPr>
              <w:spacing w:after="0"/>
              <w:rPr>
                <w:sz w:val="9"/>
                <w:szCs w:val="9"/>
                <w:color w:val="auto"/>
              </w:rPr>
            </w:pPr>
          </w:p>
        </w:tc>
        <w:tc>
          <w:tcPr>
            <w:tcW w:w="1060" w:type="dxa"/>
            <w:vAlign w:val="bottom"/>
            <w:gridSpan w:val="3"/>
            <w:vMerge w:val="restart"/>
            <w:shd w:val="clear" w:color="auto" w:fill="55779A"/>
          </w:tcPr>
          <w:p>
            <w:pPr>
              <w:jc w:val="center"/>
              <w:ind w:right="20"/>
              <w:spacing w:after="0" w:line="259" w:lineRule="exact"/>
              <w:rPr>
                <w:sz w:val="20"/>
                <w:szCs w:val="20"/>
                <w:color w:val="auto"/>
              </w:rPr>
            </w:pPr>
            <w:r>
              <w:rPr>
                <w:rFonts w:ascii="Arial" w:cs="Arial" w:eastAsia="Arial" w:hAnsi="Arial"/>
                <w:sz w:val="15"/>
                <w:szCs w:val="15"/>
                <w:b w:val="1"/>
                <w:bCs w:val="1"/>
                <w:color w:val="FFFFFF"/>
                <w:w w:val="94"/>
              </w:rPr>
              <w:t>Plan Awards</w:t>
            </w:r>
            <w:r>
              <w:rPr>
                <w:rFonts w:ascii="Arial" w:cs="Arial" w:eastAsia="Arial" w:hAnsi="Arial"/>
                <w:sz w:val="24"/>
                <w:szCs w:val="24"/>
                <w:b w:val="1"/>
                <w:bCs w:val="1"/>
                <w:color w:val="FFFFFF"/>
                <w:w w:val="94"/>
                <w:vertAlign w:val="superscript"/>
              </w:rPr>
              <w:t>(2)</w:t>
            </w:r>
          </w:p>
        </w:tc>
        <w:tc>
          <w:tcPr>
            <w:tcW w:w="820" w:type="dxa"/>
            <w:vAlign w:val="bottom"/>
            <w:tcBorders>
              <w:right w:val="single" w:sz="8" w:color="274F78"/>
            </w:tcBorders>
            <w:shd w:val="clear" w:color="auto" w:fill="55779A"/>
          </w:tcPr>
          <w:p>
            <w:pPr>
              <w:spacing w:after="0"/>
              <w:rPr>
                <w:sz w:val="9"/>
                <w:szCs w:val="9"/>
                <w:color w:val="auto"/>
              </w:rPr>
            </w:pPr>
          </w:p>
        </w:tc>
        <w:tc>
          <w:tcPr>
            <w:tcW w:w="880" w:type="dxa"/>
            <w:vAlign w:val="bottom"/>
            <w:tcBorders>
              <w:right w:val="single" w:sz="8" w:color="58595B"/>
            </w:tcBorders>
            <w:shd w:val="clear" w:color="auto" w:fill="274F78"/>
          </w:tcPr>
          <w:p>
            <w:pPr>
              <w:spacing w:after="0"/>
              <w:rPr>
                <w:sz w:val="9"/>
                <w:szCs w:val="9"/>
                <w:color w:val="auto"/>
              </w:rPr>
            </w:pPr>
          </w:p>
        </w:tc>
        <w:tc>
          <w:tcPr>
            <w:tcW w:w="900" w:type="dxa"/>
            <w:vAlign w:val="bottom"/>
            <w:tcBorders>
              <w:right w:val="single" w:sz="8" w:color="58595B"/>
            </w:tcBorders>
            <w:vMerge w:val="continue"/>
            <w:shd w:val="clear" w:color="auto" w:fill="274F78"/>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Borders>
              <w:right w:val="single" w:sz="8" w:color="586D94"/>
            </w:tcBorders>
          </w:tcPr>
          <w:p>
            <w:pPr>
              <w:spacing w:after="0"/>
              <w:rPr>
                <w:sz w:val="14"/>
                <w:szCs w:val="14"/>
                <w:color w:val="auto"/>
              </w:rPr>
            </w:pPr>
          </w:p>
        </w:tc>
        <w:tc>
          <w:tcPr>
            <w:tcW w:w="800" w:type="dxa"/>
            <w:vAlign w:val="bottom"/>
            <w:tcBorders>
              <w:bottom w:val="single" w:sz="8" w:color="55779A"/>
            </w:tcBorders>
            <w:shd w:val="clear" w:color="auto" w:fill="55779A"/>
          </w:tcPr>
          <w:p>
            <w:pPr>
              <w:spacing w:after="0"/>
              <w:rPr>
                <w:sz w:val="14"/>
                <w:szCs w:val="14"/>
                <w:color w:val="auto"/>
              </w:rPr>
            </w:pPr>
          </w:p>
        </w:tc>
        <w:tc>
          <w:tcPr>
            <w:tcW w:w="1060" w:type="dxa"/>
            <w:vAlign w:val="bottom"/>
            <w:tcBorders>
              <w:bottom w:val="single" w:sz="8" w:color="55779A"/>
            </w:tcBorders>
            <w:gridSpan w:val="3"/>
            <w:vMerge w:val="continue"/>
            <w:shd w:val="clear" w:color="auto" w:fill="55779A"/>
          </w:tcPr>
          <w:p>
            <w:pPr>
              <w:spacing w:after="0"/>
              <w:rPr>
                <w:sz w:val="14"/>
                <w:szCs w:val="14"/>
                <w:color w:val="auto"/>
              </w:rPr>
            </w:pPr>
          </w:p>
        </w:tc>
        <w:tc>
          <w:tcPr>
            <w:tcW w:w="840" w:type="dxa"/>
            <w:vAlign w:val="bottom"/>
            <w:tcBorders>
              <w:bottom w:val="single" w:sz="8" w:color="55779A"/>
              <w:right w:val="single" w:sz="8" w:color="55779A"/>
            </w:tcBorders>
            <w:shd w:val="clear" w:color="auto" w:fill="55779A"/>
          </w:tcPr>
          <w:p>
            <w:pPr>
              <w:spacing w:after="0"/>
              <w:rPr>
                <w:sz w:val="14"/>
                <w:szCs w:val="14"/>
                <w:color w:val="auto"/>
              </w:rPr>
            </w:pPr>
          </w:p>
        </w:tc>
        <w:tc>
          <w:tcPr>
            <w:tcW w:w="800" w:type="dxa"/>
            <w:vAlign w:val="bottom"/>
            <w:tcBorders>
              <w:bottom w:val="single" w:sz="8" w:color="55779A"/>
            </w:tcBorders>
            <w:shd w:val="clear" w:color="auto" w:fill="55779A"/>
          </w:tcPr>
          <w:p>
            <w:pPr>
              <w:spacing w:after="0"/>
              <w:rPr>
                <w:sz w:val="14"/>
                <w:szCs w:val="14"/>
                <w:color w:val="auto"/>
              </w:rPr>
            </w:pPr>
          </w:p>
        </w:tc>
        <w:tc>
          <w:tcPr>
            <w:tcW w:w="1060" w:type="dxa"/>
            <w:vAlign w:val="bottom"/>
            <w:tcBorders>
              <w:bottom w:val="single" w:sz="8" w:color="55779A"/>
            </w:tcBorders>
            <w:gridSpan w:val="3"/>
            <w:vMerge w:val="continue"/>
            <w:shd w:val="clear" w:color="auto" w:fill="55779A"/>
          </w:tcPr>
          <w:p>
            <w:pPr>
              <w:spacing w:after="0"/>
              <w:rPr>
                <w:sz w:val="14"/>
                <w:szCs w:val="14"/>
                <w:color w:val="auto"/>
              </w:rPr>
            </w:pPr>
          </w:p>
        </w:tc>
        <w:tc>
          <w:tcPr>
            <w:tcW w:w="820" w:type="dxa"/>
            <w:vAlign w:val="bottom"/>
            <w:tcBorders>
              <w:bottom w:val="single" w:sz="8" w:color="55779A"/>
              <w:right w:val="single" w:sz="8" w:color="274F78"/>
            </w:tcBorders>
            <w:shd w:val="clear" w:color="auto" w:fill="55779A"/>
          </w:tcPr>
          <w:p>
            <w:pPr>
              <w:spacing w:after="0"/>
              <w:rPr>
                <w:sz w:val="14"/>
                <w:szCs w:val="14"/>
                <w:color w:val="auto"/>
              </w:rPr>
            </w:pPr>
          </w:p>
        </w:tc>
        <w:tc>
          <w:tcPr>
            <w:tcW w:w="880" w:type="dxa"/>
            <w:vAlign w:val="bottom"/>
            <w:tcBorders>
              <w:bottom w:val="single" w:sz="8" w:color="274F78"/>
              <w:right w:val="single" w:sz="8" w:color="58595B"/>
            </w:tcBorders>
            <w:shd w:val="clear" w:color="auto" w:fill="274F78"/>
          </w:tcPr>
          <w:p>
            <w:pPr>
              <w:jc w:val="center"/>
              <w:spacing w:after="0" w:line="165" w:lineRule="exact"/>
              <w:rPr>
                <w:sz w:val="20"/>
                <w:szCs w:val="20"/>
                <w:color w:val="auto"/>
              </w:rPr>
            </w:pPr>
            <w:r>
              <w:rPr>
                <w:rFonts w:ascii="Arial" w:cs="Arial" w:eastAsia="Arial" w:hAnsi="Arial"/>
                <w:sz w:val="15"/>
                <w:szCs w:val="15"/>
                <w:b w:val="1"/>
                <w:bCs w:val="1"/>
                <w:color w:val="FFFFFF"/>
                <w:w w:val="97"/>
              </w:rPr>
              <w:t>(J)</w:t>
            </w:r>
          </w:p>
        </w:tc>
        <w:tc>
          <w:tcPr>
            <w:tcW w:w="900" w:type="dxa"/>
            <w:vAlign w:val="bottom"/>
            <w:tcBorders>
              <w:bottom w:val="single" w:sz="8" w:color="274F78"/>
              <w:right w:val="single" w:sz="8" w:color="58595B"/>
            </w:tcBorders>
            <w:shd w:val="clear" w:color="auto" w:fill="274F78"/>
          </w:tcPr>
          <w:p>
            <w:pPr>
              <w:jc w:val="center"/>
              <w:spacing w:after="0" w:line="165" w:lineRule="exact"/>
              <w:rPr>
                <w:sz w:val="20"/>
                <w:szCs w:val="20"/>
                <w:color w:val="auto"/>
              </w:rPr>
            </w:pPr>
            <w:r>
              <w:rPr>
                <w:rFonts w:ascii="Arial" w:cs="Arial" w:eastAsia="Arial" w:hAnsi="Arial"/>
                <w:sz w:val="15"/>
                <w:szCs w:val="15"/>
                <w:b w:val="1"/>
                <w:bCs w:val="1"/>
                <w:color w:val="FFFFFF"/>
                <w:w w:val="99"/>
              </w:rPr>
              <w:t>Grant</w:t>
            </w:r>
          </w:p>
        </w:tc>
        <w:tc>
          <w:tcPr>
            <w:tcW w:w="0" w:type="dxa"/>
            <w:vAlign w:val="bottom"/>
          </w:tcPr>
          <w:p>
            <w:pPr>
              <w:spacing w:after="0"/>
              <w:rPr>
                <w:sz w:val="1"/>
                <w:szCs w:val="1"/>
                <w:color w:val="auto"/>
              </w:rPr>
            </w:pPr>
          </w:p>
        </w:tc>
      </w:tr>
      <w:tr>
        <w:trPr>
          <w:trHeight w:val="160"/>
        </w:trPr>
        <w:tc>
          <w:tcPr>
            <w:tcW w:w="1040" w:type="dxa"/>
            <w:vAlign w:val="bottom"/>
            <w:tcBorders>
              <w:left w:val="single" w:sz="8" w:color="274F78"/>
              <w:right w:val="single" w:sz="8" w:color="274F78"/>
            </w:tcBorders>
            <w:shd w:val="clear" w:color="auto" w:fill="274F78"/>
          </w:tcPr>
          <w:p>
            <w:pPr>
              <w:spacing w:after="0"/>
              <w:rPr>
                <w:sz w:val="13"/>
                <w:szCs w:val="13"/>
                <w:color w:val="auto"/>
              </w:rPr>
            </w:pPr>
          </w:p>
        </w:tc>
        <w:tc>
          <w:tcPr>
            <w:tcW w:w="1020" w:type="dxa"/>
            <w:vAlign w:val="bottom"/>
            <w:tcBorders>
              <w:right w:val="single" w:sz="8" w:color="274F78"/>
            </w:tcBorders>
            <w:shd w:val="clear" w:color="auto" w:fill="274F78"/>
          </w:tcPr>
          <w:p>
            <w:pPr>
              <w:spacing w:after="0"/>
              <w:rPr>
                <w:sz w:val="13"/>
                <w:szCs w:val="13"/>
                <w:color w:val="auto"/>
              </w:rPr>
            </w:pPr>
          </w:p>
        </w:tc>
        <w:tc>
          <w:tcPr>
            <w:tcW w:w="2040" w:type="dxa"/>
            <w:vAlign w:val="bottom"/>
            <w:tcBorders>
              <w:right w:val="single" w:sz="8" w:color="274F78"/>
            </w:tcBorders>
            <w:shd w:val="clear" w:color="auto" w:fill="274F78"/>
          </w:tcPr>
          <w:p>
            <w:pPr>
              <w:spacing w:after="0"/>
              <w:rPr>
                <w:sz w:val="13"/>
                <w:szCs w:val="13"/>
                <w:color w:val="auto"/>
              </w:rPr>
            </w:pPr>
          </w:p>
        </w:tc>
        <w:tc>
          <w:tcPr>
            <w:tcW w:w="800" w:type="dxa"/>
            <w:vAlign w:val="bottom"/>
            <w:shd w:val="clear" w:color="auto" w:fill="274F78"/>
          </w:tcPr>
          <w:p>
            <w:pPr>
              <w:spacing w:after="0"/>
              <w:rPr>
                <w:sz w:val="13"/>
                <w:szCs w:val="13"/>
                <w:color w:val="auto"/>
              </w:rPr>
            </w:pPr>
          </w:p>
        </w:tc>
        <w:tc>
          <w:tcPr>
            <w:tcW w:w="100" w:type="dxa"/>
            <w:vAlign w:val="bottom"/>
            <w:tcBorders>
              <w:right w:val="single" w:sz="8" w:color="274F78"/>
            </w:tcBorders>
            <w:shd w:val="clear" w:color="auto" w:fill="274F78"/>
          </w:tcPr>
          <w:p>
            <w:pPr>
              <w:spacing w:after="0"/>
              <w:rPr>
                <w:sz w:val="13"/>
                <w:szCs w:val="13"/>
                <w:color w:val="auto"/>
              </w:rPr>
            </w:pPr>
          </w:p>
        </w:tc>
        <w:tc>
          <w:tcPr>
            <w:tcW w:w="900" w:type="dxa"/>
            <w:vAlign w:val="bottom"/>
            <w:tcBorders>
              <w:right w:val="single" w:sz="8" w:color="274F78"/>
            </w:tcBorders>
            <w:shd w:val="clear" w:color="auto" w:fill="274F78"/>
          </w:tcPr>
          <w:p>
            <w:pPr>
              <w:spacing w:after="0"/>
              <w:rPr>
                <w:sz w:val="13"/>
                <w:szCs w:val="13"/>
                <w:color w:val="auto"/>
              </w:rPr>
            </w:pPr>
          </w:p>
        </w:tc>
        <w:tc>
          <w:tcPr>
            <w:tcW w:w="60" w:type="dxa"/>
            <w:vAlign w:val="bottom"/>
            <w:shd w:val="clear" w:color="auto" w:fill="274F78"/>
          </w:tcPr>
          <w:p>
            <w:pPr>
              <w:spacing w:after="0"/>
              <w:rPr>
                <w:sz w:val="13"/>
                <w:szCs w:val="13"/>
                <w:color w:val="auto"/>
              </w:rPr>
            </w:pPr>
          </w:p>
        </w:tc>
        <w:tc>
          <w:tcPr>
            <w:tcW w:w="840" w:type="dxa"/>
            <w:vAlign w:val="bottom"/>
            <w:tcBorders>
              <w:right w:val="single" w:sz="8" w:color="274F78"/>
            </w:tcBorders>
            <w:shd w:val="clear" w:color="auto" w:fill="274F78"/>
          </w:tcPr>
          <w:p>
            <w:pPr>
              <w:spacing w:after="0"/>
              <w:rPr>
                <w:sz w:val="13"/>
                <w:szCs w:val="13"/>
                <w:color w:val="auto"/>
              </w:rPr>
            </w:pPr>
          </w:p>
        </w:tc>
        <w:tc>
          <w:tcPr>
            <w:tcW w:w="800" w:type="dxa"/>
            <w:vAlign w:val="bottom"/>
            <w:shd w:val="clear" w:color="auto" w:fill="274F78"/>
          </w:tcPr>
          <w:p>
            <w:pPr>
              <w:spacing w:after="0"/>
              <w:rPr>
                <w:sz w:val="13"/>
                <w:szCs w:val="13"/>
                <w:color w:val="auto"/>
              </w:rPr>
            </w:pPr>
          </w:p>
        </w:tc>
        <w:tc>
          <w:tcPr>
            <w:tcW w:w="100" w:type="dxa"/>
            <w:vAlign w:val="bottom"/>
            <w:tcBorders>
              <w:right w:val="single" w:sz="8" w:color="274F78"/>
            </w:tcBorders>
            <w:shd w:val="clear" w:color="auto" w:fill="274F78"/>
          </w:tcPr>
          <w:p>
            <w:pPr>
              <w:spacing w:after="0"/>
              <w:rPr>
                <w:sz w:val="13"/>
                <w:szCs w:val="13"/>
                <w:color w:val="auto"/>
              </w:rPr>
            </w:pPr>
          </w:p>
        </w:tc>
        <w:tc>
          <w:tcPr>
            <w:tcW w:w="900" w:type="dxa"/>
            <w:vAlign w:val="bottom"/>
            <w:tcBorders>
              <w:right w:val="single" w:sz="8" w:color="274F78"/>
            </w:tcBorders>
            <w:shd w:val="clear" w:color="auto" w:fill="274F78"/>
          </w:tcPr>
          <w:p>
            <w:pPr>
              <w:spacing w:after="0"/>
              <w:rPr>
                <w:sz w:val="13"/>
                <w:szCs w:val="13"/>
                <w:color w:val="auto"/>
              </w:rPr>
            </w:pPr>
          </w:p>
        </w:tc>
        <w:tc>
          <w:tcPr>
            <w:tcW w:w="60" w:type="dxa"/>
            <w:vAlign w:val="bottom"/>
            <w:shd w:val="clear" w:color="auto" w:fill="274F78"/>
          </w:tcPr>
          <w:p>
            <w:pPr>
              <w:spacing w:after="0"/>
              <w:rPr>
                <w:sz w:val="13"/>
                <w:szCs w:val="13"/>
                <w:color w:val="auto"/>
              </w:rPr>
            </w:pPr>
          </w:p>
        </w:tc>
        <w:tc>
          <w:tcPr>
            <w:tcW w:w="820" w:type="dxa"/>
            <w:vAlign w:val="bottom"/>
            <w:tcBorders>
              <w:right w:val="single" w:sz="8" w:color="274F78"/>
            </w:tcBorders>
            <w:shd w:val="clear" w:color="auto" w:fill="274F78"/>
          </w:tcPr>
          <w:p>
            <w:pPr>
              <w:spacing w:after="0"/>
              <w:rPr>
                <w:sz w:val="13"/>
                <w:szCs w:val="13"/>
                <w:color w:val="auto"/>
              </w:rPr>
            </w:pPr>
          </w:p>
        </w:tc>
        <w:tc>
          <w:tcPr>
            <w:tcW w:w="880" w:type="dxa"/>
            <w:vAlign w:val="bottom"/>
            <w:tcBorders>
              <w:right w:val="single" w:sz="8" w:color="58595B"/>
            </w:tcBorders>
            <w:shd w:val="clear" w:color="auto" w:fill="274F78"/>
          </w:tcPr>
          <w:p>
            <w:pPr>
              <w:jc w:val="center"/>
              <w:spacing w:after="0" w:line="160" w:lineRule="exact"/>
              <w:rPr>
                <w:sz w:val="20"/>
                <w:szCs w:val="20"/>
                <w:color w:val="auto"/>
              </w:rPr>
            </w:pPr>
            <w:r>
              <w:rPr>
                <w:rFonts w:ascii="Arial" w:cs="Arial" w:eastAsia="Arial" w:hAnsi="Arial"/>
                <w:sz w:val="15"/>
                <w:szCs w:val="15"/>
                <w:b w:val="1"/>
                <w:bCs w:val="1"/>
                <w:color w:val="FFFFFF"/>
                <w:w w:val="97"/>
              </w:rPr>
              <w:t>All Other</w:t>
            </w:r>
          </w:p>
        </w:tc>
        <w:tc>
          <w:tcPr>
            <w:tcW w:w="900" w:type="dxa"/>
            <w:vAlign w:val="bottom"/>
            <w:tcBorders>
              <w:right w:val="single" w:sz="8" w:color="58595B"/>
            </w:tcBorders>
            <w:shd w:val="clear" w:color="auto" w:fill="274F78"/>
          </w:tcPr>
          <w:p>
            <w:pPr>
              <w:jc w:val="center"/>
              <w:spacing w:after="0" w:line="160" w:lineRule="exact"/>
              <w:rPr>
                <w:sz w:val="20"/>
                <w:szCs w:val="20"/>
                <w:color w:val="auto"/>
              </w:rPr>
            </w:pPr>
            <w:r>
              <w:rPr>
                <w:rFonts w:ascii="Arial" w:cs="Arial" w:eastAsia="Arial" w:hAnsi="Arial"/>
                <w:sz w:val="15"/>
                <w:szCs w:val="15"/>
                <w:b w:val="1"/>
                <w:bCs w:val="1"/>
                <w:color w:val="FFFFFF"/>
                <w:w w:val="98"/>
              </w:rPr>
              <w:t>Date</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Awards:</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Fair</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Number</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Value of</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spacing w:after="0"/>
              <w:rPr>
                <w:sz w:val="15"/>
                <w:szCs w:val="15"/>
                <w:color w:val="auto"/>
              </w:rPr>
            </w:pPr>
          </w:p>
        </w:tc>
        <w:tc>
          <w:tcPr>
            <w:tcW w:w="1020" w:type="dxa"/>
            <w:vAlign w:val="bottom"/>
            <w:tcBorders>
              <w:right w:val="single" w:sz="8" w:color="274F78"/>
            </w:tcBorders>
            <w:shd w:val="clear" w:color="auto" w:fill="274F78"/>
          </w:tcPr>
          <w:p>
            <w:pPr>
              <w:spacing w:after="0"/>
              <w:rPr>
                <w:sz w:val="15"/>
                <w:szCs w:val="15"/>
                <w:color w:val="auto"/>
              </w:rPr>
            </w:pPr>
          </w:p>
        </w:tc>
        <w:tc>
          <w:tcPr>
            <w:tcW w:w="20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40" w:type="dxa"/>
            <w:vAlign w:val="bottom"/>
            <w:tcBorders>
              <w:right w:val="single" w:sz="8" w:color="274F78"/>
            </w:tcBorders>
            <w:shd w:val="clear" w:color="auto" w:fill="274F78"/>
          </w:tcPr>
          <w:p>
            <w:pPr>
              <w:spacing w:after="0"/>
              <w:rPr>
                <w:sz w:val="15"/>
                <w:szCs w:val="15"/>
                <w:color w:val="auto"/>
              </w:rPr>
            </w:pPr>
          </w:p>
        </w:tc>
        <w:tc>
          <w:tcPr>
            <w:tcW w:w="800" w:type="dxa"/>
            <w:vAlign w:val="bottom"/>
            <w:shd w:val="clear" w:color="auto" w:fill="274F78"/>
          </w:tcPr>
          <w:p>
            <w:pPr>
              <w:spacing w:after="0"/>
              <w:rPr>
                <w:sz w:val="15"/>
                <w:szCs w:val="15"/>
                <w:color w:val="auto"/>
              </w:rPr>
            </w:pPr>
          </w:p>
        </w:tc>
        <w:tc>
          <w:tcPr>
            <w:tcW w:w="100" w:type="dxa"/>
            <w:vAlign w:val="bottom"/>
            <w:tcBorders>
              <w:right w:val="single" w:sz="8" w:color="274F78"/>
            </w:tcBorders>
            <w:shd w:val="clear" w:color="auto" w:fill="274F78"/>
          </w:tcPr>
          <w:p>
            <w:pPr>
              <w:spacing w:after="0"/>
              <w:rPr>
                <w:sz w:val="15"/>
                <w:szCs w:val="15"/>
                <w:color w:val="auto"/>
              </w:rPr>
            </w:pPr>
          </w:p>
        </w:tc>
        <w:tc>
          <w:tcPr>
            <w:tcW w:w="900" w:type="dxa"/>
            <w:vAlign w:val="bottom"/>
            <w:tcBorders>
              <w:right w:val="single" w:sz="8" w:color="274F78"/>
            </w:tcBorders>
            <w:shd w:val="clear" w:color="auto" w:fill="274F78"/>
          </w:tcPr>
          <w:p>
            <w:pPr>
              <w:spacing w:after="0"/>
              <w:rPr>
                <w:sz w:val="15"/>
                <w:szCs w:val="15"/>
                <w:color w:val="auto"/>
              </w:rPr>
            </w:pPr>
          </w:p>
        </w:tc>
        <w:tc>
          <w:tcPr>
            <w:tcW w:w="60" w:type="dxa"/>
            <w:vAlign w:val="bottom"/>
            <w:shd w:val="clear" w:color="auto" w:fill="274F78"/>
          </w:tcPr>
          <w:p>
            <w:pPr>
              <w:spacing w:after="0"/>
              <w:rPr>
                <w:sz w:val="15"/>
                <w:szCs w:val="15"/>
                <w:color w:val="auto"/>
              </w:rPr>
            </w:pPr>
          </w:p>
        </w:tc>
        <w:tc>
          <w:tcPr>
            <w:tcW w:w="820" w:type="dxa"/>
            <w:vAlign w:val="bottom"/>
            <w:tcBorders>
              <w:right w:val="single" w:sz="8" w:color="274F78"/>
            </w:tcBorders>
            <w:shd w:val="clear" w:color="auto" w:fill="274F78"/>
          </w:tcPr>
          <w:p>
            <w:pPr>
              <w:spacing w:after="0"/>
              <w:rPr>
                <w:sz w:val="15"/>
                <w:szCs w:val="15"/>
                <w:color w:val="auto"/>
              </w:rPr>
            </w:pP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of</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Stock and</w:t>
            </w:r>
          </w:p>
        </w:tc>
        <w:tc>
          <w:tcPr>
            <w:tcW w:w="0" w:type="dxa"/>
            <w:vAlign w:val="bottom"/>
          </w:tcPr>
          <w:p>
            <w:pPr>
              <w:spacing w:after="0"/>
              <w:rPr>
                <w:sz w:val="1"/>
                <w:szCs w:val="1"/>
                <w:color w:val="auto"/>
              </w:rPr>
            </w:pPr>
          </w:p>
        </w:tc>
      </w:tr>
      <w:tr>
        <w:trPr>
          <w:trHeight w:val="185"/>
        </w:trPr>
        <w:tc>
          <w:tcPr>
            <w:tcW w:w="1040" w:type="dxa"/>
            <w:vAlign w:val="bottom"/>
            <w:tcBorders>
              <w:left w:val="single" w:sz="8" w:color="274F78"/>
              <w:right w:val="single" w:sz="8" w:color="274F78"/>
            </w:tcBorders>
            <w:shd w:val="clear" w:color="auto" w:fill="274F78"/>
          </w:tcPr>
          <w:p>
            <w:pPr>
              <w:spacing w:after="0"/>
              <w:rPr>
                <w:sz w:val="16"/>
                <w:szCs w:val="16"/>
                <w:color w:val="auto"/>
              </w:rPr>
            </w:pPr>
          </w:p>
        </w:tc>
        <w:tc>
          <w:tcPr>
            <w:tcW w:w="1020" w:type="dxa"/>
            <w:vAlign w:val="bottom"/>
            <w:tcBorders>
              <w:right w:val="single" w:sz="8" w:color="274F78"/>
            </w:tcBorders>
            <w:shd w:val="clear" w:color="auto" w:fill="274F78"/>
          </w:tcPr>
          <w:p>
            <w:pPr>
              <w:spacing w:after="0"/>
              <w:rPr>
                <w:sz w:val="16"/>
                <w:szCs w:val="16"/>
                <w:color w:val="auto"/>
              </w:rPr>
            </w:pPr>
          </w:p>
        </w:tc>
        <w:tc>
          <w:tcPr>
            <w:tcW w:w="2040" w:type="dxa"/>
            <w:vAlign w:val="bottom"/>
            <w:tcBorders>
              <w:right w:val="single" w:sz="8" w:color="274F78"/>
            </w:tcBorders>
            <w:shd w:val="clear" w:color="auto" w:fill="274F78"/>
          </w:tcPr>
          <w:p>
            <w:pPr>
              <w:spacing w:after="0"/>
              <w:rPr>
                <w:sz w:val="16"/>
                <w:szCs w:val="16"/>
                <w:color w:val="auto"/>
              </w:rPr>
            </w:pPr>
          </w:p>
        </w:tc>
        <w:tc>
          <w:tcPr>
            <w:tcW w:w="800" w:type="dxa"/>
            <w:vAlign w:val="bottom"/>
            <w:shd w:val="clear" w:color="auto" w:fill="274F78"/>
          </w:tcPr>
          <w:p>
            <w:pPr>
              <w:jc w:val="center"/>
              <w:ind w:left="6"/>
              <w:spacing w:after="0"/>
              <w:rPr>
                <w:sz w:val="20"/>
                <w:szCs w:val="20"/>
                <w:color w:val="auto"/>
              </w:rPr>
            </w:pPr>
            <w:r>
              <w:rPr>
                <w:rFonts w:ascii="Arial" w:cs="Arial" w:eastAsia="Arial" w:hAnsi="Arial"/>
                <w:sz w:val="15"/>
                <w:szCs w:val="15"/>
                <w:b w:val="1"/>
                <w:bCs w:val="1"/>
                <w:color w:val="FFFFFF"/>
                <w:w w:val="95"/>
              </w:rPr>
              <w:t>(D)</w:t>
            </w:r>
          </w:p>
        </w:tc>
        <w:tc>
          <w:tcPr>
            <w:tcW w:w="100" w:type="dxa"/>
            <w:vAlign w:val="bottom"/>
            <w:tcBorders>
              <w:right w:val="single" w:sz="8" w:color="274F78"/>
            </w:tcBorders>
            <w:shd w:val="clear" w:color="auto" w:fill="274F78"/>
          </w:tcPr>
          <w:p>
            <w:pPr>
              <w:spacing w:after="0"/>
              <w:rPr>
                <w:sz w:val="16"/>
                <w:szCs w:val="16"/>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9"/>
              </w:rPr>
              <w:t>(E)</w:t>
            </w:r>
          </w:p>
        </w:tc>
        <w:tc>
          <w:tcPr>
            <w:tcW w:w="84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3"/>
              </w:rPr>
              <w:t>(F)</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rPr>
              <w:t>(G)</w:t>
            </w:r>
          </w:p>
        </w:tc>
        <w:tc>
          <w:tcPr>
            <w:tcW w:w="100" w:type="dxa"/>
            <w:vAlign w:val="bottom"/>
            <w:tcBorders>
              <w:right w:val="single" w:sz="8" w:color="274F78"/>
            </w:tcBorders>
            <w:shd w:val="clear" w:color="auto" w:fill="274F78"/>
          </w:tcPr>
          <w:p>
            <w:pPr>
              <w:spacing w:after="0"/>
              <w:rPr>
                <w:sz w:val="16"/>
                <w:szCs w:val="16"/>
                <w:color w:val="auto"/>
              </w:rPr>
            </w:pPr>
          </w:p>
        </w:tc>
        <w:tc>
          <w:tcPr>
            <w:tcW w:w="960" w:type="dxa"/>
            <w:vAlign w:val="bottom"/>
            <w:gridSpan w:val="2"/>
            <w:shd w:val="clear" w:color="auto" w:fill="274F78"/>
          </w:tcPr>
          <w:p>
            <w:pPr>
              <w:jc w:val="center"/>
              <w:ind w:right="100"/>
              <w:spacing w:after="0"/>
              <w:rPr>
                <w:sz w:val="20"/>
                <w:szCs w:val="20"/>
                <w:color w:val="auto"/>
              </w:rPr>
            </w:pPr>
            <w:r>
              <w:rPr>
                <w:rFonts w:ascii="Arial" w:cs="Arial" w:eastAsia="Arial" w:hAnsi="Arial"/>
                <w:sz w:val="15"/>
                <w:szCs w:val="15"/>
                <w:b w:val="1"/>
                <w:bCs w:val="1"/>
                <w:color w:val="FFFFFF"/>
              </w:rPr>
              <w:t>(H)</w:t>
            </w:r>
          </w:p>
        </w:tc>
        <w:tc>
          <w:tcPr>
            <w:tcW w:w="82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8"/>
              </w:rPr>
              <w:t>(I)</w:t>
            </w: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Shares</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Option</w:t>
            </w:r>
          </w:p>
        </w:tc>
        <w:tc>
          <w:tcPr>
            <w:tcW w:w="0" w:type="dxa"/>
            <w:vAlign w:val="bottom"/>
          </w:tcPr>
          <w:p>
            <w:pPr>
              <w:spacing w:after="0"/>
              <w:rPr>
                <w:sz w:val="1"/>
                <w:szCs w:val="1"/>
                <w:color w:val="auto"/>
              </w:rPr>
            </w:pPr>
          </w:p>
        </w:tc>
      </w:tr>
      <w:tr>
        <w:trPr>
          <w:trHeight w:val="173"/>
        </w:trPr>
        <w:tc>
          <w:tcPr>
            <w:tcW w:w="1040" w:type="dxa"/>
            <w:vAlign w:val="bottom"/>
            <w:tcBorders>
              <w:left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(A)</w:t>
            </w:r>
          </w:p>
        </w:tc>
        <w:tc>
          <w:tcPr>
            <w:tcW w:w="10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(B)</w:t>
            </w:r>
          </w:p>
        </w:tc>
        <w:tc>
          <w:tcPr>
            <w:tcW w:w="2040" w:type="dxa"/>
            <w:vAlign w:val="bottom"/>
            <w:tcBorders>
              <w:right w:val="single" w:sz="8" w:color="274F78"/>
            </w:tcBorders>
            <w:shd w:val="clear" w:color="auto" w:fill="274F78"/>
          </w:tcPr>
          <w:p>
            <w:pPr>
              <w:ind w:left="900"/>
              <w:spacing w:after="0"/>
              <w:rPr>
                <w:sz w:val="20"/>
                <w:szCs w:val="20"/>
                <w:color w:val="auto"/>
              </w:rPr>
            </w:pPr>
            <w:r>
              <w:rPr>
                <w:rFonts w:ascii="Arial" w:cs="Arial" w:eastAsia="Arial" w:hAnsi="Arial"/>
                <w:sz w:val="15"/>
                <w:szCs w:val="15"/>
                <w:b w:val="1"/>
                <w:bCs w:val="1"/>
                <w:color w:val="FFFFFF"/>
              </w:rPr>
              <w:t>(C)</w:t>
            </w:r>
          </w:p>
        </w:tc>
        <w:tc>
          <w:tcPr>
            <w:tcW w:w="800" w:type="dxa"/>
            <w:vAlign w:val="bottom"/>
            <w:shd w:val="clear" w:color="auto" w:fill="274F78"/>
          </w:tcPr>
          <w:p>
            <w:pPr>
              <w:jc w:val="center"/>
              <w:ind w:left="6"/>
              <w:spacing w:after="0"/>
              <w:rPr>
                <w:sz w:val="20"/>
                <w:szCs w:val="20"/>
                <w:color w:val="auto"/>
              </w:rPr>
            </w:pPr>
            <w:r>
              <w:rPr>
                <w:rFonts w:ascii="Arial" w:cs="Arial" w:eastAsia="Arial" w:hAnsi="Arial"/>
                <w:sz w:val="15"/>
                <w:szCs w:val="15"/>
                <w:b w:val="1"/>
                <w:bCs w:val="1"/>
                <w:color w:val="FFFFFF"/>
                <w:w w:val="99"/>
              </w:rPr>
              <w:t>Threshold</w:t>
            </w:r>
          </w:p>
        </w:tc>
        <w:tc>
          <w:tcPr>
            <w:tcW w:w="100" w:type="dxa"/>
            <w:vAlign w:val="bottom"/>
            <w:tcBorders>
              <w:right w:val="single" w:sz="8" w:color="274F78"/>
            </w:tcBorders>
            <w:shd w:val="clear" w:color="auto" w:fill="274F78"/>
          </w:tcPr>
          <w:p>
            <w:pPr>
              <w:spacing w:after="0"/>
              <w:rPr>
                <w:sz w:val="15"/>
                <w:szCs w:val="15"/>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5"/>
              </w:rPr>
              <w:t>Target</w:t>
            </w:r>
          </w:p>
        </w:tc>
        <w:tc>
          <w:tcPr>
            <w:tcW w:w="84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8"/>
              </w:rPr>
              <w:t>Maximum</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6"/>
              </w:rPr>
              <w:t>Threshold</w:t>
            </w:r>
          </w:p>
        </w:tc>
        <w:tc>
          <w:tcPr>
            <w:tcW w:w="100" w:type="dxa"/>
            <w:vAlign w:val="bottom"/>
            <w:tcBorders>
              <w:right w:val="single" w:sz="8" w:color="274F78"/>
            </w:tcBorders>
            <w:shd w:val="clear" w:color="auto" w:fill="274F78"/>
          </w:tcPr>
          <w:p>
            <w:pPr>
              <w:spacing w:after="0"/>
              <w:rPr>
                <w:sz w:val="15"/>
                <w:szCs w:val="15"/>
                <w:color w:val="auto"/>
              </w:rPr>
            </w:pPr>
          </w:p>
        </w:tc>
        <w:tc>
          <w:tcPr>
            <w:tcW w:w="960" w:type="dxa"/>
            <w:vAlign w:val="bottom"/>
            <w:gridSpan w:val="2"/>
            <w:shd w:val="clear" w:color="auto" w:fill="274F78"/>
          </w:tcPr>
          <w:p>
            <w:pPr>
              <w:jc w:val="center"/>
              <w:ind w:right="80"/>
              <w:spacing w:after="0"/>
              <w:rPr>
                <w:sz w:val="20"/>
                <w:szCs w:val="20"/>
                <w:color w:val="auto"/>
              </w:rPr>
            </w:pPr>
            <w:r>
              <w:rPr>
                <w:rFonts w:ascii="Arial" w:cs="Arial" w:eastAsia="Arial" w:hAnsi="Arial"/>
                <w:sz w:val="15"/>
                <w:szCs w:val="15"/>
                <w:b w:val="1"/>
                <w:bCs w:val="1"/>
                <w:color w:val="FFFFFF"/>
                <w:w w:val="95"/>
              </w:rPr>
              <w:t>Target</w:t>
            </w:r>
          </w:p>
        </w:tc>
        <w:tc>
          <w:tcPr>
            <w:tcW w:w="82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8"/>
              </w:rPr>
              <w:t>Maximum</w:t>
            </w:r>
          </w:p>
        </w:tc>
        <w:tc>
          <w:tcPr>
            <w:tcW w:w="88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of Stock</w:t>
            </w:r>
          </w:p>
        </w:tc>
        <w:tc>
          <w:tcPr>
            <w:tcW w:w="9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5"/>
              </w:rPr>
              <w:t>Awards</w:t>
            </w:r>
          </w:p>
        </w:tc>
        <w:tc>
          <w:tcPr>
            <w:tcW w:w="0" w:type="dxa"/>
            <w:vAlign w:val="bottom"/>
          </w:tcPr>
          <w:p>
            <w:pPr>
              <w:spacing w:after="0"/>
              <w:rPr>
                <w:sz w:val="1"/>
                <w:szCs w:val="1"/>
                <w:color w:val="auto"/>
              </w:rPr>
            </w:pPr>
          </w:p>
        </w:tc>
      </w:tr>
      <w:tr>
        <w:trPr>
          <w:trHeight w:val="271"/>
        </w:trPr>
        <w:tc>
          <w:tcPr>
            <w:tcW w:w="1040" w:type="dxa"/>
            <w:vAlign w:val="bottom"/>
            <w:tcBorders>
              <w:left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Name</w:t>
            </w:r>
          </w:p>
        </w:tc>
        <w:tc>
          <w:tcPr>
            <w:tcW w:w="10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Grant Date</w:t>
            </w:r>
          </w:p>
        </w:tc>
        <w:tc>
          <w:tcPr>
            <w:tcW w:w="2040" w:type="dxa"/>
            <w:vAlign w:val="bottom"/>
            <w:tcBorders>
              <w:right w:val="single" w:sz="8" w:color="274F78"/>
            </w:tcBorders>
            <w:shd w:val="clear" w:color="auto" w:fill="274F78"/>
          </w:tcPr>
          <w:p>
            <w:pPr>
              <w:ind w:left="600"/>
              <w:spacing w:after="0"/>
              <w:rPr>
                <w:sz w:val="20"/>
                <w:szCs w:val="20"/>
                <w:color w:val="auto"/>
              </w:rPr>
            </w:pPr>
            <w:r>
              <w:rPr>
                <w:rFonts w:ascii="Arial" w:cs="Arial" w:eastAsia="Arial" w:hAnsi="Arial"/>
                <w:sz w:val="15"/>
                <w:szCs w:val="15"/>
                <w:b w:val="1"/>
                <w:bCs w:val="1"/>
                <w:color w:val="FFFFFF"/>
              </w:rPr>
              <w:t>Award Type</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1000" w:type="dxa"/>
            <w:vAlign w:val="bottom"/>
            <w:tcBorders>
              <w:right w:val="single" w:sz="8" w:color="274F78"/>
            </w:tcBorders>
            <w:gridSpan w:val="2"/>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60" w:type="dxa"/>
            <w:vAlign w:val="bottom"/>
            <w:shd w:val="clear" w:color="auto" w:fill="274F78"/>
          </w:tcPr>
          <w:p>
            <w:pPr>
              <w:spacing w:after="0"/>
              <w:rPr>
                <w:sz w:val="23"/>
                <w:szCs w:val="23"/>
                <w:color w:val="auto"/>
              </w:rPr>
            </w:pPr>
          </w:p>
        </w:tc>
        <w:tc>
          <w:tcPr>
            <w:tcW w:w="840" w:type="dxa"/>
            <w:vAlign w:val="bottom"/>
            <w:tcBorders>
              <w:right w:val="single" w:sz="8" w:color="274F78"/>
            </w:tcBorders>
            <w:shd w:val="clear" w:color="auto" w:fill="274F78"/>
          </w:tcPr>
          <w:p>
            <w:pPr>
              <w:jc w:val="center"/>
              <w:ind w:right="26"/>
              <w:spacing w:after="0"/>
              <w:rPr>
                <w:sz w:val="20"/>
                <w:szCs w:val="20"/>
                <w:color w:val="auto"/>
              </w:rPr>
            </w:pPr>
            <w:r>
              <w:rPr>
                <w:rFonts w:ascii="Arial" w:cs="Arial" w:eastAsia="Arial" w:hAnsi="Arial"/>
                <w:sz w:val="15"/>
                <w:szCs w:val="15"/>
                <w:b w:val="1"/>
                <w:bCs w:val="1"/>
                <w:color w:val="FFFFFF"/>
                <w:w w:val="97"/>
              </w:rPr>
              <w:t>($)</w:t>
            </w:r>
          </w:p>
        </w:tc>
        <w:tc>
          <w:tcPr>
            <w:tcW w:w="800" w:type="dxa"/>
            <w:vAlign w:val="bottom"/>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1000" w:type="dxa"/>
            <w:vAlign w:val="bottom"/>
            <w:tcBorders>
              <w:right w:val="single" w:sz="8" w:color="274F78"/>
            </w:tcBorders>
            <w:gridSpan w:val="2"/>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w:t>
            </w:r>
          </w:p>
        </w:tc>
        <w:tc>
          <w:tcPr>
            <w:tcW w:w="60" w:type="dxa"/>
            <w:vAlign w:val="bottom"/>
            <w:shd w:val="clear" w:color="auto" w:fill="274F78"/>
          </w:tcPr>
          <w:p>
            <w:pPr>
              <w:spacing w:after="0"/>
              <w:rPr>
                <w:sz w:val="23"/>
                <w:szCs w:val="23"/>
                <w:color w:val="auto"/>
              </w:rPr>
            </w:pPr>
          </w:p>
        </w:tc>
        <w:tc>
          <w:tcPr>
            <w:tcW w:w="82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7"/>
              </w:rPr>
              <w:t>(#)</w:t>
            </w:r>
          </w:p>
        </w:tc>
        <w:tc>
          <w:tcPr>
            <w:tcW w:w="880" w:type="dxa"/>
            <w:vAlign w:val="bottom"/>
            <w:tcBorders>
              <w:right w:val="single" w:sz="8" w:color="58595B"/>
            </w:tcBorders>
            <w:shd w:val="clear" w:color="auto" w:fill="274F78"/>
          </w:tcPr>
          <w:p>
            <w:pPr>
              <w:jc w:val="center"/>
              <w:spacing w:after="0" w:line="259" w:lineRule="exact"/>
              <w:rPr>
                <w:sz w:val="20"/>
                <w:szCs w:val="20"/>
                <w:color w:val="auto"/>
              </w:rPr>
            </w:pPr>
            <w:r>
              <w:rPr>
                <w:rFonts w:ascii="Arial" w:cs="Arial" w:eastAsia="Arial" w:hAnsi="Arial"/>
                <w:sz w:val="29"/>
                <w:szCs w:val="29"/>
                <w:b w:val="1"/>
                <w:bCs w:val="1"/>
                <w:color w:val="FFFFFF"/>
                <w:w w:val="88"/>
                <w:vertAlign w:val="subscript"/>
              </w:rPr>
              <w:t>(#)</w:t>
            </w:r>
            <w:r>
              <w:rPr>
                <w:rFonts w:ascii="Arial" w:cs="Arial" w:eastAsia="Arial" w:hAnsi="Arial"/>
                <w:sz w:val="12"/>
                <w:szCs w:val="12"/>
                <w:b w:val="1"/>
                <w:bCs w:val="1"/>
                <w:color w:val="FFFFFF"/>
                <w:w w:val="88"/>
              </w:rPr>
              <w:t>(3)</w:t>
            </w:r>
          </w:p>
        </w:tc>
        <w:tc>
          <w:tcPr>
            <w:tcW w:w="900" w:type="dxa"/>
            <w:vAlign w:val="bottom"/>
            <w:tcBorders>
              <w:right w:val="single" w:sz="8" w:color="58595B"/>
            </w:tcBorders>
            <w:shd w:val="clear" w:color="auto" w:fill="274F78"/>
          </w:tcPr>
          <w:p>
            <w:pPr>
              <w:jc w:val="center"/>
              <w:spacing w:after="0" w:line="259" w:lineRule="exact"/>
              <w:rPr>
                <w:sz w:val="20"/>
                <w:szCs w:val="20"/>
                <w:color w:val="auto"/>
              </w:rPr>
            </w:pPr>
            <w:r>
              <w:rPr>
                <w:rFonts w:ascii="Arial" w:cs="Arial" w:eastAsia="Arial" w:hAnsi="Arial"/>
                <w:sz w:val="29"/>
                <w:szCs w:val="29"/>
                <w:b w:val="1"/>
                <w:bCs w:val="1"/>
                <w:color w:val="FFFFFF"/>
                <w:w w:val="83"/>
                <w:vertAlign w:val="subscript"/>
              </w:rPr>
              <w:t>($)</w:t>
            </w:r>
            <w:r>
              <w:rPr>
                <w:rFonts w:ascii="Arial" w:cs="Arial" w:eastAsia="Arial" w:hAnsi="Arial"/>
                <w:sz w:val="12"/>
                <w:szCs w:val="12"/>
                <w:b w:val="1"/>
                <w:bCs w:val="1"/>
                <w:color w:val="FFFFFF"/>
                <w:w w:val="83"/>
              </w:rPr>
              <w:t>(4)</w:t>
            </w:r>
          </w:p>
        </w:tc>
        <w:tc>
          <w:tcPr>
            <w:tcW w:w="0" w:type="dxa"/>
            <w:vAlign w:val="bottom"/>
          </w:tcPr>
          <w:p>
            <w:pPr>
              <w:spacing w:after="0"/>
              <w:rPr>
                <w:sz w:val="1"/>
                <w:szCs w:val="1"/>
                <w:color w:val="auto"/>
              </w:rPr>
            </w:pPr>
          </w:p>
        </w:tc>
      </w:tr>
      <w:tr>
        <w:trPr>
          <w:trHeight w:val="234"/>
        </w:trPr>
        <w:tc>
          <w:tcPr>
            <w:tcW w:w="1040" w:type="dxa"/>
            <w:vAlign w:val="bottom"/>
            <w:tcBorders>
              <w:left w:val="single" w:sz="8" w:color="58595B"/>
              <w:right w:val="single" w:sz="8" w:color="58595B"/>
            </w:tcBorders>
            <w:shd w:val="clear" w:color="auto" w:fill="859BB6"/>
          </w:tcPr>
          <w:p>
            <w:pPr>
              <w:spacing w:after="0"/>
              <w:rPr>
                <w:sz w:val="20"/>
                <w:szCs w:val="20"/>
                <w:color w:val="auto"/>
              </w:rPr>
            </w:pP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3/24/2025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F&amp;G 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0"/>
                <w:szCs w:val="20"/>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0"/>
                <w:szCs w:val="20"/>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0"/>
                <w:szCs w:val="20"/>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8,646</w:t>
            </w:r>
          </w:p>
        </w:tc>
        <w:tc>
          <w:tcPr>
            <w:tcW w:w="60" w:type="dxa"/>
            <w:vAlign w:val="bottom"/>
          </w:tcPr>
          <w:p>
            <w:pPr>
              <w:spacing w:after="0"/>
              <w:rPr>
                <w:sz w:val="20"/>
                <w:szCs w:val="20"/>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300,016</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shd w:val="clear" w:color="auto" w:fill="859BB6"/>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58595B"/>
              <w:right w:val="single" w:sz="8" w:color="58595B"/>
            </w:tcBorders>
            <w:shd w:val="clear" w:color="auto" w:fill="859BB6"/>
          </w:tcPr>
          <w:p>
            <w:pPr>
              <w:spacing w:after="0"/>
              <w:rPr>
                <w:sz w:val="7"/>
                <w:szCs w:val="7"/>
                <w:color w:val="auto"/>
              </w:rPr>
            </w:pPr>
          </w:p>
        </w:tc>
        <w:tc>
          <w:tcPr>
            <w:tcW w:w="1020" w:type="dxa"/>
            <w:vAlign w:val="bottom"/>
            <w:tcBorders>
              <w:right w:val="single" w:sz="8" w:color="58595B"/>
            </w:tcBorders>
          </w:tcPr>
          <w:p>
            <w:pPr>
              <w:spacing w:after="0"/>
              <w:rPr>
                <w:sz w:val="7"/>
                <w:szCs w:val="7"/>
                <w:color w:val="auto"/>
              </w:rPr>
            </w:pPr>
          </w:p>
        </w:tc>
        <w:tc>
          <w:tcPr>
            <w:tcW w:w="2040" w:type="dxa"/>
            <w:vAlign w:val="bottom"/>
            <w:tcBorders>
              <w:right w:val="single" w:sz="8" w:color="58595B"/>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right w:val="single" w:sz="8" w:color="58595B"/>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right w:val="single" w:sz="8" w:color="58595B"/>
            </w:tcBorders>
          </w:tcPr>
          <w:p>
            <w:pPr>
              <w:spacing w:after="0"/>
              <w:rPr>
                <w:sz w:val="7"/>
                <w:szCs w:val="7"/>
                <w:color w:val="auto"/>
              </w:rPr>
            </w:pPr>
          </w:p>
        </w:tc>
        <w:tc>
          <w:tcPr>
            <w:tcW w:w="88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58595B"/>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w w:val="99"/>
              </w:rPr>
              <w:t>Micheal L.</w:t>
            </w: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19"/>
                <w:szCs w:val="19"/>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19"/>
                <w:szCs w:val="19"/>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27,827</w:t>
            </w:r>
          </w:p>
        </w:tc>
        <w:tc>
          <w:tcPr>
            <w:tcW w:w="60" w:type="dxa"/>
            <w:vAlign w:val="bottom"/>
          </w:tcPr>
          <w:p>
            <w:pPr>
              <w:spacing w:after="0"/>
              <w:rPr>
                <w:sz w:val="19"/>
                <w:szCs w:val="19"/>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1,600,053</w:t>
            </w: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vMerge w:val="continue"/>
            <w:shd w:val="clear" w:color="auto" w:fill="859BB6"/>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line="160" w:lineRule="exact"/>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58595B"/>
              <w:right w:val="single" w:sz="8" w:color="58595B"/>
            </w:tcBorders>
            <w:vMerge w:val="continue"/>
            <w:shd w:val="clear" w:color="auto" w:fill="859BB6"/>
          </w:tcPr>
          <w:p>
            <w:pPr>
              <w:spacing w:after="0"/>
              <w:rPr>
                <w:sz w:val="4"/>
                <w:szCs w:val="4"/>
                <w:color w:val="auto"/>
              </w:rPr>
            </w:pPr>
          </w:p>
        </w:tc>
        <w:tc>
          <w:tcPr>
            <w:tcW w:w="1020" w:type="dxa"/>
            <w:vAlign w:val="bottom"/>
            <w:tcBorders>
              <w:right w:val="single" w:sz="8" w:color="58595B"/>
            </w:tcBorders>
          </w:tcPr>
          <w:p>
            <w:pPr>
              <w:spacing w:after="0"/>
              <w:rPr>
                <w:sz w:val="4"/>
                <w:szCs w:val="4"/>
                <w:color w:val="auto"/>
              </w:rPr>
            </w:pPr>
          </w:p>
        </w:tc>
        <w:tc>
          <w:tcPr>
            <w:tcW w:w="2040" w:type="dxa"/>
            <w:vAlign w:val="bottom"/>
            <w:tcBorders>
              <w:right w:val="single" w:sz="8" w:color="58595B"/>
            </w:tcBorders>
            <w:vMerge w:val="continue"/>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58595B"/>
            </w:tcBorders>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right w:val="single" w:sz="8" w:color="58595B"/>
            </w:tcBorders>
          </w:tcPr>
          <w:p>
            <w:pPr>
              <w:spacing w:after="0"/>
              <w:rPr>
                <w:sz w:val="4"/>
                <w:szCs w:val="4"/>
                <w:color w:val="auto"/>
              </w:rPr>
            </w:pPr>
          </w:p>
        </w:tc>
        <w:tc>
          <w:tcPr>
            <w:tcW w:w="880" w:type="dxa"/>
            <w:vAlign w:val="bottom"/>
            <w:tcBorders>
              <w:right w:val="single" w:sz="8" w:color="58595B"/>
            </w:tcBorders>
          </w:tcPr>
          <w:p>
            <w:pPr>
              <w:spacing w:after="0"/>
              <w:rPr>
                <w:sz w:val="4"/>
                <w:szCs w:val="4"/>
                <w:color w:val="auto"/>
              </w:rPr>
            </w:pPr>
          </w:p>
        </w:tc>
        <w:tc>
          <w:tcPr>
            <w:tcW w:w="90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040" w:type="dxa"/>
            <w:vAlign w:val="bottom"/>
            <w:tcBorders>
              <w:left w:val="single" w:sz="8" w:color="58595B"/>
              <w:bottom w:val="single" w:sz="8" w:color="859BB6"/>
              <w:right w:val="single" w:sz="8" w:color="58595B"/>
            </w:tcBorders>
            <w:vMerge w:val="restart"/>
            <w:shd w:val="clear" w:color="auto" w:fill="859BB6"/>
          </w:tcPr>
          <w:p>
            <w:pPr>
              <w:jc w:val="center"/>
              <w:spacing w:after="0"/>
              <w:rPr>
                <w:sz w:val="20"/>
                <w:szCs w:val="20"/>
                <w:color w:val="auto"/>
              </w:rPr>
            </w:pPr>
            <w:r>
              <w:rPr>
                <w:rFonts w:ascii="Arial" w:cs="Arial" w:eastAsia="Arial" w:hAnsi="Arial"/>
                <w:sz w:val="15"/>
                <w:szCs w:val="15"/>
                <w:color w:val="FFFFFF"/>
              </w:rPr>
              <w:t>Gravelle</w:t>
            </w:r>
          </w:p>
        </w:tc>
        <w:tc>
          <w:tcPr>
            <w:tcW w:w="1020" w:type="dxa"/>
            <w:vAlign w:val="bottom"/>
            <w:tcBorders>
              <w:bottom w:val="single" w:sz="8" w:color="58595B"/>
              <w:right w:val="single" w:sz="8" w:color="58595B"/>
            </w:tcBorders>
          </w:tcPr>
          <w:p>
            <w:pPr>
              <w:spacing w:after="0"/>
              <w:rPr>
                <w:sz w:val="8"/>
                <w:szCs w:val="8"/>
                <w:color w:val="auto"/>
              </w:rPr>
            </w:pPr>
          </w:p>
        </w:tc>
        <w:tc>
          <w:tcPr>
            <w:tcW w:w="20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40" w:type="dxa"/>
            <w:vAlign w:val="bottom"/>
            <w:tcBorders>
              <w:bottom w:val="single" w:sz="8" w:color="58595B"/>
              <w:right w:val="single" w:sz="8" w:color="58595B"/>
            </w:tcBorders>
          </w:tcPr>
          <w:p>
            <w:pPr>
              <w:spacing w:after="0"/>
              <w:rPr>
                <w:sz w:val="8"/>
                <w:szCs w:val="8"/>
                <w:color w:val="auto"/>
              </w:rPr>
            </w:pPr>
          </w:p>
        </w:tc>
        <w:tc>
          <w:tcPr>
            <w:tcW w:w="800" w:type="dxa"/>
            <w:vAlign w:val="bottom"/>
            <w:tcBorders>
              <w:bottom w:val="single" w:sz="8" w:color="58595B"/>
            </w:tcBorders>
          </w:tcPr>
          <w:p>
            <w:pPr>
              <w:spacing w:after="0"/>
              <w:rPr>
                <w:sz w:val="8"/>
                <w:szCs w:val="8"/>
                <w:color w:val="auto"/>
              </w:rPr>
            </w:pPr>
          </w:p>
        </w:tc>
        <w:tc>
          <w:tcPr>
            <w:tcW w:w="10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60" w:type="dxa"/>
            <w:vAlign w:val="bottom"/>
            <w:tcBorders>
              <w:bottom w:val="single" w:sz="8" w:color="58595B"/>
            </w:tcBorders>
          </w:tcPr>
          <w:p>
            <w:pPr>
              <w:spacing w:after="0"/>
              <w:rPr>
                <w:sz w:val="8"/>
                <w:szCs w:val="8"/>
                <w:color w:val="auto"/>
              </w:rPr>
            </w:pPr>
          </w:p>
        </w:tc>
        <w:tc>
          <w:tcPr>
            <w:tcW w:w="820" w:type="dxa"/>
            <w:vAlign w:val="bottom"/>
            <w:tcBorders>
              <w:bottom w:val="single" w:sz="8" w:color="58595B"/>
              <w:right w:val="single" w:sz="8" w:color="58595B"/>
            </w:tcBorders>
          </w:tcPr>
          <w:p>
            <w:pPr>
              <w:spacing w:after="0"/>
              <w:rPr>
                <w:sz w:val="8"/>
                <w:szCs w:val="8"/>
                <w:color w:val="auto"/>
              </w:rPr>
            </w:pPr>
          </w:p>
        </w:tc>
        <w:tc>
          <w:tcPr>
            <w:tcW w:w="880" w:type="dxa"/>
            <w:vAlign w:val="bottom"/>
            <w:tcBorders>
              <w:bottom w:val="single" w:sz="8" w:color="58595B"/>
              <w:right w:val="single" w:sz="8" w:color="58595B"/>
            </w:tcBorders>
          </w:tcPr>
          <w:p>
            <w:pPr>
              <w:spacing w:after="0"/>
              <w:rPr>
                <w:sz w:val="8"/>
                <w:szCs w:val="8"/>
                <w:color w:val="auto"/>
              </w:rPr>
            </w:pPr>
          </w:p>
        </w:tc>
        <w:tc>
          <w:tcPr>
            <w:tcW w:w="900" w:type="dxa"/>
            <w:vAlign w:val="bottom"/>
            <w:tcBorders>
              <w:bottom w:val="single" w:sz="8" w:color="58595B"/>
              <w:right w:val="single" w:sz="8" w:color="58595B"/>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58595B"/>
              <w:right w:val="single" w:sz="8" w:color="58595B"/>
            </w:tcBorders>
            <w:vMerge w:val="continue"/>
            <w:shd w:val="clear" w:color="auto" w:fill="859BB6"/>
          </w:tcPr>
          <w:p>
            <w:pPr>
              <w:spacing w:after="0"/>
              <w:rPr>
                <w:sz w:val="6"/>
                <w:szCs w:val="6"/>
                <w:color w:val="auto"/>
              </w:rPr>
            </w:pPr>
          </w:p>
        </w:tc>
        <w:tc>
          <w:tcPr>
            <w:tcW w:w="10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11/10/2025</w:t>
            </w: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F&amp;G Performance-Based</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6"/>
                <w:szCs w:val="6"/>
                <w:color w:val="auto"/>
              </w:rPr>
            </w:pPr>
          </w:p>
        </w:tc>
        <w:tc>
          <w:tcPr>
            <w:tcW w:w="840" w:type="dxa"/>
            <w:vAlign w:val="bottom"/>
            <w:tcBorders>
              <w:right w:val="single" w:sz="8" w:color="58595B"/>
            </w:tcBorders>
            <w:vMerge w:val="restart"/>
          </w:tcPr>
          <w:p>
            <w:pPr>
              <w:jc w:val="center"/>
              <w:ind w:right="26"/>
              <w:spacing w:after="0"/>
              <w:rPr>
                <w:sz w:val="20"/>
                <w:szCs w:val="20"/>
                <w:color w:val="auto"/>
              </w:rPr>
            </w:pPr>
            <w:r>
              <w:rPr>
                <w:rFonts w:ascii="Arial" w:cs="Arial" w:eastAsia="Arial" w:hAnsi="Arial"/>
                <w:sz w:val="15"/>
                <w:szCs w:val="15"/>
                <w:color w:val="58595B"/>
                <w:w w:val="93"/>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6"/>
                <w:szCs w:val="6"/>
                <w:color w:val="auto"/>
              </w:rPr>
            </w:pP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9,194</w:t>
            </w:r>
          </w:p>
        </w:tc>
        <w:tc>
          <w:tcPr>
            <w:tcW w:w="60" w:type="dxa"/>
            <w:vAlign w:val="bottom"/>
          </w:tcPr>
          <w:p>
            <w:pPr>
              <w:spacing w:after="0"/>
              <w:rPr>
                <w:sz w:val="6"/>
                <w:szCs w:val="6"/>
                <w:color w:val="auto"/>
              </w:rPr>
            </w:pPr>
          </w:p>
        </w:tc>
        <w:tc>
          <w:tcPr>
            <w:tcW w:w="820" w:type="dxa"/>
            <w:vAlign w:val="bottom"/>
            <w:tcBorders>
              <w:right w:val="single" w:sz="8" w:color="58595B"/>
            </w:tcBorders>
            <w:vMerge w:val="restart"/>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300,000</w:t>
            </w:r>
          </w:p>
        </w:tc>
        <w:tc>
          <w:tcPr>
            <w:tcW w:w="0" w:type="dxa"/>
            <w:vAlign w:val="bottom"/>
          </w:tcPr>
          <w:p>
            <w:pPr>
              <w:spacing w:after="0"/>
              <w:rPr>
                <w:sz w:val="1"/>
                <w:szCs w:val="1"/>
                <w:color w:val="auto"/>
              </w:rPr>
            </w:pPr>
          </w:p>
        </w:tc>
      </w:tr>
      <w:tr>
        <w:trPr>
          <w:trHeight w:val="151"/>
        </w:trPr>
        <w:tc>
          <w:tcPr>
            <w:tcW w:w="1040" w:type="dxa"/>
            <w:vAlign w:val="bottom"/>
            <w:tcBorders>
              <w:left w:val="single" w:sz="8" w:color="58595B"/>
              <w:right w:val="single" w:sz="8" w:color="58595B"/>
            </w:tcBorders>
            <w:shd w:val="clear" w:color="auto" w:fill="859BB6"/>
          </w:tcPr>
          <w:p>
            <w:pPr>
              <w:spacing w:after="0"/>
              <w:rPr>
                <w:sz w:val="13"/>
                <w:szCs w:val="13"/>
                <w:color w:val="auto"/>
              </w:rPr>
            </w:pPr>
          </w:p>
        </w:tc>
        <w:tc>
          <w:tcPr>
            <w:tcW w:w="1020" w:type="dxa"/>
            <w:vAlign w:val="bottom"/>
            <w:tcBorders>
              <w:right w:val="single" w:sz="8" w:color="58595B"/>
            </w:tcBorders>
            <w:vMerge w:val="continue"/>
          </w:tcPr>
          <w:p>
            <w:pPr>
              <w:spacing w:after="0"/>
              <w:rPr>
                <w:sz w:val="13"/>
                <w:szCs w:val="13"/>
                <w:color w:val="auto"/>
              </w:rPr>
            </w:pPr>
          </w:p>
        </w:tc>
        <w:tc>
          <w:tcPr>
            <w:tcW w:w="2040" w:type="dxa"/>
            <w:vAlign w:val="bottom"/>
            <w:tcBorders>
              <w:right w:val="single" w:sz="8" w:color="58595B"/>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Borders>
              <w:right w:val="single" w:sz="8" w:color="58595B"/>
            </w:tcBorders>
          </w:tcPr>
          <w:p>
            <w:pPr>
              <w:spacing w:after="0"/>
              <w:rPr>
                <w:sz w:val="13"/>
                <w:szCs w:val="13"/>
                <w:color w:val="auto"/>
              </w:rPr>
            </w:pPr>
          </w:p>
        </w:tc>
        <w:tc>
          <w:tcPr>
            <w:tcW w:w="900" w:type="dxa"/>
            <w:vAlign w:val="bottom"/>
            <w:tcBorders>
              <w:right w:val="single" w:sz="8" w:color="58595B"/>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right w:val="single" w:sz="8" w:color="58595B"/>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Borders>
              <w:right w:val="single" w:sz="8" w:color="58595B"/>
            </w:tcBorders>
          </w:tcPr>
          <w:p>
            <w:pPr>
              <w:spacing w:after="0"/>
              <w:rPr>
                <w:sz w:val="13"/>
                <w:szCs w:val="13"/>
                <w:color w:val="auto"/>
              </w:rPr>
            </w:pPr>
          </w:p>
        </w:tc>
        <w:tc>
          <w:tcPr>
            <w:tcW w:w="900" w:type="dxa"/>
            <w:vAlign w:val="bottom"/>
            <w:tcBorders>
              <w:right w:val="single" w:sz="8" w:color="58595B"/>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right w:val="single" w:sz="8" w:color="58595B"/>
            </w:tcBorders>
            <w:vMerge w:val="continue"/>
          </w:tcPr>
          <w:p>
            <w:pPr>
              <w:spacing w:after="0"/>
              <w:rPr>
                <w:sz w:val="13"/>
                <w:szCs w:val="13"/>
                <w:color w:val="auto"/>
              </w:rPr>
            </w:pPr>
          </w:p>
        </w:tc>
        <w:tc>
          <w:tcPr>
            <w:tcW w:w="880" w:type="dxa"/>
            <w:vAlign w:val="bottom"/>
            <w:tcBorders>
              <w:right w:val="single" w:sz="8" w:color="58595B"/>
            </w:tcBorders>
            <w:vMerge w:val="continue"/>
          </w:tcPr>
          <w:p>
            <w:pPr>
              <w:spacing w:after="0"/>
              <w:rPr>
                <w:sz w:val="13"/>
                <w:szCs w:val="13"/>
                <w:color w:val="auto"/>
              </w:rPr>
            </w:pPr>
          </w:p>
        </w:tc>
        <w:tc>
          <w:tcPr>
            <w:tcW w:w="900" w:type="dxa"/>
            <w:vAlign w:val="bottom"/>
            <w:tcBorders>
              <w:right w:val="single" w:sz="8" w:color="58595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58595B"/>
              <w:right w:val="single" w:sz="8" w:color="58595B"/>
            </w:tcBorders>
            <w:shd w:val="clear" w:color="auto" w:fill="859BB6"/>
          </w:tcPr>
          <w:p>
            <w:pPr>
              <w:spacing w:after="0"/>
              <w:rPr>
                <w:sz w:val="9"/>
                <w:szCs w:val="9"/>
                <w:color w:val="auto"/>
              </w:rPr>
            </w:pPr>
          </w:p>
        </w:tc>
        <w:tc>
          <w:tcPr>
            <w:tcW w:w="1020" w:type="dxa"/>
            <w:vAlign w:val="bottom"/>
            <w:tcBorders>
              <w:right w:val="single" w:sz="8" w:color="58595B"/>
            </w:tcBorders>
            <w:vMerge w:val="continue"/>
          </w:tcPr>
          <w:p>
            <w:pPr>
              <w:spacing w:after="0"/>
              <w:rPr>
                <w:sz w:val="9"/>
                <w:szCs w:val="9"/>
                <w:color w:val="auto"/>
              </w:rPr>
            </w:pPr>
          </w:p>
        </w:tc>
        <w:tc>
          <w:tcPr>
            <w:tcW w:w="2040" w:type="dxa"/>
            <w:vAlign w:val="bottom"/>
            <w:tcBorders>
              <w:right w:val="single" w:sz="8" w:color="58595B"/>
            </w:tcBorders>
            <w:vMerge w:val="restart"/>
          </w:tcPr>
          <w:p>
            <w:pPr>
              <w:ind w:left="40"/>
              <w:spacing w:after="0"/>
              <w:rPr>
                <w:sz w:val="20"/>
                <w:szCs w:val="20"/>
                <w:color w:val="auto"/>
              </w:rPr>
            </w:pPr>
            <w:r>
              <w:rPr>
                <w:rFonts w:ascii="Arial" w:cs="Arial" w:eastAsia="Arial" w:hAnsi="Arial"/>
                <w:sz w:val="15"/>
                <w:szCs w:val="15"/>
                <w:color w:val="58595B"/>
              </w:rPr>
              <w:t>Restricted Stock</w:t>
            </w: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right w:val="single" w:sz="8" w:color="58595B"/>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Borders>
              <w:right w:val="single" w:sz="8" w:color="58595B"/>
            </w:tcBorders>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58595B"/>
            </w:tcBorders>
            <w:vMerge w:val="continue"/>
          </w:tcPr>
          <w:p>
            <w:pPr>
              <w:spacing w:after="0"/>
              <w:rPr>
                <w:sz w:val="9"/>
                <w:szCs w:val="9"/>
                <w:color w:val="auto"/>
              </w:rPr>
            </w:pPr>
          </w:p>
        </w:tc>
        <w:tc>
          <w:tcPr>
            <w:tcW w:w="880" w:type="dxa"/>
            <w:vAlign w:val="bottom"/>
            <w:tcBorders>
              <w:right w:val="single" w:sz="8" w:color="58595B"/>
            </w:tcBorders>
            <w:vMerge w:val="continue"/>
          </w:tcPr>
          <w:p>
            <w:pPr>
              <w:spacing w:after="0"/>
              <w:rPr>
                <w:sz w:val="9"/>
                <w:szCs w:val="9"/>
                <w:color w:val="auto"/>
              </w:rPr>
            </w:pPr>
          </w:p>
        </w:tc>
        <w:tc>
          <w:tcPr>
            <w:tcW w:w="90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58595B"/>
              <w:right w:val="single" w:sz="8" w:color="58595B"/>
            </w:tcBorders>
            <w:shd w:val="clear" w:color="auto" w:fill="859BB6"/>
          </w:tcPr>
          <w:p>
            <w:pPr>
              <w:spacing w:after="0"/>
              <w:rPr>
                <w:sz w:val="7"/>
                <w:szCs w:val="7"/>
                <w:color w:val="auto"/>
              </w:rPr>
            </w:pPr>
          </w:p>
        </w:tc>
        <w:tc>
          <w:tcPr>
            <w:tcW w:w="1020" w:type="dxa"/>
            <w:vAlign w:val="bottom"/>
            <w:tcBorders>
              <w:right w:val="single" w:sz="8" w:color="58595B"/>
            </w:tcBorders>
          </w:tcPr>
          <w:p>
            <w:pPr>
              <w:spacing w:after="0"/>
              <w:rPr>
                <w:sz w:val="7"/>
                <w:szCs w:val="7"/>
                <w:color w:val="auto"/>
              </w:rPr>
            </w:pPr>
          </w:p>
        </w:tc>
        <w:tc>
          <w:tcPr>
            <w:tcW w:w="2040" w:type="dxa"/>
            <w:vAlign w:val="bottom"/>
            <w:tcBorders>
              <w:right w:val="single" w:sz="8" w:color="58595B"/>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right w:val="single" w:sz="8" w:color="58595B"/>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right w:val="single" w:sz="8" w:color="58595B"/>
            </w:tcBorders>
          </w:tcPr>
          <w:p>
            <w:pPr>
              <w:spacing w:after="0"/>
              <w:rPr>
                <w:sz w:val="7"/>
                <w:szCs w:val="7"/>
                <w:color w:val="auto"/>
              </w:rPr>
            </w:pPr>
          </w:p>
        </w:tc>
        <w:tc>
          <w:tcPr>
            <w:tcW w:w="880" w:type="dxa"/>
            <w:vAlign w:val="bottom"/>
            <w:tcBorders>
              <w:right w:val="single" w:sz="8" w:color="58595B"/>
            </w:tcBorders>
          </w:tcPr>
          <w:p>
            <w:pPr>
              <w:spacing w:after="0"/>
              <w:rPr>
                <w:sz w:val="7"/>
                <w:szCs w:val="7"/>
                <w:color w:val="auto"/>
              </w:rPr>
            </w:pPr>
          </w:p>
        </w:tc>
        <w:tc>
          <w:tcPr>
            <w:tcW w:w="90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859BB6"/>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58595B"/>
              <w:right w:val="single" w:sz="8" w:color="58595B"/>
            </w:tcBorders>
            <w:shd w:val="clear" w:color="auto" w:fill="859BB6"/>
          </w:tcPr>
          <w:p>
            <w:pPr>
              <w:spacing w:after="0"/>
              <w:rPr>
                <w:sz w:val="21"/>
                <w:szCs w:val="21"/>
                <w:color w:val="auto"/>
              </w:rPr>
            </w:pPr>
          </w:p>
        </w:tc>
        <w:tc>
          <w:tcPr>
            <w:tcW w:w="10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4/14/2025</w:t>
            </w:r>
          </w:p>
        </w:tc>
        <w:tc>
          <w:tcPr>
            <w:tcW w:w="2040" w:type="dxa"/>
            <w:vAlign w:val="bottom"/>
            <w:tcBorders>
              <w:right w:val="single" w:sz="8" w:color="58595B"/>
            </w:tcBorders>
          </w:tcPr>
          <w:p>
            <w:pPr>
              <w:ind w:left="40"/>
              <w:spacing w:after="0"/>
              <w:rPr>
                <w:sz w:val="20"/>
                <w:szCs w:val="20"/>
                <w:color w:val="auto"/>
              </w:rPr>
            </w:pPr>
            <w:r>
              <w:rPr>
                <w:rFonts w:ascii="Arial" w:cs="Arial" w:eastAsia="Arial" w:hAnsi="Arial"/>
                <w:sz w:val="15"/>
                <w:szCs w:val="15"/>
                <w:color w:val="58595B"/>
              </w:rPr>
              <w:t>Annual Incentive Plan</w:t>
            </w:r>
          </w:p>
        </w:tc>
        <w:tc>
          <w:tcPr>
            <w:tcW w:w="800" w:type="dxa"/>
            <w:vAlign w:val="bottom"/>
          </w:tcPr>
          <w:p>
            <w:pPr>
              <w:jc w:val="center"/>
              <w:spacing w:after="0"/>
              <w:rPr>
                <w:sz w:val="20"/>
                <w:szCs w:val="20"/>
                <w:color w:val="auto"/>
              </w:rPr>
            </w:pPr>
            <w:r>
              <w:rPr>
                <w:rFonts w:ascii="Arial" w:cs="Arial" w:eastAsia="Arial" w:hAnsi="Arial"/>
                <w:sz w:val="15"/>
                <w:szCs w:val="15"/>
                <w:color w:val="58595B"/>
                <w:w w:val="99"/>
              </w:rPr>
              <w:t>$299,250</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$598,500</w:t>
            </w:r>
          </w:p>
        </w:tc>
        <w:tc>
          <w:tcPr>
            <w:tcW w:w="60" w:type="dxa"/>
            <w:vAlign w:val="bottom"/>
          </w:tcPr>
          <w:p>
            <w:pPr>
              <w:spacing w:after="0"/>
              <w:rPr>
                <w:sz w:val="21"/>
                <w:szCs w:val="21"/>
                <w:color w:val="auto"/>
              </w:rPr>
            </w:pPr>
          </w:p>
        </w:tc>
        <w:tc>
          <w:tcPr>
            <w:tcW w:w="840" w:type="dxa"/>
            <w:vAlign w:val="bottom"/>
            <w:tcBorders>
              <w:right w:val="single" w:sz="8" w:color="58595B"/>
            </w:tcBorders>
          </w:tcPr>
          <w:p>
            <w:pPr>
              <w:jc w:val="center"/>
              <w:ind w:right="26"/>
              <w:spacing w:after="0"/>
              <w:rPr>
                <w:sz w:val="20"/>
                <w:szCs w:val="20"/>
                <w:color w:val="auto"/>
              </w:rPr>
            </w:pPr>
            <w:r>
              <w:rPr>
                <w:rFonts w:ascii="Arial" w:cs="Arial" w:eastAsia="Arial" w:hAnsi="Arial"/>
                <w:sz w:val="15"/>
                <w:szCs w:val="15"/>
                <w:color w:val="58595B"/>
                <w:w w:val="98"/>
              </w:rPr>
              <w:t>$1,197,000</w:t>
            </w:r>
          </w:p>
        </w:tc>
        <w:tc>
          <w:tcPr>
            <w:tcW w:w="800" w:type="dxa"/>
            <w:vAlign w:val="bottom"/>
          </w:tcPr>
          <w:p>
            <w:pPr>
              <w:jc w:val="center"/>
              <w:spacing w:after="0"/>
              <w:rPr>
                <w:sz w:val="20"/>
                <w:szCs w:val="20"/>
                <w:color w:val="auto"/>
              </w:rPr>
            </w:pPr>
            <w:r>
              <w:rPr>
                <w:rFonts w:ascii="Arial" w:cs="Arial" w:eastAsia="Arial" w:hAnsi="Arial"/>
                <w:sz w:val="15"/>
                <w:szCs w:val="15"/>
                <w:color w:val="58595B"/>
                <w:w w:val="93"/>
              </w:rPr>
              <w:t>—</w:t>
            </w:r>
          </w:p>
        </w:tc>
        <w:tc>
          <w:tcPr>
            <w:tcW w:w="100" w:type="dxa"/>
            <w:vAlign w:val="bottom"/>
            <w:tcBorders>
              <w:right w:val="single" w:sz="8" w:color="58595B"/>
            </w:tcBorders>
          </w:tcPr>
          <w:p>
            <w:pPr>
              <w:spacing w:after="0"/>
              <w:rPr>
                <w:sz w:val="21"/>
                <w:szCs w:val="21"/>
                <w:color w:val="auto"/>
              </w:rPr>
            </w:pP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60" w:type="dxa"/>
            <w:vAlign w:val="bottom"/>
          </w:tcPr>
          <w:p>
            <w:pPr>
              <w:spacing w:after="0"/>
              <w:rPr>
                <w:sz w:val="21"/>
                <w:szCs w:val="21"/>
                <w:color w:val="auto"/>
              </w:rPr>
            </w:pPr>
          </w:p>
        </w:tc>
        <w:tc>
          <w:tcPr>
            <w:tcW w:w="820" w:type="dxa"/>
            <w:vAlign w:val="bottom"/>
            <w:tcBorders>
              <w:right w:val="single" w:sz="8" w:color="58595B"/>
            </w:tcBorders>
          </w:tcPr>
          <w:p>
            <w:pPr>
              <w:jc w:val="center"/>
              <w:ind w:right="6"/>
              <w:spacing w:after="0"/>
              <w:rPr>
                <w:sz w:val="20"/>
                <w:szCs w:val="20"/>
                <w:color w:val="auto"/>
              </w:rPr>
            </w:pPr>
            <w:r>
              <w:rPr>
                <w:rFonts w:ascii="Arial" w:cs="Arial" w:eastAsia="Arial" w:hAnsi="Arial"/>
                <w:sz w:val="15"/>
                <w:szCs w:val="15"/>
                <w:color w:val="58595B"/>
                <w:w w:val="93"/>
              </w:rPr>
              <w:t>—</w:t>
            </w:r>
          </w:p>
        </w:tc>
        <w:tc>
          <w:tcPr>
            <w:tcW w:w="8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9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65"/>
        </w:trPr>
        <w:tc>
          <w:tcPr>
            <w:tcW w:w="1040" w:type="dxa"/>
            <w:vAlign w:val="bottom"/>
            <w:tcBorders>
              <w:left w:val="single" w:sz="8" w:color="58595B"/>
              <w:bottom w:val="single" w:sz="8" w:color="58595B"/>
              <w:right w:val="single" w:sz="8" w:color="58595B"/>
            </w:tcBorders>
            <w:shd w:val="clear" w:color="auto" w:fill="859BB6"/>
          </w:tcPr>
          <w:p>
            <w:pPr>
              <w:spacing w:after="0"/>
              <w:rPr>
                <w:sz w:val="5"/>
                <w:szCs w:val="5"/>
                <w:color w:val="auto"/>
              </w:rPr>
            </w:pPr>
          </w:p>
        </w:tc>
        <w:tc>
          <w:tcPr>
            <w:tcW w:w="1020" w:type="dxa"/>
            <w:vAlign w:val="bottom"/>
            <w:tcBorders>
              <w:bottom w:val="single" w:sz="8" w:color="58595B"/>
              <w:right w:val="single" w:sz="8" w:color="58595B"/>
            </w:tcBorders>
          </w:tcPr>
          <w:p>
            <w:pPr>
              <w:spacing w:after="0"/>
              <w:rPr>
                <w:sz w:val="5"/>
                <w:szCs w:val="5"/>
                <w:color w:val="auto"/>
              </w:rPr>
            </w:pPr>
          </w:p>
        </w:tc>
        <w:tc>
          <w:tcPr>
            <w:tcW w:w="20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800" w:type="dxa"/>
            <w:vAlign w:val="bottom"/>
            <w:tcBorders>
              <w:bottom w:val="single" w:sz="8" w:color="58595B"/>
            </w:tcBorders>
          </w:tcPr>
          <w:p>
            <w:pPr>
              <w:spacing w:after="0"/>
              <w:rPr>
                <w:sz w:val="5"/>
                <w:szCs w:val="5"/>
                <w:color w:val="auto"/>
              </w:rPr>
            </w:pPr>
          </w:p>
        </w:tc>
        <w:tc>
          <w:tcPr>
            <w:tcW w:w="10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60" w:type="dxa"/>
            <w:vAlign w:val="bottom"/>
            <w:tcBorders>
              <w:bottom w:val="single" w:sz="8" w:color="58595B"/>
            </w:tcBorders>
          </w:tcPr>
          <w:p>
            <w:pPr>
              <w:spacing w:after="0"/>
              <w:rPr>
                <w:sz w:val="5"/>
                <w:szCs w:val="5"/>
                <w:color w:val="auto"/>
              </w:rPr>
            </w:pPr>
          </w:p>
        </w:tc>
        <w:tc>
          <w:tcPr>
            <w:tcW w:w="820" w:type="dxa"/>
            <w:vAlign w:val="bottom"/>
            <w:tcBorders>
              <w:bottom w:val="single" w:sz="8" w:color="58595B"/>
              <w:right w:val="single" w:sz="8" w:color="58595B"/>
            </w:tcBorders>
          </w:tcPr>
          <w:p>
            <w:pPr>
              <w:spacing w:after="0"/>
              <w:rPr>
                <w:sz w:val="5"/>
                <w:szCs w:val="5"/>
                <w:color w:val="auto"/>
              </w:rPr>
            </w:pPr>
          </w:p>
        </w:tc>
        <w:tc>
          <w:tcPr>
            <w:tcW w:w="880" w:type="dxa"/>
            <w:vAlign w:val="bottom"/>
            <w:tcBorders>
              <w:bottom w:val="single" w:sz="8" w:color="58595B"/>
              <w:right w:val="single" w:sz="8" w:color="58595B"/>
            </w:tcBorders>
          </w:tcPr>
          <w:p>
            <w:pPr>
              <w:spacing w:after="0"/>
              <w:rPr>
                <w:sz w:val="5"/>
                <w:szCs w:val="5"/>
                <w:color w:val="auto"/>
              </w:rPr>
            </w:pPr>
          </w:p>
        </w:tc>
        <w:tc>
          <w:tcPr>
            <w:tcW w:w="90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519430</wp:posOffset>
            </wp:positionV>
            <wp:extent cx="7620" cy="128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20" cy="1283335"/>
                    </a:xfrm>
                    <a:prstGeom prst="rect">
                      <a:avLst/>
                    </a:prstGeom>
                    <a:noFill/>
                  </pic:spPr>
                </pic:pic>
              </a:graphicData>
            </a:graphic>
          </wp:anchor>
        </w:drawing>
        <w:drawing>
          <wp:anchor simplePos="0" relativeHeight="251657728" behindDoc="1" locked="0" layoutInCell="0" allowOverlap="1">
            <wp:simplePos x="0" y="0"/>
            <wp:positionH relativeFrom="page">
              <wp:posOffset>4505960</wp:posOffset>
            </wp:positionH>
            <wp:positionV relativeFrom="page">
              <wp:posOffset>519430</wp:posOffset>
            </wp:positionV>
            <wp:extent cx="7620" cy="128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 cy="128333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-2002790</wp:posOffset>
            </wp:positionV>
            <wp:extent cx="7620" cy="8293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-2002790</wp:posOffset>
            </wp:positionV>
            <wp:extent cx="7620" cy="8293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-2002790</wp:posOffset>
            </wp:positionV>
            <wp:extent cx="7620" cy="8293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-2002790</wp:posOffset>
            </wp:positionV>
            <wp:extent cx="7620" cy="829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-2002790</wp:posOffset>
            </wp:positionV>
            <wp:extent cx="7620" cy="8293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-2002790</wp:posOffset>
            </wp:positionV>
            <wp:extent cx="7620" cy="8293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 cy="8293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-2002790</wp:posOffset>
            </wp:positionV>
            <wp:extent cx="7620" cy="8293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 cy="829310"/>
                    </a:xfrm>
                    <a:prstGeom prst="rect">
                      <a:avLst/>
                    </a:prstGeom>
                    <a:noFill/>
                  </pic:spPr>
                </pic:pic>
              </a:graphicData>
            </a:graphic>
          </wp:anchor>
        </w:drawing>
      </w:r>
    </w:p>
    <w:p>
      <w:pPr>
        <w:spacing w:after="0" w:line="157" w:lineRule="exact"/>
        <w:rPr>
          <w:sz w:val="20"/>
          <w:szCs w:val="20"/>
          <w:color w:val="auto"/>
        </w:rPr>
      </w:pPr>
    </w:p>
    <w:p>
      <w:pPr>
        <w:ind w:left="1080" w:hanging="293"/>
        <w:spacing w:after="0"/>
        <w:tabs>
          <w:tab w:leader="none" w:pos="1080" w:val="left"/>
        </w:tabs>
        <w:numPr>
          <w:ilvl w:val="0"/>
          <w:numId w:val="54"/>
        </w:numPr>
        <w:rPr>
          <w:rFonts w:ascii="Arial" w:cs="Arial" w:eastAsia="Arial" w:hAnsi="Arial"/>
          <w:sz w:val="13"/>
          <w:szCs w:val="13"/>
          <w:color w:val="58595B"/>
        </w:rPr>
      </w:pPr>
      <w:r>
        <w:rPr>
          <w:rFonts w:ascii="Arial" w:cs="Arial" w:eastAsia="Arial" w:hAnsi="Arial"/>
          <w:sz w:val="13"/>
          <w:szCs w:val="13"/>
          <w:color w:val="58595B"/>
        </w:rPr>
        <w:t>With respect to the annual incentive plan, the amount shown in column (D) is 50% of the target amount shown in column (E), and the amount shown in column</w:t>
      </w:r>
    </w:p>
    <w:p>
      <w:pPr>
        <w:spacing w:after="0" w:line="10" w:lineRule="exact"/>
        <w:rPr>
          <w:rFonts w:ascii="Arial" w:cs="Arial" w:eastAsia="Arial" w:hAnsi="Arial"/>
          <w:sz w:val="13"/>
          <w:szCs w:val="13"/>
          <w:color w:val="58595B"/>
        </w:rPr>
      </w:pPr>
    </w:p>
    <w:p>
      <w:pPr>
        <w:ind w:left="1280" w:hanging="197"/>
        <w:spacing w:after="0"/>
        <w:tabs>
          <w:tab w:leader="none" w:pos="1280" w:val="left"/>
        </w:tabs>
        <w:numPr>
          <w:ilvl w:val="1"/>
          <w:numId w:val="54"/>
        </w:numPr>
        <w:rPr>
          <w:rFonts w:ascii="Arial" w:cs="Arial" w:eastAsia="Arial" w:hAnsi="Arial"/>
          <w:sz w:val="13"/>
          <w:szCs w:val="13"/>
          <w:color w:val="58595B"/>
        </w:rPr>
      </w:pPr>
      <w:r>
        <w:rPr>
          <w:rFonts w:ascii="Arial" w:cs="Arial" w:eastAsia="Arial" w:hAnsi="Arial"/>
          <w:sz w:val="13"/>
          <w:szCs w:val="13"/>
          <w:color w:val="58595B"/>
        </w:rPr>
        <w:t>is 200% of the target amount shown in column (E).</w:t>
      </w:r>
    </w:p>
    <w:p>
      <w:pPr>
        <w:spacing w:after="0" w:line="97" w:lineRule="exact"/>
        <w:rPr>
          <w:rFonts w:ascii="Arial" w:cs="Arial" w:eastAsia="Arial" w:hAnsi="Arial"/>
          <w:sz w:val="13"/>
          <w:szCs w:val="13"/>
          <w:color w:val="58595B"/>
        </w:rPr>
      </w:pPr>
    </w:p>
    <w:p>
      <w:pPr>
        <w:ind w:left="1080" w:right="1000" w:hanging="293"/>
        <w:spacing w:after="0" w:line="274" w:lineRule="auto"/>
        <w:tabs>
          <w:tab w:leader="none" w:pos="1080" w:val="left"/>
        </w:tabs>
        <w:numPr>
          <w:ilvl w:val="0"/>
          <w:numId w:val="54"/>
        </w:numPr>
        <w:rPr>
          <w:rFonts w:ascii="Arial" w:cs="Arial" w:eastAsia="Arial" w:hAnsi="Arial"/>
          <w:sz w:val="13"/>
          <w:szCs w:val="13"/>
          <w:color w:val="58595B"/>
        </w:rPr>
      </w:pPr>
      <w:r>
        <w:rPr>
          <w:rFonts w:ascii="Arial" w:cs="Arial" w:eastAsia="Arial" w:hAnsi="Arial"/>
          <w:sz w:val="13"/>
          <w:szCs w:val="13"/>
          <w:color w:val="58595B"/>
        </w:rPr>
        <w:t>The amounts shown in column (H) reflect the number of shares of performance-based restricted stock granted by FNF to each named executive officer under our omnibus plan.</w:t>
      </w:r>
    </w:p>
    <w:p>
      <w:pPr>
        <w:spacing w:after="0" w:line="65" w:lineRule="exact"/>
        <w:rPr>
          <w:rFonts w:ascii="Arial" w:cs="Arial" w:eastAsia="Arial" w:hAnsi="Arial"/>
          <w:sz w:val="13"/>
          <w:szCs w:val="13"/>
          <w:color w:val="58595B"/>
        </w:rPr>
      </w:pPr>
    </w:p>
    <w:p>
      <w:pPr>
        <w:ind w:left="1080" w:right="900" w:hanging="293"/>
        <w:spacing w:after="0" w:line="274" w:lineRule="auto"/>
        <w:tabs>
          <w:tab w:leader="none" w:pos="1080" w:val="left"/>
        </w:tabs>
        <w:numPr>
          <w:ilvl w:val="0"/>
          <w:numId w:val="54"/>
        </w:numPr>
        <w:rPr>
          <w:rFonts w:ascii="Arial" w:cs="Arial" w:eastAsia="Arial" w:hAnsi="Arial"/>
          <w:sz w:val="13"/>
          <w:szCs w:val="13"/>
          <w:color w:val="58595B"/>
        </w:rPr>
      </w:pPr>
      <w:r>
        <w:rPr>
          <w:rFonts w:ascii="Arial" w:cs="Arial" w:eastAsia="Arial" w:hAnsi="Arial"/>
          <w:sz w:val="13"/>
          <w:szCs w:val="13"/>
          <w:color w:val="58595B"/>
        </w:rPr>
        <w:t>The amounts in column (J) reflect time-based awards of F&amp;G restricted stock made by F&amp;G to Messrs. Nolan and Quirk for their services on F&amp;G’s board of directors. The F&amp;G restricted stock awards vest in equal installments over a period of three years on each anniversary of the applicable grant date.</w:t>
      </w:r>
    </w:p>
    <w:p>
      <w:pPr>
        <w:spacing w:after="0" w:line="65" w:lineRule="exact"/>
        <w:rPr>
          <w:rFonts w:ascii="Arial" w:cs="Arial" w:eastAsia="Arial" w:hAnsi="Arial"/>
          <w:sz w:val="13"/>
          <w:szCs w:val="13"/>
          <w:color w:val="58595B"/>
        </w:rPr>
      </w:pPr>
    </w:p>
    <w:p>
      <w:pPr>
        <w:ind w:left="1080" w:right="1060" w:hanging="293"/>
        <w:spacing w:after="0" w:line="274" w:lineRule="auto"/>
        <w:tabs>
          <w:tab w:leader="none" w:pos="1080" w:val="left"/>
        </w:tabs>
        <w:numPr>
          <w:ilvl w:val="0"/>
          <w:numId w:val="54"/>
        </w:numPr>
        <w:rPr>
          <w:rFonts w:ascii="Arial" w:cs="Arial" w:eastAsia="Arial" w:hAnsi="Arial"/>
          <w:sz w:val="13"/>
          <w:szCs w:val="13"/>
          <w:color w:val="58595B"/>
        </w:rPr>
      </w:pPr>
      <w:r>
        <w:rPr>
          <w:rFonts w:ascii="Arial" w:cs="Arial" w:eastAsia="Arial" w:hAnsi="Arial"/>
          <w:sz w:val="13"/>
          <w:szCs w:val="13"/>
          <w:color w:val="58595B"/>
        </w:rPr>
        <w:t>The amounts shown in column (K) represent the grant date fair value of each restricted stock award based upon a $55.45 per share grant date fair value of FNF common stock and a $32.63 per share grant date fair value of F&amp;G common stock.</w:t>
      </w:r>
    </w:p>
    <w:p>
      <w:pPr>
        <w:spacing w:after="0" w:line="124"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5E769B"/>
        </w:rPr>
        <w:t>OUTSTANDING EQUITY AWARDS AT FISCAL YEAR-END</w:t>
      </w:r>
    </w:p>
    <w:p>
      <w:pPr>
        <w:spacing w:after="0" w:line="193" w:lineRule="exact"/>
        <w:rPr>
          <w:sz w:val="20"/>
          <w:szCs w:val="20"/>
          <w:color w:val="auto"/>
        </w:rPr>
      </w:pPr>
    </w:p>
    <w:p>
      <w:pPr>
        <w:ind w:left="780" w:right="900"/>
        <w:spacing w:after="0" w:line="266" w:lineRule="auto"/>
        <w:rPr>
          <w:sz w:val="20"/>
          <w:szCs w:val="20"/>
          <w:color w:val="auto"/>
        </w:rPr>
      </w:pPr>
      <w:r>
        <w:rPr>
          <w:rFonts w:ascii="Arial" w:cs="Arial" w:eastAsia="Arial" w:hAnsi="Arial"/>
          <w:sz w:val="18"/>
          <w:szCs w:val="18"/>
          <w:color w:val="58595B"/>
        </w:rPr>
        <w:t>The following table sets forth certain information with respect to outstanding equity awards held by our named executive officers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56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58595B"/>
            </w:tcBorders>
          </w:tcPr>
          <w:p>
            <w:pPr>
              <w:spacing w:after="0"/>
              <w:rPr>
                <w:sz w:val="24"/>
                <w:szCs w:val="24"/>
                <w:color w:val="auto"/>
              </w:rPr>
            </w:pPr>
          </w:p>
        </w:tc>
        <w:tc>
          <w:tcPr>
            <w:tcW w:w="4380" w:type="dxa"/>
            <w:vAlign w:val="bottom"/>
            <w:tcBorders>
              <w:bottom w:val="single" w:sz="8" w:color="58595B"/>
            </w:tcBorders>
          </w:tcPr>
          <w:p>
            <w:pPr>
              <w:spacing w:after="0"/>
              <w:rPr>
                <w:sz w:val="24"/>
                <w:szCs w:val="24"/>
                <w:color w:val="auto"/>
              </w:rPr>
            </w:pPr>
          </w:p>
        </w:tc>
      </w:tr>
    </w:tbl>
    <w:p>
      <w:pPr>
        <w:sectPr>
          <w:pgSz w:w="11900" w:h="16838" w:orient="portrait"/>
          <w:cols w:equalWidth="0" w:num="1">
            <w:col w:w="11240"/>
          </w:cols>
          <w:pgMar w:left="320" w:top="797" w:right="339" w:bottom="1440" w:gutter="0" w:footer="0" w:header="0"/>
        </w:sectPr>
      </w:pPr>
    </w:p>
    <w:bookmarkStart w:id="60" w:name="page61"/>
    <w:bookmarkEnd w:id="60"/>
    <w:p>
      <w:pPr>
        <w:spacing w:after="0" w:line="1" w:lineRule="exact"/>
        <w:rPr>
          <w:sz w:val="20"/>
          <w:szCs w:val="20"/>
          <w:color w:val="auto"/>
        </w:rPr>
      </w:pPr>
    </w:p>
    <w:tbl>
      <w:tblPr>
        <w:tblLayout w:type="fixed"/>
        <w:tblInd w:w="830" w:type="dxa"/>
        <w:tblCellMar>
          <w:top w:w="0" w:type="dxa"/>
          <w:left w:w="0" w:type="dxa"/>
          <w:bottom w:w="0" w:type="dxa"/>
          <w:right w:w="0" w:type="dxa"/>
        </w:tblCellMar>
      </w:tblPr>
      <w:tr>
        <w:trPr>
          <w:trHeight w:val="345"/>
        </w:trPr>
        <w:tc>
          <w:tcPr>
            <w:tcW w:w="1820" w:type="dxa"/>
            <w:vAlign w:val="bottom"/>
          </w:tcPr>
          <w:p>
            <w:pPr>
              <w:spacing w:after="0"/>
              <w:rPr>
                <w:sz w:val="24"/>
                <w:szCs w:val="24"/>
                <w:color w:val="auto"/>
              </w:rPr>
            </w:pPr>
          </w:p>
        </w:tc>
        <w:tc>
          <w:tcPr>
            <w:tcW w:w="1260" w:type="dxa"/>
            <w:vAlign w:val="bottom"/>
            <w:tcBorders>
              <w:right w:val="single" w:sz="8" w:color="58595B"/>
            </w:tcBorders>
          </w:tcPr>
          <w:p>
            <w:pPr>
              <w:spacing w:after="0"/>
              <w:rPr>
                <w:sz w:val="24"/>
                <w:szCs w:val="24"/>
                <w:color w:val="auto"/>
              </w:rPr>
            </w:pPr>
          </w:p>
        </w:tc>
        <w:tc>
          <w:tcPr>
            <w:tcW w:w="1260" w:type="dxa"/>
            <w:vAlign w:val="bottom"/>
            <w:tcBorders>
              <w:top w:val="single" w:sz="8" w:color="58595B"/>
              <w:right w:val="single" w:sz="8" w:color="8A9DBB"/>
            </w:tcBorders>
            <w:shd w:val="clear" w:color="auto" w:fill="8A9DBB"/>
          </w:tcPr>
          <w:p>
            <w:pPr>
              <w:spacing w:after="0"/>
              <w:rPr>
                <w:sz w:val="24"/>
                <w:szCs w:val="24"/>
                <w:color w:val="auto"/>
              </w:rPr>
            </w:pPr>
          </w:p>
        </w:tc>
        <w:tc>
          <w:tcPr>
            <w:tcW w:w="1080" w:type="dxa"/>
            <w:vAlign w:val="bottom"/>
            <w:tcBorders>
              <w:top w:val="single" w:sz="8" w:color="58595B"/>
            </w:tcBorders>
            <w:shd w:val="clear" w:color="auto" w:fill="8A9DBB"/>
          </w:tcPr>
          <w:p>
            <w:pPr>
              <w:spacing w:after="0"/>
              <w:rPr>
                <w:sz w:val="24"/>
                <w:szCs w:val="24"/>
                <w:color w:val="auto"/>
              </w:rPr>
            </w:pPr>
          </w:p>
        </w:tc>
        <w:tc>
          <w:tcPr>
            <w:tcW w:w="1980" w:type="dxa"/>
            <w:vAlign w:val="bottom"/>
            <w:tcBorders>
              <w:top w:val="single" w:sz="8" w:color="58595B"/>
              <w:right w:val="single" w:sz="8" w:color="8A9DBB"/>
            </w:tcBorders>
            <w:gridSpan w:val="2"/>
            <w:shd w:val="clear" w:color="auto" w:fill="8A9DBB"/>
          </w:tcPr>
          <w:p>
            <w:pPr>
              <w:ind w:left="40"/>
              <w:spacing w:after="0"/>
              <w:rPr>
                <w:sz w:val="20"/>
                <w:szCs w:val="20"/>
                <w:color w:val="auto"/>
              </w:rPr>
            </w:pPr>
            <w:r>
              <w:rPr>
                <w:rFonts w:ascii="Arial" w:cs="Arial" w:eastAsia="Arial" w:hAnsi="Arial"/>
                <w:sz w:val="15"/>
                <w:szCs w:val="15"/>
                <w:b w:val="1"/>
                <w:bCs w:val="1"/>
                <w:color w:val="FFFFFF"/>
              </w:rPr>
              <w:t>Stock Awards</w:t>
            </w:r>
            <w:r>
              <w:rPr>
                <w:rFonts w:ascii="Arial" w:cs="Arial" w:eastAsia="Arial" w:hAnsi="Arial"/>
                <w:sz w:val="24"/>
                <w:szCs w:val="24"/>
                <w:b w:val="1"/>
                <w:bCs w:val="1"/>
                <w:color w:val="FFFFFF"/>
                <w:vertAlign w:val="superscript"/>
              </w:rPr>
              <w:t>1,2</w:t>
            </w:r>
          </w:p>
        </w:tc>
        <w:tc>
          <w:tcPr>
            <w:tcW w:w="1600" w:type="dxa"/>
            <w:vAlign w:val="bottom"/>
            <w:tcBorders>
              <w:top w:val="single" w:sz="8" w:color="58595B"/>
              <w:right w:val="single" w:sz="8" w:color="58595B"/>
            </w:tcBorders>
            <w:shd w:val="clear" w:color="auto" w:fill="8A9DBB"/>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20" w:type="dxa"/>
            <w:vAlign w:val="bottom"/>
            <w:tcBorders>
              <w:left w:val="single" w:sz="8" w:color="58595B"/>
              <w:right w:val="single" w:sz="8" w:color="58595B"/>
            </w:tcBorders>
            <w:shd w:val="clear" w:color="auto" w:fill="264F78"/>
          </w:tcPr>
          <w:p>
            <w:pPr>
              <w:spacing w:after="0"/>
              <w:rPr>
                <w:sz w:val="24"/>
                <w:szCs w:val="24"/>
                <w:color w:val="auto"/>
              </w:rPr>
            </w:pPr>
          </w:p>
        </w:tc>
        <w:tc>
          <w:tcPr>
            <w:tcW w:w="1260" w:type="dxa"/>
            <w:vAlign w:val="bottom"/>
            <w:tcBorders>
              <w:right w:val="single" w:sz="8" w:color="58595B"/>
            </w:tcBorders>
            <w:shd w:val="clear" w:color="auto" w:fill="264F78"/>
          </w:tcPr>
          <w:p>
            <w:pPr>
              <w:spacing w:after="0"/>
              <w:rPr>
                <w:sz w:val="24"/>
                <w:szCs w:val="24"/>
                <w:color w:val="auto"/>
              </w:rPr>
            </w:pPr>
          </w:p>
        </w:tc>
        <w:tc>
          <w:tcPr>
            <w:tcW w:w="1260" w:type="dxa"/>
            <w:vAlign w:val="bottom"/>
            <w:tcBorders>
              <w:right w:val="single" w:sz="8" w:color="58595B"/>
            </w:tcBorders>
            <w:shd w:val="clear" w:color="auto" w:fill="264F78"/>
          </w:tcPr>
          <w:p>
            <w:pPr>
              <w:spacing w:after="0"/>
              <w:rPr>
                <w:sz w:val="24"/>
                <w:szCs w:val="24"/>
                <w:color w:val="auto"/>
              </w:rPr>
            </w:pPr>
          </w:p>
        </w:tc>
        <w:tc>
          <w:tcPr>
            <w:tcW w:w="1080" w:type="dxa"/>
            <w:vAlign w:val="bottom"/>
            <w:shd w:val="clear" w:color="auto" w:fill="264F78"/>
          </w:tcPr>
          <w:p>
            <w:pPr>
              <w:spacing w:after="0"/>
              <w:rPr>
                <w:sz w:val="24"/>
                <w:szCs w:val="24"/>
                <w:color w:val="auto"/>
              </w:rPr>
            </w:pPr>
          </w:p>
        </w:tc>
        <w:tc>
          <w:tcPr>
            <w:tcW w:w="360" w:type="dxa"/>
            <w:vAlign w:val="bottom"/>
            <w:tcBorders>
              <w:right w:val="single" w:sz="8" w:color="58595B"/>
            </w:tcBorders>
            <w:shd w:val="clear" w:color="auto" w:fill="264F78"/>
          </w:tcPr>
          <w:p>
            <w:pPr>
              <w:spacing w:after="0"/>
              <w:rPr>
                <w:sz w:val="24"/>
                <w:szCs w:val="24"/>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Equity Incentive</w:t>
            </w:r>
          </w:p>
        </w:tc>
        <w:tc>
          <w:tcPr>
            <w:tcW w:w="1600" w:type="dxa"/>
            <w:vAlign w:val="bottom"/>
            <w:tcBorders>
              <w:right w:val="single" w:sz="8" w:color="58595B"/>
            </w:tcBorders>
            <w:shd w:val="clear" w:color="auto" w:fill="264F78"/>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Market</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Plan Awards:</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Equity Incentive</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Value of</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Number of</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Plan Awards:</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Number of</w:t>
            </w: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Shares or</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Unearned</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Market or Payout</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Shares or</w:t>
            </w: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Units of</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Shares, Units</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Value of Unearned</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Units of Stock</w:t>
            </w: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Stock That</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or Other Rights</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Shares, Units or</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That Have</w:t>
            </w: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Have Not</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That Have Not</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Other Rights That</w:t>
            </w:r>
          </w:p>
        </w:tc>
        <w:tc>
          <w:tcPr>
            <w:tcW w:w="0" w:type="dxa"/>
            <w:vAlign w:val="bottom"/>
          </w:tcPr>
          <w:p>
            <w:pPr>
              <w:spacing w:after="0"/>
              <w:rPr>
                <w:sz w:val="1"/>
                <w:szCs w:val="1"/>
                <w:color w:val="auto"/>
              </w:rPr>
            </w:pPr>
          </w:p>
        </w:tc>
      </w:tr>
      <w:tr>
        <w:trPr>
          <w:trHeight w:val="185"/>
        </w:trPr>
        <w:tc>
          <w:tcPr>
            <w:tcW w:w="1820" w:type="dxa"/>
            <w:vAlign w:val="bottom"/>
            <w:tcBorders>
              <w:left w:val="single" w:sz="8" w:color="58595B"/>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spacing w:after="0"/>
              <w:rPr>
                <w:sz w:val="16"/>
                <w:szCs w:val="16"/>
                <w:color w:val="auto"/>
              </w:rPr>
            </w:pPr>
          </w:p>
        </w:tc>
        <w:tc>
          <w:tcPr>
            <w:tcW w:w="1260" w:type="dxa"/>
            <w:vAlign w:val="bottom"/>
            <w:tcBorders>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Not Vested</w:t>
            </w:r>
          </w:p>
        </w:tc>
        <w:tc>
          <w:tcPr>
            <w:tcW w:w="1080" w:type="dxa"/>
            <w:vAlign w:val="bottom"/>
            <w:shd w:val="clear" w:color="auto" w:fill="264F78"/>
          </w:tcPr>
          <w:p>
            <w:pPr>
              <w:ind w:left="40"/>
              <w:spacing w:after="0"/>
              <w:rPr>
                <w:sz w:val="20"/>
                <w:szCs w:val="20"/>
                <w:color w:val="auto"/>
              </w:rPr>
            </w:pPr>
            <w:r>
              <w:rPr>
                <w:rFonts w:ascii="Arial" w:cs="Arial" w:eastAsia="Arial" w:hAnsi="Arial"/>
                <w:sz w:val="16"/>
                <w:szCs w:val="16"/>
                <w:b w:val="1"/>
                <w:bCs w:val="1"/>
                <w:color w:val="FFFFFF"/>
              </w:rPr>
              <w:t>Vested</w:t>
            </w:r>
          </w:p>
        </w:tc>
        <w:tc>
          <w:tcPr>
            <w:tcW w:w="360" w:type="dxa"/>
            <w:vAlign w:val="bottom"/>
            <w:tcBorders>
              <w:right w:val="single" w:sz="8" w:color="58595B"/>
            </w:tcBorders>
            <w:shd w:val="clear" w:color="auto" w:fill="264F78"/>
          </w:tcPr>
          <w:p>
            <w:pPr>
              <w:spacing w:after="0"/>
              <w:rPr>
                <w:sz w:val="16"/>
                <w:szCs w:val="16"/>
                <w:color w:val="auto"/>
              </w:rPr>
            </w:pPr>
          </w:p>
        </w:tc>
        <w:tc>
          <w:tcPr>
            <w:tcW w:w="162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Vested</w:t>
            </w:r>
          </w:p>
        </w:tc>
        <w:tc>
          <w:tcPr>
            <w:tcW w:w="1600" w:type="dxa"/>
            <w:vAlign w:val="bottom"/>
            <w:tcBorders>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Have Not Vested</w:t>
            </w:r>
          </w:p>
        </w:tc>
        <w:tc>
          <w:tcPr>
            <w:tcW w:w="0" w:type="dxa"/>
            <w:vAlign w:val="bottom"/>
          </w:tcPr>
          <w:p>
            <w:pPr>
              <w:spacing w:after="0"/>
              <w:rPr>
                <w:sz w:val="1"/>
                <w:szCs w:val="1"/>
                <w:color w:val="auto"/>
              </w:rPr>
            </w:pPr>
          </w:p>
        </w:tc>
      </w:tr>
      <w:tr>
        <w:trPr>
          <w:trHeight w:val="256"/>
        </w:trPr>
        <w:tc>
          <w:tcPr>
            <w:tcW w:w="1820" w:type="dxa"/>
            <w:vAlign w:val="bottom"/>
            <w:tcBorders>
              <w:left w:val="single" w:sz="8" w:color="58595B"/>
              <w:bottom w:val="single" w:sz="8" w:color="264F78"/>
              <w:right w:val="single" w:sz="8" w:color="58595B"/>
            </w:tcBorders>
            <w:shd w:val="clear" w:color="auto" w:fill="264F78"/>
          </w:tcPr>
          <w:p>
            <w:pPr>
              <w:jc w:val="center"/>
              <w:spacing w:after="0"/>
              <w:rPr>
                <w:sz w:val="20"/>
                <w:szCs w:val="20"/>
                <w:color w:val="auto"/>
              </w:rPr>
            </w:pPr>
            <w:r>
              <w:rPr>
                <w:rFonts w:ascii="Arial" w:cs="Arial" w:eastAsia="Arial" w:hAnsi="Arial"/>
                <w:sz w:val="16"/>
                <w:szCs w:val="16"/>
                <w:b w:val="1"/>
                <w:bCs w:val="1"/>
                <w:color w:val="FFFFFF"/>
              </w:rPr>
              <w:t>Name</w:t>
            </w:r>
          </w:p>
        </w:tc>
        <w:tc>
          <w:tcPr>
            <w:tcW w:w="1260" w:type="dxa"/>
            <w:vAlign w:val="bottom"/>
            <w:tcBorders>
              <w:bottom w:val="single" w:sz="8" w:color="264F78"/>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Grant Date</w:t>
            </w:r>
          </w:p>
        </w:tc>
        <w:tc>
          <w:tcPr>
            <w:tcW w:w="1260" w:type="dxa"/>
            <w:vAlign w:val="bottom"/>
            <w:tcBorders>
              <w:bottom w:val="single" w:sz="8" w:color="264F78"/>
              <w:right w:val="single" w:sz="8" w:color="58595B"/>
            </w:tcBorders>
            <w:shd w:val="clear" w:color="auto" w:fill="264F78"/>
          </w:tcPr>
          <w:p>
            <w:pPr>
              <w:ind w:left="60"/>
              <w:spacing w:after="0"/>
              <w:rPr>
                <w:sz w:val="20"/>
                <w:szCs w:val="20"/>
                <w:color w:val="auto"/>
              </w:rPr>
            </w:pPr>
            <w:r>
              <w:rPr>
                <w:rFonts w:ascii="Arial" w:cs="Arial" w:eastAsia="Arial" w:hAnsi="Arial"/>
                <w:sz w:val="16"/>
                <w:szCs w:val="16"/>
                <w:b w:val="1"/>
                <w:bCs w:val="1"/>
                <w:color w:val="FFFFFF"/>
              </w:rPr>
              <w:t>(#)</w:t>
            </w:r>
          </w:p>
        </w:tc>
        <w:tc>
          <w:tcPr>
            <w:tcW w:w="1080" w:type="dxa"/>
            <w:vAlign w:val="bottom"/>
            <w:tcBorders>
              <w:bottom w:val="single" w:sz="8" w:color="264F78"/>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w:t>
            </w:r>
          </w:p>
        </w:tc>
        <w:tc>
          <w:tcPr>
            <w:tcW w:w="360" w:type="dxa"/>
            <w:vAlign w:val="bottom"/>
            <w:tcBorders>
              <w:bottom w:val="single" w:sz="8" w:color="264F78"/>
              <w:right w:val="single" w:sz="8" w:color="58595B"/>
            </w:tcBorders>
            <w:shd w:val="clear" w:color="auto" w:fill="264F78"/>
          </w:tcPr>
          <w:p>
            <w:pPr>
              <w:spacing w:after="0"/>
              <w:rPr>
                <w:sz w:val="22"/>
                <w:szCs w:val="22"/>
                <w:color w:val="auto"/>
              </w:rPr>
            </w:pPr>
          </w:p>
        </w:tc>
        <w:tc>
          <w:tcPr>
            <w:tcW w:w="1620" w:type="dxa"/>
            <w:vAlign w:val="bottom"/>
            <w:tcBorders>
              <w:bottom w:val="single" w:sz="8" w:color="264F78"/>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w:t>
            </w:r>
          </w:p>
        </w:tc>
        <w:tc>
          <w:tcPr>
            <w:tcW w:w="1600" w:type="dxa"/>
            <w:vAlign w:val="bottom"/>
            <w:tcBorders>
              <w:bottom w:val="single" w:sz="8" w:color="264F78"/>
              <w:right w:val="single" w:sz="8" w:color="58595B"/>
            </w:tcBorders>
            <w:shd w:val="clear" w:color="auto" w:fill="264F78"/>
          </w:tcPr>
          <w:p>
            <w:pPr>
              <w:ind w:left="4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33"/>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39,754</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8"/>
              </w:rPr>
              <w:t>2,170,171</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(2)</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5"/>
              </w:rPr>
              <w:t>1,724</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rPr>
              <w:t>53,185</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vMerge w:val="restart"/>
            <w:shd w:val="clear" w:color="auto" w:fill="8A9BB6"/>
          </w:tcPr>
          <w:p>
            <w:pPr>
              <w:jc w:val="center"/>
              <w:spacing w:after="0"/>
              <w:rPr>
                <w:sz w:val="20"/>
                <w:szCs w:val="20"/>
                <w:color w:val="auto"/>
              </w:rPr>
            </w:pPr>
            <w:r>
              <w:rPr>
                <w:rFonts w:ascii="Arial" w:cs="Arial" w:eastAsia="Arial" w:hAnsi="Arial"/>
                <w:sz w:val="15"/>
                <w:szCs w:val="15"/>
                <w:color w:val="FFFFFF"/>
                <w:w w:val="99"/>
              </w:rPr>
              <w:t>Michael J. Nolan</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60,878</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8"/>
              </w:rPr>
              <w:t>3,323,330</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75"/>
        </w:trPr>
        <w:tc>
          <w:tcPr>
            <w:tcW w:w="1820" w:type="dxa"/>
            <w:vAlign w:val="bottom"/>
            <w:tcBorders>
              <w:left w:val="single" w:sz="8" w:color="58595B"/>
              <w:right w:val="single" w:sz="8" w:color="58595B"/>
            </w:tcBorders>
            <w:vMerge w:val="continue"/>
            <w:shd w:val="clear" w:color="auto" w:fill="8A9BB6"/>
          </w:tcPr>
          <w:p>
            <w:pPr>
              <w:spacing w:after="0"/>
              <w:rPr>
                <w:sz w:val="6"/>
                <w:szCs w:val="6"/>
                <w:color w:val="auto"/>
              </w:rPr>
            </w:pPr>
          </w:p>
        </w:tc>
        <w:tc>
          <w:tcPr>
            <w:tcW w:w="12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(2)</w:t>
            </w:r>
          </w:p>
        </w:tc>
        <w:tc>
          <w:tcPr>
            <w:tcW w:w="12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4,344</w:t>
            </w:r>
          </w:p>
        </w:tc>
        <w:tc>
          <w:tcPr>
            <w:tcW w:w="1080" w:type="dxa"/>
            <w:vAlign w:val="bottom"/>
            <w:vMerge w:val="restart"/>
          </w:tcPr>
          <w:p>
            <w:pPr>
              <w:jc w:val="center"/>
              <w:ind w:left="264"/>
              <w:spacing w:after="0"/>
              <w:rPr>
                <w:sz w:val="20"/>
                <w:szCs w:val="20"/>
                <w:color w:val="auto"/>
              </w:rPr>
            </w:pPr>
            <w:r>
              <w:rPr>
                <w:rFonts w:ascii="Arial" w:cs="Arial" w:eastAsia="Arial" w:hAnsi="Arial"/>
                <w:sz w:val="15"/>
                <w:szCs w:val="15"/>
                <w:color w:val="58595B"/>
                <w:w w:val="99"/>
              </w:rPr>
              <w:t>134,012</w:t>
            </w:r>
          </w:p>
        </w:tc>
        <w:tc>
          <w:tcPr>
            <w:tcW w:w="360" w:type="dxa"/>
            <w:vAlign w:val="bottom"/>
            <w:tcBorders>
              <w:right w:val="single" w:sz="8" w:color="58595B"/>
            </w:tcBorders>
          </w:tcPr>
          <w:p>
            <w:pPr>
              <w:spacing w:after="0"/>
              <w:rPr>
                <w:sz w:val="6"/>
                <w:szCs w:val="6"/>
                <w:color w:val="auto"/>
              </w:rPr>
            </w:pPr>
          </w:p>
        </w:tc>
        <w:tc>
          <w:tcPr>
            <w:tcW w:w="16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58595B"/>
              <w:bottom w:val="single" w:sz="8" w:color="8A9BB6"/>
              <w:right w:val="single" w:sz="8" w:color="58595B"/>
            </w:tcBorders>
            <w:shd w:val="clear" w:color="auto" w:fill="8A9BB6"/>
          </w:tcPr>
          <w:p>
            <w:pPr>
              <w:spacing w:after="0"/>
              <w:rPr>
                <w:sz w:val="21"/>
                <w:szCs w:val="21"/>
                <w:color w:val="auto"/>
              </w:rPr>
            </w:pPr>
          </w:p>
        </w:tc>
        <w:tc>
          <w:tcPr>
            <w:tcW w:w="1260" w:type="dxa"/>
            <w:vAlign w:val="bottom"/>
            <w:tcBorders>
              <w:bottom w:val="single" w:sz="8" w:color="58595B"/>
              <w:right w:val="single" w:sz="8" w:color="58595B"/>
            </w:tcBorders>
            <w:vMerge w:val="continue"/>
          </w:tcPr>
          <w:p>
            <w:pPr>
              <w:spacing w:after="0"/>
              <w:rPr>
                <w:sz w:val="21"/>
                <w:szCs w:val="21"/>
                <w:color w:val="auto"/>
              </w:rPr>
            </w:pPr>
          </w:p>
        </w:tc>
        <w:tc>
          <w:tcPr>
            <w:tcW w:w="1260" w:type="dxa"/>
            <w:vAlign w:val="bottom"/>
            <w:tcBorders>
              <w:bottom w:val="single" w:sz="8" w:color="58595B"/>
              <w:right w:val="single" w:sz="8" w:color="58595B"/>
            </w:tcBorders>
            <w:vMerge w:val="continue"/>
          </w:tcPr>
          <w:p>
            <w:pPr>
              <w:spacing w:after="0"/>
              <w:rPr>
                <w:sz w:val="21"/>
                <w:szCs w:val="21"/>
                <w:color w:val="auto"/>
              </w:rPr>
            </w:pPr>
          </w:p>
        </w:tc>
        <w:tc>
          <w:tcPr>
            <w:tcW w:w="1080" w:type="dxa"/>
            <w:vAlign w:val="bottom"/>
            <w:tcBorders>
              <w:bottom w:val="single" w:sz="8" w:color="58595B"/>
            </w:tcBorders>
            <w:vMerge w:val="continue"/>
          </w:tcPr>
          <w:p>
            <w:pPr>
              <w:spacing w:after="0"/>
              <w:rPr>
                <w:sz w:val="21"/>
                <w:szCs w:val="21"/>
                <w:color w:val="auto"/>
              </w:rPr>
            </w:pPr>
          </w:p>
        </w:tc>
        <w:tc>
          <w:tcPr>
            <w:tcW w:w="360" w:type="dxa"/>
            <w:vAlign w:val="bottom"/>
            <w:tcBorders>
              <w:bottom w:val="single" w:sz="8" w:color="58595B"/>
              <w:right w:val="single" w:sz="8" w:color="58595B"/>
            </w:tcBorders>
          </w:tcPr>
          <w:p>
            <w:pPr>
              <w:spacing w:after="0"/>
              <w:rPr>
                <w:sz w:val="21"/>
                <w:szCs w:val="21"/>
                <w:color w:val="auto"/>
              </w:rPr>
            </w:pPr>
          </w:p>
        </w:tc>
        <w:tc>
          <w:tcPr>
            <w:tcW w:w="1620" w:type="dxa"/>
            <w:vAlign w:val="bottom"/>
            <w:tcBorders>
              <w:bottom w:val="single" w:sz="8" w:color="58595B"/>
              <w:right w:val="single" w:sz="8" w:color="58595B"/>
            </w:tcBorders>
            <w:vMerge w:val="continue"/>
          </w:tcPr>
          <w:p>
            <w:pPr>
              <w:spacing w:after="0"/>
              <w:rPr>
                <w:sz w:val="21"/>
                <w:szCs w:val="21"/>
                <w:color w:val="auto"/>
              </w:rPr>
            </w:pPr>
          </w:p>
        </w:tc>
        <w:tc>
          <w:tcPr>
            <w:tcW w:w="1600" w:type="dxa"/>
            <w:vAlign w:val="bottom"/>
            <w:tcBorders>
              <w:bottom w:val="single" w:sz="8" w:color="58595B"/>
              <w:right w:val="single" w:sz="8" w:color="58595B"/>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100,000</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8"/>
              </w:rPr>
              <w:t>5,459,000</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58595B"/>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(2)</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6,436</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198,551</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30,004</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8"/>
              </w:rPr>
              <w:t>1,637,918</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(2)</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5"/>
              </w:rPr>
              <w:t>1,724</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rPr>
              <w:t>53,185</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vMerge w:val="restart"/>
            <w:shd w:val="clear" w:color="auto" w:fill="8A9BB6"/>
          </w:tcPr>
          <w:p>
            <w:pPr>
              <w:jc w:val="center"/>
              <w:spacing w:after="0"/>
              <w:rPr>
                <w:sz w:val="20"/>
                <w:szCs w:val="20"/>
                <w:color w:val="auto"/>
              </w:rPr>
            </w:pPr>
            <w:r>
              <w:rPr>
                <w:rFonts w:ascii="Arial" w:cs="Arial" w:eastAsia="Arial" w:hAnsi="Arial"/>
                <w:sz w:val="15"/>
                <w:szCs w:val="15"/>
                <w:color w:val="FFFFFF"/>
                <w:w w:val="98"/>
              </w:rPr>
              <w:t>Raymond R. Quirk</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44,276</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8"/>
              </w:rPr>
              <w:t>1,663,722</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75"/>
        </w:trPr>
        <w:tc>
          <w:tcPr>
            <w:tcW w:w="1820" w:type="dxa"/>
            <w:vAlign w:val="bottom"/>
            <w:tcBorders>
              <w:left w:val="single" w:sz="8" w:color="58595B"/>
              <w:right w:val="single" w:sz="8" w:color="58595B"/>
            </w:tcBorders>
            <w:vMerge w:val="continue"/>
            <w:shd w:val="clear" w:color="auto" w:fill="8A9BB6"/>
          </w:tcPr>
          <w:p>
            <w:pPr>
              <w:spacing w:after="0"/>
              <w:rPr>
                <w:sz w:val="6"/>
                <w:szCs w:val="6"/>
                <w:color w:val="auto"/>
              </w:rPr>
            </w:pPr>
          </w:p>
        </w:tc>
        <w:tc>
          <w:tcPr>
            <w:tcW w:w="12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(2)</w:t>
            </w:r>
          </w:p>
        </w:tc>
        <w:tc>
          <w:tcPr>
            <w:tcW w:w="12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4,344</w:t>
            </w:r>
          </w:p>
        </w:tc>
        <w:tc>
          <w:tcPr>
            <w:tcW w:w="1080" w:type="dxa"/>
            <w:vAlign w:val="bottom"/>
            <w:vMerge w:val="restart"/>
          </w:tcPr>
          <w:p>
            <w:pPr>
              <w:jc w:val="center"/>
              <w:ind w:left="264"/>
              <w:spacing w:after="0"/>
              <w:rPr>
                <w:sz w:val="20"/>
                <w:szCs w:val="20"/>
                <w:color w:val="auto"/>
              </w:rPr>
            </w:pPr>
            <w:r>
              <w:rPr>
                <w:rFonts w:ascii="Arial" w:cs="Arial" w:eastAsia="Arial" w:hAnsi="Arial"/>
                <w:sz w:val="15"/>
                <w:szCs w:val="15"/>
                <w:color w:val="58595B"/>
                <w:w w:val="99"/>
              </w:rPr>
              <w:t>134,012</w:t>
            </w:r>
          </w:p>
        </w:tc>
        <w:tc>
          <w:tcPr>
            <w:tcW w:w="360" w:type="dxa"/>
            <w:vAlign w:val="bottom"/>
            <w:tcBorders>
              <w:right w:val="single" w:sz="8" w:color="58595B"/>
            </w:tcBorders>
          </w:tcPr>
          <w:p>
            <w:pPr>
              <w:spacing w:after="0"/>
              <w:rPr>
                <w:sz w:val="6"/>
                <w:szCs w:val="6"/>
                <w:color w:val="auto"/>
              </w:rPr>
            </w:pPr>
          </w:p>
        </w:tc>
        <w:tc>
          <w:tcPr>
            <w:tcW w:w="16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58595B"/>
              <w:bottom w:val="single" w:sz="8" w:color="8A9BB6"/>
              <w:right w:val="single" w:sz="8" w:color="58595B"/>
            </w:tcBorders>
            <w:shd w:val="clear" w:color="auto" w:fill="8A9BB6"/>
          </w:tcPr>
          <w:p>
            <w:pPr>
              <w:spacing w:after="0"/>
              <w:rPr>
                <w:sz w:val="21"/>
                <w:szCs w:val="21"/>
                <w:color w:val="auto"/>
              </w:rPr>
            </w:pPr>
          </w:p>
        </w:tc>
        <w:tc>
          <w:tcPr>
            <w:tcW w:w="1260" w:type="dxa"/>
            <w:vAlign w:val="bottom"/>
            <w:tcBorders>
              <w:bottom w:val="single" w:sz="8" w:color="58595B"/>
              <w:right w:val="single" w:sz="8" w:color="58595B"/>
            </w:tcBorders>
            <w:vMerge w:val="continue"/>
          </w:tcPr>
          <w:p>
            <w:pPr>
              <w:spacing w:after="0"/>
              <w:rPr>
                <w:sz w:val="21"/>
                <w:szCs w:val="21"/>
                <w:color w:val="auto"/>
              </w:rPr>
            </w:pPr>
          </w:p>
        </w:tc>
        <w:tc>
          <w:tcPr>
            <w:tcW w:w="1260" w:type="dxa"/>
            <w:vAlign w:val="bottom"/>
            <w:tcBorders>
              <w:bottom w:val="single" w:sz="8" w:color="58595B"/>
              <w:right w:val="single" w:sz="8" w:color="58595B"/>
            </w:tcBorders>
            <w:vMerge w:val="continue"/>
          </w:tcPr>
          <w:p>
            <w:pPr>
              <w:spacing w:after="0"/>
              <w:rPr>
                <w:sz w:val="21"/>
                <w:szCs w:val="21"/>
                <w:color w:val="auto"/>
              </w:rPr>
            </w:pPr>
          </w:p>
        </w:tc>
        <w:tc>
          <w:tcPr>
            <w:tcW w:w="1080" w:type="dxa"/>
            <w:vAlign w:val="bottom"/>
            <w:tcBorders>
              <w:bottom w:val="single" w:sz="8" w:color="58595B"/>
            </w:tcBorders>
            <w:vMerge w:val="continue"/>
          </w:tcPr>
          <w:p>
            <w:pPr>
              <w:spacing w:after="0"/>
              <w:rPr>
                <w:sz w:val="21"/>
                <w:szCs w:val="21"/>
                <w:color w:val="auto"/>
              </w:rPr>
            </w:pPr>
          </w:p>
        </w:tc>
        <w:tc>
          <w:tcPr>
            <w:tcW w:w="360" w:type="dxa"/>
            <w:vAlign w:val="bottom"/>
            <w:tcBorders>
              <w:bottom w:val="single" w:sz="8" w:color="58595B"/>
              <w:right w:val="single" w:sz="8" w:color="58595B"/>
            </w:tcBorders>
          </w:tcPr>
          <w:p>
            <w:pPr>
              <w:spacing w:after="0"/>
              <w:rPr>
                <w:sz w:val="21"/>
                <w:szCs w:val="21"/>
                <w:color w:val="auto"/>
              </w:rPr>
            </w:pPr>
          </w:p>
        </w:tc>
        <w:tc>
          <w:tcPr>
            <w:tcW w:w="1620" w:type="dxa"/>
            <w:vAlign w:val="bottom"/>
            <w:tcBorders>
              <w:bottom w:val="single" w:sz="8" w:color="58595B"/>
              <w:right w:val="single" w:sz="8" w:color="58595B"/>
            </w:tcBorders>
            <w:vMerge w:val="continue"/>
          </w:tcPr>
          <w:p>
            <w:pPr>
              <w:spacing w:after="0"/>
              <w:rPr>
                <w:sz w:val="21"/>
                <w:szCs w:val="21"/>
                <w:color w:val="auto"/>
              </w:rPr>
            </w:pPr>
          </w:p>
        </w:tc>
        <w:tc>
          <w:tcPr>
            <w:tcW w:w="1600" w:type="dxa"/>
            <w:vAlign w:val="bottom"/>
            <w:tcBorders>
              <w:bottom w:val="single" w:sz="8" w:color="58595B"/>
              <w:right w:val="single" w:sz="8" w:color="58595B"/>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55,653</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8"/>
              </w:rPr>
              <w:t>3,038,097</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58595B"/>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(2)</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6,436</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198,551</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12,264</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9"/>
              </w:rPr>
              <w:t>669,492</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jc w:val="center"/>
              <w:spacing w:after="0"/>
              <w:rPr>
                <w:sz w:val="20"/>
                <w:szCs w:val="20"/>
                <w:color w:val="auto"/>
              </w:rPr>
            </w:pPr>
            <w:r>
              <w:rPr>
                <w:rFonts w:ascii="Arial" w:cs="Arial" w:eastAsia="Arial" w:hAnsi="Arial"/>
                <w:sz w:val="15"/>
                <w:szCs w:val="15"/>
                <w:color w:val="FFFFFF"/>
                <w:w w:val="98"/>
              </w:rPr>
              <w:t>Anthony J. Park</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18,818</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8"/>
              </w:rPr>
              <w:t>1,027,275</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58595B"/>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31,044</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8"/>
              </w:rPr>
              <w:t>1,694,692</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5"/>
              </w:rPr>
              <w:t>11,589</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9"/>
              </w:rPr>
              <w:t>632,644</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jc w:val="center"/>
              <w:spacing w:after="0"/>
              <w:rPr>
                <w:sz w:val="20"/>
                <w:szCs w:val="20"/>
                <w:color w:val="auto"/>
              </w:rPr>
            </w:pPr>
            <w:r>
              <w:rPr>
                <w:rFonts w:ascii="Arial" w:cs="Arial" w:eastAsia="Arial" w:hAnsi="Arial"/>
                <w:sz w:val="15"/>
                <w:szCs w:val="15"/>
                <w:color w:val="FFFFFF"/>
                <w:w w:val="96"/>
              </w:rPr>
              <w:t>Peter T. Sadowski</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17,710</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9"/>
              </w:rPr>
              <w:t>966,789</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58595B"/>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29,218</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5"/>
              </w:rPr>
              <w:t>1,595,011</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11/15/2023</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5"/>
              </w:rPr>
              <w:t>11,589</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9"/>
              </w:rPr>
              <w:t>632,644</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11/8/2024</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17,710</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9"/>
              </w:rPr>
              <w:t>966,789</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jc w:val="center"/>
              <w:spacing w:after="0"/>
              <w:rPr>
                <w:sz w:val="20"/>
                <w:szCs w:val="20"/>
                <w:color w:val="auto"/>
              </w:rPr>
            </w:pPr>
            <w:r>
              <w:rPr>
                <w:rFonts w:ascii="Arial" w:cs="Arial" w:eastAsia="Arial" w:hAnsi="Arial"/>
                <w:sz w:val="15"/>
                <w:szCs w:val="15"/>
                <w:color w:val="FFFFFF"/>
                <w:w w:val="98"/>
              </w:rPr>
              <w:t>Michael L. Gravelle</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3/24/2025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8,646</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266,729</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8A9BB6"/>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(1)</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27,827</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8"/>
              </w:rPr>
              <w:t>1,519,076</w:t>
            </w:r>
          </w:p>
        </w:tc>
        <w:tc>
          <w:tcPr>
            <w:tcW w:w="0" w:type="dxa"/>
            <w:vAlign w:val="bottom"/>
          </w:tcPr>
          <w:p>
            <w:pPr>
              <w:spacing w:after="0"/>
              <w:rPr>
                <w:sz w:val="1"/>
                <w:szCs w:val="1"/>
                <w:color w:val="auto"/>
              </w:rPr>
            </w:pPr>
          </w:p>
        </w:tc>
      </w:tr>
      <w:tr>
        <w:trPr>
          <w:trHeight w:val="325"/>
        </w:trPr>
        <w:tc>
          <w:tcPr>
            <w:tcW w:w="1820" w:type="dxa"/>
            <w:vAlign w:val="bottom"/>
            <w:tcBorders>
              <w:left w:val="single" w:sz="8" w:color="58595B"/>
              <w:bottom w:val="single" w:sz="8" w:color="58595B"/>
              <w:right w:val="single" w:sz="8" w:color="58595B"/>
            </w:tcBorders>
            <w:shd w:val="clear" w:color="auto" w:fill="8A9BB6"/>
          </w:tcPr>
          <w:p>
            <w:pPr>
              <w:spacing w:after="0"/>
              <w:rPr>
                <w:sz w:val="24"/>
                <w:szCs w:val="24"/>
                <w:color w:val="auto"/>
              </w:rPr>
            </w:pP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2"/>
              </w:rPr>
              <w:t>11/10/2025</w:t>
            </w:r>
            <w:r>
              <w:rPr>
                <w:rFonts w:ascii="Arial" w:cs="Arial" w:eastAsia="Arial" w:hAnsi="Arial"/>
                <w:sz w:val="24"/>
                <w:szCs w:val="24"/>
                <w:color w:val="58595B"/>
                <w:w w:val="92"/>
                <w:vertAlign w:val="superscript"/>
              </w:rPr>
              <w:t>(2)</w:t>
            </w:r>
          </w:p>
        </w:tc>
        <w:tc>
          <w:tcPr>
            <w:tcW w:w="126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080" w:type="dxa"/>
            <w:vAlign w:val="bottom"/>
            <w:tcBorders>
              <w:bottom w:val="single" w:sz="8" w:color="58595B"/>
            </w:tcBorders>
          </w:tcPr>
          <w:p>
            <w:pPr>
              <w:jc w:val="center"/>
              <w:ind w:left="264"/>
              <w:spacing w:after="0"/>
              <w:rPr>
                <w:sz w:val="20"/>
                <w:szCs w:val="20"/>
                <w:color w:val="auto"/>
              </w:rPr>
            </w:pPr>
            <w:r>
              <w:rPr>
                <w:rFonts w:ascii="Arial" w:cs="Arial" w:eastAsia="Arial" w:hAnsi="Arial"/>
                <w:sz w:val="15"/>
                <w:szCs w:val="15"/>
                <w:color w:val="58595B"/>
                <w:w w:val="93"/>
              </w:rPr>
              <w:t>—</w:t>
            </w:r>
          </w:p>
        </w:tc>
        <w:tc>
          <w:tcPr>
            <w:tcW w:w="360" w:type="dxa"/>
            <w:vAlign w:val="bottom"/>
            <w:tcBorders>
              <w:bottom w:val="single" w:sz="8" w:color="58595B"/>
              <w:right w:val="single" w:sz="8" w:color="58595B"/>
            </w:tcBorders>
          </w:tcPr>
          <w:p>
            <w:pPr>
              <w:spacing w:after="0"/>
              <w:rPr>
                <w:sz w:val="24"/>
                <w:szCs w:val="24"/>
                <w:color w:val="auto"/>
              </w:rPr>
            </w:pPr>
          </w:p>
        </w:tc>
        <w:tc>
          <w:tcPr>
            <w:tcW w:w="162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9,194</w:t>
            </w:r>
          </w:p>
        </w:tc>
        <w:tc>
          <w:tcPr>
            <w:tcW w:w="160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283,635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60" w:right="480" w:hanging="338"/>
        <w:spacing w:after="0" w:line="246" w:lineRule="auto"/>
        <w:tabs>
          <w:tab w:leader="none" w:pos="1160" w:val="left"/>
        </w:tabs>
        <w:numPr>
          <w:ilvl w:val="0"/>
          <w:numId w:val="55"/>
        </w:numPr>
        <w:rPr>
          <w:rFonts w:ascii="Arial" w:cs="Arial" w:eastAsia="Arial" w:hAnsi="Arial"/>
          <w:sz w:val="13"/>
          <w:szCs w:val="13"/>
          <w:color w:val="58595B"/>
        </w:rPr>
      </w:pPr>
      <w:r>
        <w:rPr>
          <w:rFonts w:ascii="Arial" w:cs="Arial" w:eastAsia="Arial" w:hAnsi="Arial"/>
          <w:sz w:val="13"/>
          <w:szCs w:val="13"/>
          <w:color w:val="58595B"/>
        </w:rPr>
        <w:t>We awarded the November 2023, November 2024, and November 2025 stock awards under the omnibus incentive plan. The November 2023 grants vest in equal installments over a period of three years on each anniversary of the grant date provided that we achieve title operating margin of 7.5% in our title segment in at least two of the five quarters beginning October 1, 2023. The November 2024 grants vest in equal installments over a period of three years on each anniversary of the grant date provided that we achieve title operating margin of 9.5% in our title segment in at least two of the five quarters beginning October 1, 2024.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105410</wp:posOffset>
            </wp:positionV>
            <wp:extent cx="7144385" cy="297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35"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57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40"/>
          </w:cols>
          <w:pgMar w:left="680" w:top="797" w:right="879" w:bottom="1440" w:gutter="0" w:footer="0" w:header="0"/>
        </w:sectPr>
      </w:pPr>
    </w:p>
    <w:bookmarkStart w:id="61" w:name="page62"/>
    <w:bookmarkEnd w:id="61"/>
    <w:p>
      <w:pPr>
        <w:jc w:val="both"/>
        <w:ind w:left="1520"/>
        <w:spacing w:after="0" w:line="256" w:lineRule="auto"/>
        <w:rPr>
          <w:sz w:val="20"/>
          <w:szCs w:val="20"/>
          <w:color w:val="auto"/>
        </w:rPr>
      </w:pPr>
      <w:r>
        <w:rPr>
          <w:rFonts w:ascii="Arial" w:cs="Arial" w:eastAsia="Arial" w:hAnsi="Arial"/>
          <w:sz w:val="13"/>
          <w:szCs w:val="13"/>
          <w:color w:val="333333"/>
        </w:rPr>
        <w:t>November 2025 grants vest in equal installments over a period of three years on each anniversary of the grant date provided that we achieve title operating margin of 11.0% in our title segment in at least two of the five quarters beginning October 1, 2025. Market values are based on the December 31, 2025 closing price of $54.59 per share of FNF common stock.</w:t>
      </w:r>
    </w:p>
    <w:p>
      <w:pPr>
        <w:spacing w:after="0" w:line="187" w:lineRule="exact"/>
        <w:rPr>
          <w:sz w:val="20"/>
          <w:szCs w:val="20"/>
          <w:color w:val="auto"/>
        </w:rPr>
      </w:pPr>
    </w:p>
    <w:p>
      <w:pPr>
        <w:ind w:left="1520" w:right="60" w:hanging="338"/>
        <w:spacing w:after="0" w:line="243" w:lineRule="auto"/>
        <w:tabs>
          <w:tab w:leader="none" w:pos="1520" w:val="left"/>
        </w:tabs>
        <w:numPr>
          <w:ilvl w:val="0"/>
          <w:numId w:val="56"/>
        </w:numPr>
        <w:rPr>
          <w:rFonts w:ascii="Arial" w:cs="Arial" w:eastAsia="Arial" w:hAnsi="Arial"/>
          <w:sz w:val="13"/>
          <w:szCs w:val="13"/>
          <w:color w:val="333333"/>
        </w:rPr>
      </w:pPr>
      <w:r>
        <w:rPr>
          <w:rFonts w:ascii="Arial" w:cs="Arial" w:eastAsia="Arial" w:hAnsi="Arial"/>
          <w:sz w:val="13"/>
          <w:szCs w:val="13"/>
          <w:color w:val="333333"/>
        </w:rPr>
        <w:t>In November 2023, Messrs. Nolan and Quirk each received an award of 5,172 shares of F&amp;G restricted stock, of which 1,724 remain unvested as of December 31, 2025. In November 2024, Messrs. Nolan and Quirk each received an award of 6,515 shares of F&amp;G restricted stock, of which 4,344 remain unvested as of December 31, 2025. In November 2025, Messrs. Nolan and Quirk each received an award of 6,436 shares of F&amp;G restricted stock. In March and November 2025, Mr. Gravelle received awards of 8,646 and 9,194 shares of F&amp;G restricted stock, respectively. Market values are based on the December 31, 2025 closing price of $30.85 per share of F&amp;G common stock. The 2023, 2024 and 2025 F&amp;G restricted stock awards vest in equal installments over a period of three years on each anniversary of the applicable grant date; provided that, in the case of Messrs. Nolan's and Quirk's 2023 F&amp;G restricted stock awards and Mr. Gravelle's 2025 F&amp;G restricted stock awards, F&amp;G achieves a one-year Adjusted Net Earnings goal established at the start of the three-year period.</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OPTION EXERCISES AND STOCK VESTED</w:t>
      </w:r>
    </w:p>
    <w:p>
      <w:pPr>
        <w:spacing w:after="0" w:line="230" w:lineRule="exact"/>
        <w:rPr>
          <w:sz w:val="20"/>
          <w:szCs w:val="20"/>
          <w:color w:val="auto"/>
        </w:rPr>
      </w:pPr>
    </w:p>
    <w:p>
      <w:pPr>
        <w:ind w:left="1180" w:right="320"/>
        <w:spacing w:after="0" w:line="247" w:lineRule="auto"/>
        <w:rPr>
          <w:sz w:val="20"/>
          <w:szCs w:val="20"/>
          <w:color w:val="auto"/>
        </w:rPr>
      </w:pPr>
      <w:r>
        <w:rPr>
          <w:rFonts w:ascii="Arial" w:cs="Arial" w:eastAsia="Arial" w:hAnsi="Arial"/>
          <w:sz w:val="18"/>
          <w:szCs w:val="18"/>
          <w:color w:val="333333"/>
        </w:rPr>
        <w:t>The following table sets forth information concerning each vesting of stock, including restricted stock, restricted stock units and similar instruments, during the fiscal year ended December 31, 2025 for each of the named executive officers on an aggregated basis. None of our named executive officers exercised options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124460</wp:posOffset>
            </wp:positionV>
            <wp:extent cx="4999990" cy="1087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99990" cy="1087755"/>
                    </a:xfrm>
                    <a:prstGeom prst="rect">
                      <a:avLst/>
                    </a:prstGeom>
                    <a:noFill/>
                  </pic:spPr>
                </pic:pic>
              </a:graphicData>
            </a:graphic>
          </wp:anchor>
        </w:drawing>
      </w:r>
    </w:p>
    <w:p>
      <w:pPr>
        <w:spacing w:after="0" w:line="250"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FFFFFF"/>
        </w:rPr>
        <w:t>Number of Shares</w:t>
      </w:r>
    </w:p>
    <w:p>
      <w:pPr>
        <w:spacing w:after="0" w:line="32" w:lineRule="exact"/>
        <w:rPr>
          <w:sz w:val="20"/>
          <w:szCs w:val="20"/>
          <w:color w:val="auto"/>
        </w:rPr>
      </w:pPr>
    </w:p>
    <w:tbl>
      <w:tblPr>
        <w:tblLayout w:type="fixed"/>
        <w:tblInd w:w="1180" w:type="dxa"/>
        <w:tblCellMar>
          <w:top w:w="0" w:type="dxa"/>
          <w:left w:w="0" w:type="dxa"/>
          <w:bottom w:w="0" w:type="dxa"/>
          <w:right w:w="0" w:type="dxa"/>
        </w:tblCellMar>
      </w:tblPr>
      <w:tr>
        <w:trPr>
          <w:trHeight w:val="202"/>
        </w:trPr>
        <w:tc>
          <w:tcPr>
            <w:tcW w:w="2460" w:type="dxa"/>
            <w:vAlign w:val="bottom"/>
            <w:tcBorders>
              <w:right w:val="single" w:sz="8" w:color="254F79"/>
            </w:tcBorders>
          </w:tcPr>
          <w:p>
            <w:pPr>
              <w:ind w:left="100"/>
              <w:spacing w:after="0"/>
              <w:rPr>
                <w:sz w:val="20"/>
                <w:szCs w:val="20"/>
                <w:color w:val="auto"/>
              </w:rPr>
            </w:pPr>
            <w:r>
              <w:rPr>
                <w:rFonts w:ascii="Arial" w:cs="Arial" w:eastAsia="Arial" w:hAnsi="Arial"/>
                <w:sz w:val="15"/>
                <w:szCs w:val="15"/>
                <w:b w:val="1"/>
                <w:bCs w:val="1"/>
                <w:color w:val="FFFFFF"/>
              </w:rPr>
              <w:t>Name</w:t>
            </w:r>
          </w:p>
        </w:tc>
        <w:tc>
          <w:tcPr>
            <w:tcW w:w="2600" w:type="dxa"/>
            <w:vAlign w:val="bottom"/>
            <w:tcBorders>
              <w:right w:val="single" w:sz="8" w:color="254F79"/>
            </w:tcBorders>
            <w:shd w:val="clear" w:color="auto" w:fill="254F79"/>
          </w:tcPr>
          <w:p>
            <w:pPr>
              <w:ind w:left="460"/>
              <w:spacing w:after="0"/>
              <w:rPr>
                <w:sz w:val="20"/>
                <w:szCs w:val="20"/>
                <w:color w:val="auto"/>
              </w:rPr>
            </w:pPr>
            <w:r>
              <w:rPr>
                <w:rFonts w:ascii="Arial" w:cs="Arial" w:eastAsia="Arial" w:hAnsi="Arial"/>
                <w:sz w:val="15"/>
                <w:szCs w:val="15"/>
                <w:b w:val="1"/>
                <w:bCs w:val="1"/>
                <w:color w:val="FFFFFF"/>
              </w:rPr>
              <w:t>Acquired on Vesting (#)</w:t>
            </w:r>
          </w:p>
        </w:tc>
        <w:tc>
          <w:tcPr>
            <w:tcW w:w="2800" w:type="dxa"/>
            <w:vAlign w:val="bottom"/>
            <w:shd w:val="clear" w:color="auto" w:fill="254F79"/>
          </w:tcPr>
          <w:p>
            <w:pPr>
              <w:jc w:val="right"/>
              <w:ind w:right="263"/>
              <w:spacing w:after="0"/>
              <w:rPr>
                <w:sz w:val="20"/>
                <w:szCs w:val="20"/>
                <w:color w:val="auto"/>
              </w:rPr>
            </w:pPr>
            <w:r>
              <w:rPr>
                <w:rFonts w:ascii="Arial" w:cs="Arial" w:eastAsia="Arial" w:hAnsi="Arial"/>
                <w:sz w:val="15"/>
                <w:szCs w:val="15"/>
                <w:b w:val="1"/>
                <w:bCs w:val="1"/>
                <w:color w:val="FFFFFF"/>
              </w:rPr>
              <w:t>Value Realized on Vesting ($)</w:t>
            </w:r>
          </w:p>
        </w:tc>
        <w:tc>
          <w:tcPr>
            <w:tcW w:w="20" w:type="dxa"/>
            <w:vAlign w:val="bottom"/>
          </w:tcPr>
          <w:p>
            <w:pPr>
              <w:spacing w:after="0"/>
              <w:rPr>
                <w:sz w:val="17"/>
                <w:szCs w:val="17"/>
                <w:color w:val="auto"/>
              </w:rPr>
            </w:pPr>
          </w:p>
        </w:tc>
      </w:tr>
      <w:tr>
        <w:trPr>
          <w:trHeight w:val="205"/>
        </w:trPr>
        <w:tc>
          <w:tcPr>
            <w:tcW w:w="246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333333"/>
              </w:rPr>
              <w:t>Michael J. Nolan</w:t>
            </w:r>
          </w:p>
        </w:tc>
        <w:tc>
          <w:tcPr>
            <w:tcW w:w="260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333333"/>
                <w:w w:val="96"/>
              </w:rPr>
              <w:t>107,685</w:t>
            </w:r>
          </w:p>
        </w:tc>
        <w:tc>
          <w:tcPr>
            <w:tcW w:w="2800" w:type="dxa"/>
            <w:vAlign w:val="bottom"/>
          </w:tcPr>
          <w:p>
            <w:pPr>
              <w:jc w:val="right"/>
              <w:ind w:right="983"/>
              <w:spacing w:after="0"/>
              <w:rPr>
                <w:sz w:val="20"/>
                <w:szCs w:val="20"/>
                <w:color w:val="auto"/>
              </w:rPr>
            </w:pPr>
            <w:r>
              <w:rPr>
                <w:rFonts w:ascii="Arial" w:cs="Arial" w:eastAsia="Arial" w:hAnsi="Arial"/>
                <w:sz w:val="16"/>
                <w:szCs w:val="16"/>
                <w:color w:val="333333"/>
              </w:rPr>
              <w:t>6,149,038</w:t>
            </w:r>
          </w:p>
        </w:tc>
        <w:tc>
          <w:tcPr>
            <w:tcW w:w="20" w:type="dxa"/>
            <w:vAlign w:val="bottom"/>
          </w:tcPr>
          <w:p>
            <w:pPr>
              <w:spacing w:after="0"/>
              <w:rPr>
                <w:sz w:val="17"/>
                <w:szCs w:val="17"/>
                <w:color w:val="auto"/>
              </w:rPr>
            </w:pPr>
          </w:p>
        </w:tc>
      </w:tr>
      <w:tr>
        <w:trPr>
          <w:trHeight w:val="29"/>
        </w:trPr>
        <w:tc>
          <w:tcPr>
            <w:tcW w:w="2460" w:type="dxa"/>
            <w:vAlign w:val="bottom"/>
            <w:tcBorders>
              <w:bottom w:val="single" w:sz="8" w:color="333333"/>
              <w:right w:val="single" w:sz="8" w:color="333333"/>
            </w:tcBorders>
          </w:tcPr>
          <w:p>
            <w:pPr>
              <w:spacing w:after="0"/>
              <w:rPr>
                <w:sz w:val="2"/>
                <w:szCs w:val="2"/>
                <w:color w:val="auto"/>
              </w:rPr>
            </w:pPr>
          </w:p>
        </w:tc>
        <w:tc>
          <w:tcPr>
            <w:tcW w:w="2600" w:type="dxa"/>
            <w:vAlign w:val="bottom"/>
            <w:tcBorders>
              <w:bottom w:val="single" w:sz="8" w:color="333333"/>
              <w:right w:val="single" w:sz="8" w:color="333333"/>
            </w:tcBorders>
          </w:tcPr>
          <w:p>
            <w:pPr>
              <w:spacing w:after="0"/>
              <w:rPr>
                <w:sz w:val="2"/>
                <w:szCs w:val="2"/>
                <w:color w:val="auto"/>
              </w:rPr>
            </w:pPr>
          </w:p>
        </w:tc>
        <w:tc>
          <w:tcPr>
            <w:tcW w:w="2800" w:type="dxa"/>
            <w:vAlign w:val="bottom"/>
            <w:tcBorders>
              <w:bottom w:val="single" w:sz="8" w:color="333333"/>
            </w:tcBorders>
          </w:tcPr>
          <w:p>
            <w:pPr>
              <w:spacing w:after="0"/>
              <w:rPr>
                <w:sz w:val="2"/>
                <w:szCs w:val="2"/>
                <w:color w:val="auto"/>
              </w:rPr>
            </w:pPr>
          </w:p>
        </w:tc>
        <w:tc>
          <w:tcPr>
            <w:tcW w:w="20" w:type="dxa"/>
            <w:vAlign w:val="bottom"/>
            <w:tcBorders>
              <w:bottom w:val="single" w:sz="8" w:color="333333"/>
            </w:tcBorders>
          </w:tcPr>
          <w:p>
            <w:pPr>
              <w:spacing w:after="0"/>
              <w:rPr>
                <w:sz w:val="2"/>
                <w:szCs w:val="2"/>
                <w:color w:val="auto"/>
              </w:rPr>
            </w:pPr>
          </w:p>
        </w:tc>
      </w:tr>
      <w:tr>
        <w:trPr>
          <w:trHeight w:val="198"/>
        </w:trPr>
        <w:tc>
          <w:tcPr>
            <w:tcW w:w="246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333333"/>
              </w:rPr>
              <w:t>Raymond R. Quirk</w:t>
            </w:r>
          </w:p>
        </w:tc>
        <w:tc>
          <w:tcPr>
            <w:tcW w:w="260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333333"/>
                <w:w w:val="98"/>
              </w:rPr>
              <w:t>94,429</w:t>
            </w:r>
          </w:p>
        </w:tc>
        <w:tc>
          <w:tcPr>
            <w:tcW w:w="2800" w:type="dxa"/>
            <w:vAlign w:val="bottom"/>
          </w:tcPr>
          <w:p>
            <w:pPr>
              <w:jc w:val="right"/>
              <w:ind w:right="983"/>
              <w:spacing w:after="0"/>
              <w:rPr>
                <w:sz w:val="20"/>
                <w:szCs w:val="20"/>
                <w:color w:val="auto"/>
              </w:rPr>
            </w:pPr>
            <w:r>
              <w:rPr>
                <w:rFonts w:ascii="Arial" w:cs="Arial" w:eastAsia="Arial" w:hAnsi="Arial"/>
                <w:sz w:val="16"/>
                <w:szCs w:val="16"/>
                <w:color w:val="333333"/>
              </w:rPr>
              <w:t>5,375,533</w:t>
            </w:r>
          </w:p>
        </w:tc>
        <w:tc>
          <w:tcPr>
            <w:tcW w:w="20" w:type="dxa"/>
            <w:vAlign w:val="bottom"/>
          </w:tcPr>
          <w:p>
            <w:pPr>
              <w:spacing w:after="0"/>
              <w:rPr>
                <w:sz w:val="17"/>
                <w:szCs w:val="17"/>
                <w:color w:val="auto"/>
              </w:rPr>
            </w:pPr>
          </w:p>
        </w:tc>
      </w:tr>
      <w:tr>
        <w:trPr>
          <w:trHeight w:val="29"/>
        </w:trPr>
        <w:tc>
          <w:tcPr>
            <w:tcW w:w="2460" w:type="dxa"/>
            <w:vAlign w:val="bottom"/>
            <w:tcBorders>
              <w:bottom w:val="single" w:sz="8" w:color="333333"/>
              <w:right w:val="single" w:sz="8" w:color="333333"/>
            </w:tcBorders>
          </w:tcPr>
          <w:p>
            <w:pPr>
              <w:spacing w:after="0"/>
              <w:rPr>
                <w:sz w:val="2"/>
                <w:szCs w:val="2"/>
                <w:color w:val="auto"/>
              </w:rPr>
            </w:pPr>
          </w:p>
        </w:tc>
        <w:tc>
          <w:tcPr>
            <w:tcW w:w="2600" w:type="dxa"/>
            <w:vAlign w:val="bottom"/>
            <w:tcBorders>
              <w:bottom w:val="single" w:sz="8" w:color="333333"/>
              <w:right w:val="single" w:sz="8" w:color="333333"/>
            </w:tcBorders>
          </w:tcPr>
          <w:p>
            <w:pPr>
              <w:spacing w:after="0"/>
              <w:rPr>
                <w:sz w:val="2"/>
                <w:szCs w:val="2"/>
                <w:color w:val="auto"/>
              </w:rPr>
            </w:pPr>
          </w:p>
        </w:tc>
        <w:tc>
          <w:tcPr>
            <w:tcW w:w="2800" w:type="dxa"/>
            <w:vAlign w:val="bottom"/>
            <w:tcBorders>
              <w:bottom w:val="single" w:sz="8" w:color="333333"/>
            </w:tcBorders>
          </w:tcPr>
          <w:p>
            <w:pPr>
              <w:spacing w:after="0"/>
              <w:rPr>
                <w:sz w:val="2"/>
                <w:szCs w:val="2"/>
                <w:color w:val="auto"/>
              </w:rPr>
            </w:pPr>
          </w:p>
        </w:tc>
        <w:tc>
          <w:tcPr>
            <w:tcW w:w="20" w:type="dxa"/>
            <w:vAlign w:val="bottom"/>
            <w:tcBorders>
              <w:bottom w:val="single" w:sz="8" w:color="333333"/>
            </w:tcBorders>
          </w:tcPr>
          <w:p>
            <w:pPr>
              <w:spacing w:after="0"/>
              <w:rPr>
                <w:sz w:val="2"/>
                <w:szCs w:val="2"/>
                <w:color w:val="auto"/>
              </w:rPr>
            </w:pPr>
          </w:p>
        </w:tc>
      </w:tr>
      <w:tr>
        <w:trPr>
          <w:trHeight w:val="198"/>
        </w:trPr>
        <w:tc>
          <w:tcPr>
            <w:tcW w:w="246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333333"/>
              </w:rPr>
              <w:t>Anthony J. Park</w:t>
            </w:r>
          </w:p>
        </w:tc>
        <w:tc>
          <w:tcPr>
            <w:tcW w:w="260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333333"/>
                <w:w w:val="98"/>
              </w:rPr>
              <w:t>34,838</w:t>
            </w:r>
          </w:p>
        </w:tc>
        <w:tc>
          <w:tcPr>
            <w:tcW w:w="2800" w:type="dxa"/>
            <w:vAlign w:val="bottom"/>
          </w:tcPr>
          <w:p>
            <w:pPr>
              <w:jc w:val="right"/>
              <w:ind w:right="983"/>
              <w:spacing w:after="0"/>
              <w:rPr>
                <w:sz w:val="20"/>
                <w:szCs w:val="20"/>
                <w:color w:val="auto"/>
              </w:rPr>
            </w:pPr>
            <w:r>
              <w:rPr>
                <w:rFonts w:ascii="Arial" w:cs="Arial" w:eastAsia="Arial" w:hAnsi="Arial"/>
                <w:sz w:val="16"/>
                <w:szCs w:val="16"/>
                <w:color w:val="333333"/>
              </w:rPr>
              <w:t>1,987,431</w:t>
            </w:r>
          </w:p>
        </w:tc>
        <w:tc>
          <w:tcPr>
            <w:tcW w:w="20" w:type="dxa"/>
            <w:vAlign w:val="bottom"/>
          </w:tcPr>
          <w:p>
            <w:pPr>
              <w:spacing w:after="0"/>
              <w:rPr>
                <w:sz w:val="17"/>
                <w:szCs w:val="17"/>
                <w:color w:val="auto"/>
              </w:rPr>
            </w:pPr>
          </w:p>
        </w:tc>
      </w:tr>
      <w:tr>
        <w:trPr>
          <w:trHeight w:val="29"/>
        </w:trPr>
        <w:tc>
          <w:tcPr>
            <w:tcW w:w="2460" w:type="dxa"/>
            <w:vAlign w:val="bottom"/>
            <w:tcBorders>
              <w:bottom w:val="single" w:sz="8" w:color="333333"/>
              <w:right w:val="single" w:sz="8" w:color="333333"/>
            </w:tcBorders>
          </w:tcPr>
          <w:p>
            <w:pPr>
              <w:spacing w:after="0"/>
              <w:rPr>
                <w:sz w:val="2"/>
                <w:szCs w:val="2"/>
                <w:color w:val="auto"/>
              </w:rPr>
            </w:pPr>
          </w:p>
        </w:tc>
        <w:tc>
          <w:tcPr>
            <w:tcW w:w="2600" w:type="dxa"/>
            <w:vAlign w:val="bottom"/>
            <w:tcBorders>
              <w:bottom w:val="single" w:sz="8" w:color="333333"/>
              <w:right w:val="single" w:sz="8" w:color="333333"/>
            </w:tcBorders>
          </w:tcPr>
          <w:p>
            <w:pPr>
              <w:spacing w:after="0"/>
              <w:rPr>
                <w:sz w:val="2"/>
                <w:szCs w:val="2"/>
                <w:color w:val="auto"/>
              </w:rPr>
            </w:pPr>
          </w:p>
        </w:tc>
        <w:tc>
          <w:tcPr>
            <w:tcW w:w="2800" w:type="dxa"/>
            <w:vAlign w:val="bottom"/>
            <w:tcBorders>
              <w:bottom w:val="single" w:sz="8" w:color="333333"/>
            </w:tcBorders>
          </w:tcPr>
          <w:p>
            <w:pPr>
              <w:spacing w:after="0"/>
              <w:rPr>
                <w:sz w:val="2"/>
                <w:szCs w:val="2"/>
                <w:color w:val="auto"/>
              </w:rPr>
            </w:pPr>
          </w:p>
        </w:tc>
        <w:tc>
          <w:tcPr>
            <w:tcW w:w="20" w:type="dxa"/>
            <w:vAlign w:val="bottom"/>
            <w:tcBorders>
              <w:bottom w:val="single" w:sz="8" w:color="333333"/>
            </w:tcBorders>
          </w:tcPr>
          <w:p>
            <w:pPr>
              <w:spacing w:after="0"/>
              <w:rPr>
                <w:sz w:val="2"/>
                <w:szCs w:val="2"/>
                <w:color w:val="auto"/>
              </w:rPr>
            </w:pPr>
          </w:p>
        </w:tc>
      </w:tr>
      <w:tr>
        <w:trPr>
          <w:trHeight w:val="198"/>
        </w:trPr>
        <w:tc>
          <w:tcPr>
            <w:tcW w:w="246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333333"/>
              </w:rPr>
              <w:t>Peter T. Sadowski</w:t>
            </w:r>
          </w:p>
        </w:tc>
        <w:tc>
          <w:tcPr>
            <w:tcW w:w="260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333333"/>
                <w:w w:val="98"/>
              </w:rPr>
              <w:t>33,043</w:t>
            </w:r>
          </w:p>
        </w:tc>
        <w:tc>
          <w:tcPr>
            <w:tcW w:w="2800" w:type="dxa"/>
            <w:vAlign w:val="bottom"/>
          </w:tcPr>
          <w:p>
            <w:pPr>
              <w:jc w:val="right"/>
              <w:ind w:right="983"/>
              <w:spacing w:after="0"/>
              <w:rPr>
                <w:sz w:val="20"/>
                <w:szCs w:val="20"/>
                <w:color w:val="auto"/>
              </w:rPr>
            </w:pPr>
            <w:r>
              <w:rPr>
                <w:rFonts w:ascii="Arial" w:cs="Arial" w:eastAsia="Arial" w:hAnsi="Arial"/>
                <w:sz w:val="16"/>
                <w:szCs w:val="16"/>
                <w:color w:val="333333"/>
              </w:rPr>
              <w:t>1,884,850</w:t>
            </w:r>
          </w:p>
        </w:tc>
        <w:tc>
          <w:tcPr>
            <w:tcW w:w="20" w:type="dxa"/>
            <w:vAlign w:val="bottom"/>
          </w:tcPr>
          <w:p>
            <w:pPr>
              <w:spacing w:after="0"/>
              <w:rPr>
                <w:sz w:val="17"/>
                <w:szCs w:val="17"/>
                <w:color w:val="auto"/>
              </w:rPr>
            </w:pPr>
          </w:p>
        </w:tc>
      </w:tr>
      <w:tr>
        <w:trPr>
          <w:trHeight w:val="29"/>
        </w:trPr>
        <w:tc>
          <w:tcPr>
            <w:tcW w:w="2460" w:type="dxa"/>
            <w:vAlign w:val="bottom"/>
            <w:tcBorders>
              <w:bottom w:val="single" w:sz="8" w:color="333333"/>
              <w:right w:val="single" w:sz="8" w:color="333333"/>
            </w:tcBorders>
          </w:tcPr>
          <w:p>
            <w:pPr>
              <w:spacing w:after="0"/>
              <w:rPr>
                <w:sz w:val="2"/>
                <w:szCs w:val="2"/>
                <w:color w:val="auto"/>
              </w:rPr>
            </w:pPr>
          </w:p>
        </w:tc>
        <w:tc>
          <w:tcPr>
            <w:tcW w:w="2600" w:type="dxa"/>
            <w:vAlign w:val="bottom"/>
            <w:tcBorders>
              <w:bottom w:val="single" w:sz="8" w:color="333333"/>
              <w:right w:val="single" w:sz="8" w:color="333333"/>
            </w:tcBorders>
          </w:tcPr>
          <w:p>
            <w:pPr>
              <w:spacing w:after="0"/>
              <w:rPr>
                <w:sz w:val="2"/>
                <w:szCs w:val="2"/>
                <w:color w:val="auto"/>
              </w:rPr>
            </w:pPr>
          </w:p>
        </w:tc>
        <w:tc>
          <w:tcPr>
            <w:tcW w:w="2800" w:type="dxa"/>
            <w:vAlign w:val="bottom"/>
            <w:tcBorders>
              <w:bottom w:val="single" w:sz="8" w:color="333333"/>
            </w:tcBorders>
          </w:tcPr>
          <w:p>
            <w:pPr>
              <w:spacing w:after="0"/>
              <w:rPr>
                <w:sz w:val="2"/>
                <w:szCs w:val="2"/>
                <w:color w:val="auto"/>
              </w:rPr>
            </w:pPr>
          </w:p>
        </w:tc>
        <w:tc>
          <w:tcPr>
            <w:tcW w:w="20" w:type="dxa"/>
            <w:vAlign w:val="bottom"/>
            <w:tcBorders>
              <w:bottom w:val="single" w:sz="8" w:color="333333"/>
            </w:tcBorders>
          </w:tcPr>
          <w:p>
            <w:pPr>
              <w:spacing w:after="0"/>
              <w:rPr>
                <w:sz w:val="2"/>
                <w:szCs w:val="2"/>
                <w:color w:val="auto"/>
              </w:rPr>
            </w:pPr>
          </w:p>
        </w:tc>
      </w:tr>
      <w:tr>
        <w:trPr>
          <w:trHeight w:val="198"/>
        </w:trPr>
        <w:tc>
          <w:tcPr>
            <w:tcW w:w="2460" w:type="dxa"/>
            <w:vAlign w:val="bottom"/>
            <w:tcBorders>
              <w:right w:val="single" w:sz="8" w:color="333333"/>
            </w:tcBorders>
          </w:tcPr>
          <w:p>
            <w:pPr>
              <w:ind w:left="100"/>
              <w:spacing w:after="0"/>
              <w:rPr>
                <w:sz w:val="20"/>
                <w:szCs w:val="20"/>
                <w:color w:val="auto"/>
              </w:rPr>
            </w:pPr>
            <w:r>
              <w:rPr>
                <w:rFonts w:ascii="Arial" w:cs="Arial" w:eastAsia="Arial" w:hAnsi="Arial"/>
                <w:sz w:val="15"/>
                <w:szCs w:val="15"/>
                <w:color w:val="333333"/>
              </w:rPr>
              <w:t>Michael L. Gravelle</w:t>
            </w:r>
          </w:p>
        </w:tc>
        <w:tc>
          <w:tcPr>
            <w:tcW w:w="260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333333"/>
                <w:w w:val="98"/>
              </w:rPr>
              <w:t>33,043</w:t>
            </w:r>
          </w:p>
        </w:tc>
        <w:tc>
          <w:tcPr>
            <w:tcW w:w="2800" w:type="dxa"/>
            <w:vAlign w:val="bottom"/>
          </w:tcPr>
          <w:p>
            <w:pPr>
              <w:jc w:val="right"/>
              <w:ind w:right="983"/>
              <w:spacing w:after="0"/>
              <w:rPr>
                <w:sz w:val="20"/>
                <w:szCs w:val="20"/>
                <w:color w:val="auto"/>
              </w:rPr>
            </w:pPr>
            <w:r>
              <w:rPr>
                <w:rFonts w:ascii="Arial" w:cs="Arial" w:eastAsia="Arial" w:hAnsi="Arial"/>
                <w:sz w:val="16"/>
                <w:szCs w:val="16"/>
                <w:color w:val="333333"/>
              </w:rPr>
              <w:t>1,884,850</w:t>
            </w:r>
          </w:p>
        </w:tc>
        <w:tc>
          <w:tcPr>
            <w:tcW w:w="20" w:type="dxa"/>
            <w:vAlign w:val="bottom"/>
          </w:tcPr>
          <w:p>
            <w:pPr>
              <w:spacing w:after="0"/>
              <w:rPr>
                <w:sz w:val="17"/>
                <w:szCs w:val="17"/>
                <w:color w:val="auto"/>
              </w:rPr>
            </w:pPr>
          </w:p>
        </w:tc>
      </w:tr>
      <w:tr>
        <w:trPr>
          <w:trHeight w:val="29"/>
        </w:trPr>
        <w:tc>
          <w:tcPr>
            <w:tcW w:w="2460" w:type="dxa"/>
            <w:vAlign w:val="bottom"/>
            <w:tcBorders>
              <w:bottom w:val="single" w:sz="8" w:color="333333"/>
              <w:right w:val="single" w:sz="8" w:color="333333"/>
            </w:tcBorders>
          </w:tcPr>
          <w:p>
            <w:pPr>
              <w:spacing w:after="0"/>
              <w:rPr>
                <w:sz w:val="2"/>
                <w:szCs w:val="2"/>
                <w:color w:val="auto"/>
              </w:rPr>
            </w:pPr>
          </w:p>
        </w:tc>
        <w:tc>
          <w:tcPr>
            <w:tcW w:w="2600" w:type="dxa"/>
            <w:vAlign w:val="bottom"/>
            <w:tcBorders>
              <w:bottom w:val="single" w:sz="8" w:color="333333"/>
              <w:right w:val="single" w:sz="8" w:color="333333"/>
            </w:tcBorders>
          </w:tcPr>
          <w:p>
            <w:pPr>
              <w:spacing w:after="0"/>
              <w:rPr>
                <w:sz w:val="2"/>
                <w:szCs w:val="2"/>
                <w:color w:val="auto"/>
              </w:rPr>
            </w:pPr>
          </w:p>
        </w:tc>
        <w:tc>
          <w:tcPr>
            <w:tcW w:w="2800" w:type="dxa"/>
            <w:vAlign w:val="bottom"/>
            <w:tcBorders>
              <w:bottom w:val="single" w:sz="8" w:color="333333"/>
            </w:tcBorders>
          </w:tcPr>
          <w:p>
            <w:pPr>
              <w:spacing w:after="0"/>
              <w:rPr>
                <w:sz w:val="2"/>
                <w:szCs w:val="2"/>
                <w:color w:val="auto"/>
              </w:rPr>
            </w:pPr>
          </w:p>
        </w:tc>
        <w:tc>
          <w:tcPr>
            <w:tcW w:w="20" w:type="dxa"/>
            <w:vAlign w:val="bottom"/>
            <w:tcBorders>
              <w:bottom w:val="single" w:sz="8" w:color="333333"/>
            </w:tcBorders>
          </w:tcPr>
          <w:p>
            <w:pPr>
              <w:spacing w:after="0"/>
              <w:rPr>
                <w:sz w:val="2"/>
                <w:szCs w:val="2"/>
                <w:color w:val="auto"/>
              </w:rPr>
            </w:pPr>
          </w:p>
        </w:tc>
      </w:tr>
    </w:tbl>
    <w:p>
      <w:pPr>
        <w:spacing w:after="0" w:line="199"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EMPLOYMENT AGREEMENTS</w:t>
      </w:r>
    </w:p>
    <w:p>
      <w:pPr>
        <w:spacing w:after="0" w:line="230" w:lineRule="exact"/>
        <w:rPr>
          <w:sz w:val="20"/>
          <w:szCs w:val="20"/>
          <w:color w:val="auto"/>
        </w:rPr>
      </w:pPr>
    </w:p>
    <w:p>
      <w:pPr>
        <w:ind w:left="1180" w:right="40"/>
        <w:spacing w:after="0" w:line="247" w:lineRule="auto"/>
        <w:rPr>
          <w:sz w:val="20"/>
          <w:szCs w:val="20"/>
          <w:color w:val="auto"/>
        </w:rPr>
      </w:pPr>
      <w:r>
        <w:rPr>
          <w:rFonts w:ascii="Arial" w:cs="Arial" w:eastAsia="Arial" w:hAnsi="Arial"/>
          <w:sz w:val="18"/>
          <w:szCs w:val="18"/>
          <w:color w:val="333333"/>
        </w:rPr>
        <w:t>We have entered into employment agreements with all of our named executive officers. Additional information regarding post-termination benefits provided under these employment agreements can be found in the "Potential Payments Upon Termination or Change in Control" section.</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RAYMOND R. QUIRK</w:t>
      </w:r>
    </w:p>
    <w:p>
      <w:pPr>
        <w:spacing w:after="0" w:line="218" w:lineRule="exact"/>
        <w:rPr>
          <w:sz w:val="20"/>
          <w:szCs w:val="20"/>
          <w:color w:val="auto"/>
        </w:rPr>
      </w:pPr>
    </w:p>
    <w:p>
      <w:pPr>
        <w:ind w:left="1180" w:right="60"/>
        <w:spacing w:after="0" w:line="235" w:lineRule="auto"/>
        <w:rPr>
          <w:sz w:val="20"/>
          <w:szCs w:val="20"/>
          <w:color w:val="auto"/>
        </w:rPr>
      </w:pPr>
      <w:r>
        <w:rPr>
          <w:rFonts w:ascii="Arial" w:cs="Arial" w:eastAsia="Arial" w:hAnsi="Arial"/>
          <w:sz w:val="18"/>
          <w:szCs w:val="18"/>
          <w:color w:val="333333"/>
        </w:rPr>
        <w:t>In connection with Mr. Quirk's transition from Chief Executive Officer to Executive Vice-Chairman of our Board, we entered into a three-year Amended and Restated Employment Agreement with Mr. Quirk, effective as of February 1, 2022, with a provision for automatic annual extensions beginning on the first anniversary of the effective date and continuing thereafter unless either party provides timely notice that the term should not be extended. Pursuant to the terms of Mr. Quirk's employment agreement, his minimum annual base salary was set at $750,000 with an annual cash incentive target of 150% of his annual base salary, with amounts payable depending on performance relative to targeted results. Mr. Quirk and his eligible dependents were entitled to medical and other insurance coverage we provide to our other top executives as a group.</w:t>
      </w:r>
    </w:p>
    <w:p>
      <w:pPr>
        <w:spacing w:after="0" w:line="183" w:lineRule="exact"/>
        <w:rPr>
          <w:sz w:val="20"/>
          <w:szCs w:val="20"/>
          <w:color w:val="auto"/>
        </w:rPr>
      </w:pPr>
    </w:p>
    <w:p>
      <w:pPr>
        <w:ind w:left="1180" w:right="660"/>
        <w:spacing w:after="0" w:line="266" w:lineRule="auto"/>
        <w:rPr>
          <w:sz w:val="20"/>
          <w:szCs w:val="20"/>
          <w:color w:val="auto"/>
        </w:rPr>
      </w:pPr>
      <w:r>
        <w:rPr>
          <w:rFonts w:ascii="Arial" w:cs="Arial" w:eastAsia="Arial" w:hAnsi="Arial"/>
          <w:sz w:val="18"/>
          <w:szCs w:val="18"/>
          <w:color w:val="333333"/>
        </w:rPr>
        <w:t>Mr. Quirk is also eligible to receive equity grants under our equity incentive plans, as determined by our compensation committee.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58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54F79"/>
          </w:tcPr>
          <w:p>
            <w:pPr>
              <w:spacing w:after="0"/>
              <w:rPr>
                <w:sz w:val="23"/>
                <w:szCs w:val="23"/>
                <w:color w:val="auto"/>
              </w:rPr>
            </w:pPr>
          </w:p>
        </w:tc>
        <w:tc>
          <w:tcPr>
            <w:tcW w:w="4380" w:type="dxa"/>
            <w:vAlign w:val="bottom"/>
            <w:shd w:val="clear" w:color="auto" w:fill="254F79"/>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62" w:name="page63"/>
    <w:bookmarkEnd w:id="62"/>
    <w:p>
      <w:pPr>
        <w:ind w:left="820"/>
        <w:spacing w:after="0"/>
        <w:rPr>
          <w:sz w:val="20"/>
          <w:szCs w:val="20"/>
          <w:color w:val="auto"/>
        </w:rPr>
      </w:pPr>
      <w:r>
        <w:rPr>
          <w:rFonts w:ascii="Arial" w:cs="Arial" w:eastAsia="Arial" w:hAnsi="Arial"/>
          <w:sz w:val="20"/>
          <w:szCs w:val="20"/>
          <w:b w:val="1"/>
          <w:bCs w:val="1"/>
          <w:color w:val="727898"/>
        </w:rPr>
        <w:t>MICHAEL J. NOLAN</w:t>
      </w:r>
    </w:p>
    <w:p>
      <w:pPr>
        <w:spacing w:after="0" w:line="228"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In connection with Mr. Nolan's transition from President to Chief Executive Officer, we entered into a three-year Amended and</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Restated Employment Agreement, effective as of February 1, 2022, with a provision for automatic annual extensions beginning on</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the first anniversary of the effective date and continuing thereafter unless either party provides timely notice that the term should not</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be extended. Pursuant to the terms of Mr. Nolan's employment agreement, Mr. Nolan is entitled to an annual base salary of</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$900,000 and an annual incentive target of 150% of his annual base salary, with amounts payable depending on performance</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relative to targeted results. Mr. Nolan and his eligible dependents are entitled to medical and other insurance coverage we provide</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to our other top executives as a group. Mr. Nolan is also eligible to receive equity grants under our equity incentive plans, as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333333"/>
        </w:rPr>
        <w:t>determined by our compensation committee.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333333"/>
        </w:rPr>
        <w:t>Mr. Nolan's employment agreement contained provisions related to the payment of benefits upon certain termination events.</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333333"/>
        </w:rPr>
        <w:t>The details of these provisions are set forth in the "Potential Payments Upon Termination or Change in Control" section.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727898"/>
        </w:rPr>
        <w:t>ANTHONY J. PARK</w:t>
      </w:r>
    </w:p>
    <w:p>
      <w:pPr>
        <w:spacing w:after="0" w:line="228" w:lineRule="exact"/>
        <w:rPr>
          <w:sz w:val="20"/>
          <w:szCs w:val="20"/>
          <w:color w:val="auto"/>
        </w:rPr>
      </w:pPr>
    </w:p>
    <w:p>
      <w:pPr>
        <w:ind w:left="820" w:right="20"/>
        <w:spacing w:after="0" w:line="246" w:lineRule="auto"/>
        <w:rPr>
          <w:sz w:val="20"/>
          <w:szCs w:val="20"/>
          <w:color w:val="auto"/>
        </w:rPr>
      </w:pPr>
      <w:r>
        <w:rPr>
          <w:rFonts w:ascii="Arial" w:cs="Arial" w:eastAsia="Arial" w:hAnsi="Arial"/>
          <w:sz w:val="17"/>
          <w:szCs w:val="17"/>
          <w:color w:val="333333"/>
        </w:rPr>
        <w:t>We entered into a three-year amended and restated employment agreement with Mr. Park, effective as of October 10, 2008, with a provision for automatic annual extensions beginning on the first anniversary of the effective date and continuing thereafter unless either party provides timely notice that the term should not be extended. Under the terms of the 2008 agreement, Mr. Park's minimum annual base salary is $375,000, with an annual cash incentive target equal to at least 100% of his annual base salary, with amounts payable depending on performance relative to targeted results. Mr. Park is entitled to supplemental disability insurance sufficient to provide at least 2/3 of his pre-disability base salary, and Mr. Park and his eligible dependents are entitled to medical and other insurance coverage we provide to our other top executives as a group. Mr. Park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spacing w:after="0" w:line="381" w:lineRule="exact"/>
        <w:rPr>
          <w:sz w:val="20"/>
          <w:szCs w:val="20"/>
          <w:color w:val="auto"/>
        </w:rPr>
      </w:pPr>
    </w:p>
    <w:p>
      <w:pPr>
        <w:ind w:left="820"/>
        <w:spacing w:after="0" w:line="266" w:lineRule="auto"/>
        <w:rPr>
          <w:sz w:val="20"/>
          <w:szCs w:val="20"/>
          <w:color w:val="auto"/>
        </w:rPr>
      </w:pPr>
      <w:r>
        <w:rPr>
          <w:rFonts w:ascii="Arial" w:cs="Arial" w:eastAsia="Arial" w:hAnsi="Arial"/>
          <w:sz w:val="18"/>
          <w:szCs w:val="18"/>
          <w:color w:val="333333"/>
        </w:rPr>
        <w:t>Mr. Park's employment agreement contains provisions related to the payment of benefits upon certain termination events. The details of these provisions are set forth in the "Potential Payments Upon Termination or Change in Control" section.</w:t>
      </w:r>
    </w:p>
    <w:p>
      <w:pPr>
        <w:spacing w:after="0" w:line="15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727898"/>
        </w:rPr>
        <w:t>PETER T. SADOWSKI</w:t>
      </w:r>
    </w:p>
    <w:p>
      <w:pPr>
        <w:spacing w:after="0" w:line="228" w:lineRule="exact"/>
        <w:rPr>
          <w:sz w:val="20"/>
          <w:szCs w:val="20"/>
          <w:color w:val="auto"/>
        </w:rPr>
      </w:pPr>
    </w:p>
    <w:p>
      <w:pPr>
        <w:ind w:left="820"/>
        <w:spacing w:after="0" w:line="246" w:lineRule="auto"/>
        <w:rPr>
          <w:sz w:val="20"/>
          <w:szCs w:val="20"/>
          <w:color w:val="auto"/>
        </w:rPr>
      </w:pPr>
      <w:r>
        <w:rPr>
          <w:rFonts w:ascii="Arial" w:cs="Arial" w:eastAsia="Arial" w:hAnsi="Arial"/>
          <w:sz w:val="17"/>
          <w:szCs w:val="17"/>
          <w:color w:val="333333"/>
        </w:rPr>
        <w:t>We entered into a three-year amended and restated employment agreement with Mr. Sadowski, effective as of July 23, 2008, with a provision for automatic annual extensions beginning on the first anniversary of the effective date and continuing thereafter unless either party provides timely notice that the term should not be extended. Under the terms of the 2008 agreement, Mr. Sadowski's minimum annual base salary is $460,000, with an annual cash incentive target of 105% his annual base salary, with amounts payable depending on performance relative to targeted results. Mr. Sadowski is entitled to supplemental disability insurance sufficient to provide at least 2/3 of his pre-disability base salary, and Mr. Sadowski and his eligible dependents are entitled to medical and other insurance coverage we provide to our other top executives as a group. Mr. Sadowski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128270</wp:posOffset>
            </wp:positionV>
            <wp:extent cx="7144385" cy="305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305435"/>
                    </a:xfrm>
                    <a:prstGeom prst="rect">
                      <a:avLst/>
                    </a:prstGeom>
                    <a:noFill/>
                  </pic:spPr>
                </pic:pic>
              </a:graphicData>
            </a:graphic>
          </wp:anchor>
        </w:drawing>
      </w:r>
    </w:p>
    <w:p>
      <w:pPr>
        <w:spacing w:after="0" w:line="284"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59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60"/>
          </w:cols>
          <w:pgMar w:left="680" w:top="828" w:right="359" w:bottom="1440" w:gutter="0" w:footer="0" w:header="0"/>
        </w:sectPr>
      </w:pPr>
    </w:p>
    <w:bookmarkStart w:id="63" w:name="page64"/>
    <w:bookmarkEnd w:id="63"/>
    <w:p>
      <w:pPr>
        <w:jc w:val="both"/>
        <w:ind w:left="1180" w:right="560"/>
        <w:spacing w:after="0" w:line="247" w:lineRule="auto"/>
        <w:rPr>
          <w:sz w:val="20"/>
          <w:szCs w:val="20"/>
          <w:color w:val="auto"/>
        </w:rPr>
      </w:pPr>
      <w:r>
        <w:rPr>
          <w:rFonts w:ascii="Arial" w:cs="Arial" w:eastAsia="Arial" w:hAnsi="Arial"/>
          <w:sz w:val="18"/>
          <w:szCs w:val="18"/>
          <w:color w:val="333333"/>
        </w:rPr>
        <w:t>Mr. Sadowski's employment agreement contains provisions related to the payment of benefits upon certain termination events. The details of these provisions are set forth in the "Potential Payments Upon Termination or Change in Control" section.</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MICHAEL L. GRAVELLE</w:t>
      </w:r>
    </w:p>
    <w:p>
      <w:pPr>
        <w:spacing w:after="0" w:line="228" w:lineRule="exact"/>
        <w:rPr>
          <w:sz w:val="20"/>
          <w:szCs w:val="20"/>
          <w:color w:val="auto"/>
        </w:rPr>
      </w:pPr>
    </w:p>
    <w:p>
      <w:pPr>
        <w:ind w:left="1180"/>
        <w:spacing w:after="0" w:line="245" w:lineRule="auto"/>
        <w:rPr>
          <w:sz w:val="20"/>
          <w:szCs w:val="20"/>
          <w:color w:val="auto"/>
        </w:rPr>
      </w:pPr>
      <w:r>
        <w:rPr>
          <w:rFonts w:ascii="Arial" w:cs="Arial" w:eastAsia="Arial" w:hAnsi="Arial"/>
          <w:sz w:val="17"/>
          <w:szCs w:val="17"/>
          <w:color w:val="333333"/>
        </w:rPr>
        <w:t>We entered into a three-year amended and restated employment agreement with Mr. Gravelle, effective as of January 1, 2010, to serve as our Executive Vice President, General Counsel and Corporate Secretary, with a provision for automatic annual extensions beginning on the first anniversary of the effective date and continuing thereafter unless either party provides timely notice that the term should not be extended. Under the terms of the agreement as amended effective November 1, 2019, Mr. Gravelle's minimum annual base salary is $326,375 with an annual cash incentive target equal to at least 105% of his base salary with a maximum of up to 210% of his target opportunity, with amounts payable depending on performance relative to targeted results. Mr. Gravelle is entitled to purchase supplemental disability insurance sufficient to provide at least 60% of his pre-disability base salary, and Mr. Gravelle and his eligible dependents are entitled to medical and other insurance coverage we provide to our other top executives as a group. Mr. Gravelle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spacing w:after="0" w:line="186" w:lineRule="exact"/>
        <w:rPr>
          <w:sz w:val="20"/>
          <w:szCs w:val="20"/>
          <w:color w:val="auto"/>
        </w:rPr>
      </w:pPr>
    </w:p>
    <w:p>
      <w:pPr>
        <w:ind w:left="1180"/>
        <w:spacing w:after="0"/>
        <w:rPr>
          <w:sz w:val="20"/>
          <w:szCs w:val="20"/>
          <w:color w:val="auto"/>
        </w:rPr>
      </w:pPr>
      <w:r>
        <w:rPr>
          <w:rFonts w:ascii="Arial" w:cs="Arial" w:eastAsia="Arial" w:hAnsi="Arial"/>
          <w:sz w:val="18"/>
          <w:szCs w:val="18"/>
          <w:color w:val="333333"/>
        </w:rPr>
        <w:t>Mr. Gravelle's employment agreement contains provisions related to the payment of benefits upon certain termination events.</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8"/>
          <w:szCs w:val="18"/>
          <w:color w:val="333333"/>
        </w:rPr>
        <w:t>The details of these provisions are set forth in the "Potential Payments Upon Termination or Change in Control" section.</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ANNUAL INCENTIVE AWARDS</w:t>
      </w:r>
    </w:p>
    <w:p>
      <w:pPr>
        <w:spacing w:after="0" w:line="239" w:lineRule="exact"/>
        <w:rPr>
          <w:sz w:val="20"/>
          <w:szCs w:val="20"/>
          <w:color w:val="auto"/>
        </w:rPr>
      </w:pPr>
    </w:p>
    <w:p>
      <w:pPr>
        <w:ind w:left="1180" w:right="220"/>
        <w:spacing w:after="0" w:line="251" w:lineRule="auto"/>
        <w:rPr>
          <w:sz w:val="20"/>
          <w:szCs w:val="20"/>
          <w:color w:val="auto"/>
        </w:rPr>
      </w:pPr>
      <w:r>
        <w:rPr>
          <w:rFonts w:ascii="Arial" w:cs="Arial" w:eastAsia="Arial" w:hAnsi="Arial"/>
          <w:sz w:val="17"/>
          <w:szCs w:val="17"/>
          <w:color w:val="333333"/>
        </w:rPr>
        <w:t>In April 2025, our compensation committee approved performance-based cash incentive opportunities for our named executive officers. The performance-based cash incentive opportunities are determined by multiplying base salary by the named executive officer's applicable percentage approved by our compensation committee based on the level of performance that we achieved. More information about the annual incentive awards, including the targets and criteria for determining the amounts payable to our named executive officers, can be found in the "Compensation Discussion and Analysis" section.</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LONG-TERM EQUITY INCENTIVE AWARDS</w:t>
      </w:r>
    </w:p>
    <w:p>
      <w:pPr>
        <w:spacing w:after="0" w:line="230" w:lineRule="exact"/>
        <w:rPr>
          <w:sz w:val="20"/>
          <w:szCs w:val="20"/>
          <w:color w:val="auto"/>
        </w:rPr>
      </w:pPr>
    </w:p>
    <w:p>
      <w:pPr>
        <w:ind w:left="1180"/>
        <w:spacing w:after="0" w:line="238" w:lineRule="auto"/>
        <w:rPr>
          <w:sz w:val="20"/>
          <w:szCs w:val="20"/>
          <w:color w:val="auto"/>
        </w:rPr>
      </w:pPr>
      <w:r>
        <w:rPr>
          <w:rFonts w:ascii="Arial" w:cs="Arial" w:eastAsia="Arial" w:hAnsi="Arial"/>
          <w:sz w:val="18"/>
          <w:szCs w:val="18"/>
          <w:color w:val="333333"/>
        </w:rPr>
        <w:t>In November 2025, our compensation committee approved grants of performance-based restricted stock to all our named executive officers. The performance element applicable to the performance-based restricted stock is based upon achievement of adjusted pre-tax title margin of 11.0% in at least two of the five quarters beginning October 1, 2025. The restricted stock also vests proportionately each year over three years based on continued employment with us. More information about the long-term equity incentive awards can be found in the "Compensation Discussion and Analysis" section.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60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54F79"/>
          </w:tcPr>
          <w:p>
            <w:pPr>
              <w:spacing w:after="0"/>
              <w:rPr>
                <w:sz w:val="23"/>
                <w:szCs w:val="23"/>
                <w:color w:val="auto"/>
              </w:rPr>
            </w:pPr>
          </w:p>
        </w:tc>
        <w:tc>
          <w:tcPr>
            <w:tcW w:w="4380" w:type="dxa"/>
            <w:vAlign w:val="bottom"/>
            <w:shd w:val="clear" w:color="auto" w:fill="254F79"/>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3" w:right="339" w:bottom="1440" w:gutter="0" w:footer="0" w:header="0"/>
        </w:sectPr>
      </w:pPr>
    </w:p>
    <w:bookmarkStart w:id="64" w:name="page65"/>
    <w:bookmarkEnd w:id="64"/>
    <w:p>
      <w:pPr>
        <w:ind w:left="820"/>
        <w:spacing w:after="0"/>
        <w:rPr>
          <w:sz w:val="20"/>
          <w:szCs w:val="20"/>
          <w:color w:val="auto"/>
        </w:rPr>
      </w:pPr>
      <w:r>
        <w:rPr>
          <w:rFonts w:ascii="Arial" w:cs="Arial" w:eastAsia="Arial" w:hAnsi="Arial"/>
          <w:sz w:val="23"/>
          <w:szCs w:val="23"/>
          <w:b w:val="1"/>
          <w:bCs w:val="1"/>
          <w:color w:val="586D94"/>
        </w:rPr>
        <w:t>NONQUALIFIED DEFERRED COMPENSATION</w:t>
      </w:r>
    </w:p>
    <w:p>
      <w:pPr>
        <w:spacing w:after="0" w:line="230" w:lineRule="exact"/>
        <w:rPr>
          <w:sz w:val="20"/>
          <w:szCs w:val="20"/>
          <w:color w:val="auto"/>
        </w:rPr>
      </w:pPr>
    </w:p>
    <w:p>
      <w:pPr>
        <w:ind w:left="820" w:right="20"/>
        <w:spacing w:after="0" w:line="241" w:lineRule="auto"/>
        <w:rPr>
          <w:sz w:val="20"/>
          <w:szCs w:val="20"/>
          <w:color w:val="auto"/>
        </w:rPr>
      </w:pPr>
      <w:r>
        <w:rPr>
          <w:rFonts w:ascii="Arial" w:cs="Arial" w:eastAsia="Arial" w:hAnsi="Arial"/>
          <w:sz w:val="18"/>
          <w:szCs w:val="18"/>
          <w:color w:val="333333"/>
        </w:rPr>
        <w:t>Under our nonqualified deferred compensation plan, which was amended and restated effective January 1, 2009, participants, including our named executive officers, can defer up to 75% of their base salary and 100% of their monthly, quarterly and annual incentives. Deferral elections are made during specified enrollment periods. Deferrals and related earnings are not subject to vesting conditions.</w:t>
      </w:r>
    </w:p>
    <w:p>
      <w:pPr>
        <w:spacing w:after="0" w:line="188" w:lineRule="exact"/>
        <w:rPr>
          <w:sz w:val="20"/>
          <w:szCs w:val="20"/>
          <w:color w:val="auto"/>
        </w:rPr>
      </w:pPr>
    </w:p>
    <w:p>
      <w:pPr>
        <w:ind w:left="820" w:right="100"/>
        <w:spacing w:after="0" w:line="260" w:lineRule="auto"/>
        <w:rPr>
          <w:sz w:val="20"/>
          <w:szCs w:val="20"/>
          <w:color w:val="auto"/>
        </w:rPr>
      </w:pPr>
      <w:r>
        <w:rPr>
          <w:rFonts w:ascii="Arial" w:cs="Arial" w:eastAsia="Arial" w:hAnsi="Arial"/>
          <w:sz w:val="17"/>
          <w:szCs w:val="17"/>
          <w:color w:val="333333"/>
        </w:rPr>
        <w:t>Participants' accounts are bookkeeping entries only and participants' benefits are unsecured. Participants' accounts are credited or debited daily based on the performance of hypothetical investments selected by the participant and may be changed on any business day.</w:t>
      </w:r>
    </w:p>
    <w:p>
      <w:pPr>
        <w:spacing w:after="0" w:line="178" w:lineRule="exact"/>
        <w:rPr>
          <w:sz w:val="20"/>
          <w:szCs w:val="20"/>
          <w:color w:val="auto"/>
        </w:rPr>
      </w:pPr>
    </w:p>
    <w:p>
      <w:pPr>
        <w:ind w:left="820"/>
        <w:spacing w:after="0" w:line="247" w:lineRule="auto"/>
        <w:rPr>
          <w:sz w:val="20"/>
          <w:szCs w:val="20"/>
          <w:color w:val="auto"/>
        </w:rPr>
      </w:pPr>
      <w:r>
        <w:rPr>
          <w:rFonts w:ascii="Arial" w:cs="Arial" w:eastAsia="Arial" w:hAnsi="Arial"/>
          <w:sz w:val="17"/>
          <w:szCs w:val="17"/>
          <w:color w:val="333333"/>
        </w:rPr>
        <w:t>Upon retirement, which generally means separation of employment after attaining age 60, an individual may elect either a lump-sum withdrawal or installment payments over 5, 10 or 15 years. Similar payment elections are available for pre-retirement survivor benefits. In the event of a termination prior to retirement, distributions are paid over a 5-year period. Account balances less than the applicable Internal Revenue Code Section 402(g) limit will be distributed in a lump sum. Participants can elect to receive in-service distributions in a plan year designated by the participant and these amounts will be paid within two and one-half months from the close of the plan year in which they were elected to be paid. The participant may also petition us to suspend elected deferrals, and to receive partial or full payout under the plan, in the event of an unforeseeable financial emergency, provided that the participant does not have other resources to meet the hardship.</w:t>
      </w:r>
    </w:p>
    <w:p>
      <w:pPr>
        <w:spacing w:after="0" w:line="180" w:lineRule="exact"/>
        <w:rPr>
          <w:sz w:val="20"/>
          <w:szCs w:val="20"/>
          <w:color w:val="auto"/>
        </w:rPr>
      </w:pPr>
    </w:p>
    <w:p>
      <w:pPr>
        <w:ind w:left="820" w:right="360"/>
        <w:spacing w:after="0" w:line="266" w:lineRule="auto"/>
        <w:rPr>
          <w:sz w:val="20"/>
          <w:szCs w:val="20"/>
          <w:color w:val="auto"/>
        </w:rPr>
      </w:pPr>
      <w:r>
        <w:rPr>
          <w:rFonts w:ascii="Arial" w:cs="Arial" w:eastAsia="Arial" w:hAnsi="Arial"/>
          <w:sz w:val="18"/>
          <w:szCs w:val="18"/>
          <w:color w:val="333333"/>
        </w:rPr>
        <w:t>Plan participation continues until termination of employment. Participants will receive their account balance in a lump-sum distribution if employment is terminated within two years after a change in control.</w:t>
      </w:r>
    </w:p>
    <w:p>
      <w:pPr>
        <w:spacing w:after="0" w:line="157" w:lineRule="exact"/>
        <w:rPr>
          <w:sz w:val="20"/>
          <w:szCs w:val="20"/>
          <w:color w:val="auto"/>
        </w:rPr>
      </w:pPr>
    </w:p>
    <w:p>
      <w:pPr>
        <w:ind w:left="820" w:right="40"/>
        <w:spacing w:after="0" w:line="247" w:lineRule="auto"/>
        <w:rPr>
          <w:sz w:val="20"/>
          <w:szCs w:val="20"/>
          <w:color w:val="auto"/>
        </w:rPr>
      </w:pPr>
      <w:r>
        <w:rPr>
          <w:rFonts w:ascii="Arial" w:cs="Arial" w:eastAsia="Arial" w:hAnsi="Arial"/>
          <w:sz w:val="18"/>
          <w:szCs w:val="18"/>
          <w:color w:val="333333"/>
        </w:rPr>
        <w:t>In 2004, Section 409A of the Internal Revenue Code was passed. Section 409A changed the tax laws applicable to nonqualified deferred compensation plans, generally placing more restrictions on the timing of deferrals and distributions. The deferred compensation plan contains amounts deferred before and after the passage of Section 409A.</w:t>
      </w:r>
    </w:p>
    <w:p>
      <w:pPr>
        <w:spacing w:after="0" w:line="174" w:lineRule="exact"/>
        <w:rPr>
          <w:sz w:val="20"/>
          <w:szCs w:val="20"/>
          <w:color w:val="auto"/>
        </w:rPr>
      </w:pPr>
    </w:p>
    <w:p>
      <w:pPr>
        <w:ind w:left="820" w:right="760"/>
        <w:spacing w:after="0" w:line="266" w:lineRule="auto"/>
        <w:rPr>
          <w:sz w:val="20"/>
          <w:szCs w:val="20"/>
          <w:color w:val="auto"/>
        </w:rPr>
      </w:pPr>
      <w:r>
        <w:rPr>
          <w:rFonts w:ascii="Arial" w:cs="Arial" w:eastAsia="Arial" w:hAnsi="Arial"/>
          <w:sz w:val="18"/>
          <w:szCs w:val="18"/>
          <w:color w:val="333333"/>
        </w:rPr>
        <w:t>For amounts subject to Section 409A, which in general terms includes amounts deferred after December 31, 2004, a modification to a participant's payment elections may be made upon the following events:</w:t>
      </w:r>
    </w:p>
    <w:p>
      <w:pPr>
        <w:spacing w:after="0" w:line="157" w:lineRule="exact"/>
        <w:rPr>
          <w:sz w:val="20"/>
          <w:szCs w:val="20"/>
          <w:color w:val="auto"/>
        </w:rPr>
      </w:pPr>
    </w:p>
    <w:p>
      <w:pPr>
        <w:ind w:left="1200" w:right="320" w:hanging="255"/>
        <w:spacing w:after="0" w:line="241" w:lineRule="auto"/>
        <w:tabs>
          <w:tab w:leader="none" w:pos="1200" w:val="left"/>
        </w:tabs>
        <w:numPr>
          <w:ilvl w:val="0"/>
          <w:numId w:val="57"/>
        </w:numPr>
        <w:rPr>
          <w:rFonts w:ascii="Arial" w:cs="Arial" w:eastAsia="Arial" w:hAnsi="Arial"/>
          <w:sz w:val="18"/>
          <w:szCs w:val="18"/>
          <w:color w:val="333333"/>
        </w:rPr>
      </w:pPr>
      <w:r>
        <w:rPr>
          <w:rFonts w:ascii="Arial" w:cs="Arial" w:eastAsia="Arial" w:hAnsi="Arial"/>
          <w:sz w:val="18"/>
          <w:szCs w:val="18"/>
          <w:b w:val="1"/>
          <w:bCs w:val="1"/>
          <w:color w:val="062A5D"/>
        </w:rPr>
        <w:t xml:space="preserve">Retirement: </w:t>
      </w:r>
      <w:r>
        <w:rPr>
          <w:rFonts w:ascii="Arial" w:cs="Arial" w:eastAsia="Arial" w:hAnsi="Arial"/>
          <w:sz w:val="18"/>
          <w:szCs w:val="18"/>
          <w:color w:val="333333"/>
        </w:rPr>
        <w:t>Participants may modify the distribution schedule for a retirement distribution from a lump-sum to annual</w:t>
      </w:r>
      <w:r>
        <w:rPr>
          <w:rFonts w:ascii="Arial" w:cs="Arial" w:eastAsia="Arial" w:hAnsi="Arial"/>
          <w:sz w:val="18"/>
          <w:szCs w:val="18"/>
          <w:b w:val="1"/>
          <w:bCs w:val="1"/>
          <w:color w:val="062A5D"/>
        </w:rPr>
        <w:t xml:space="preserve"> </w:t>
      </w:r>
      <w:r>
        <w:rPr>
          <w:rFonts w:ascii="Arial" w:cs="Arial" w:eastAsia="Arial" w:hAnsi="Arial"/>
          <w:sz w:val="18"/>
          <w:szCs w:val="18"/>
          <w:color w:val="333333"/>
        </w:rPr>
        <w:t>installments or vice versa, however, a modification to the form of payment requires that the payment(s) commence at least five years after the participant's retirement, and this election must be filed with the administrator at least 12 months prior to retirement.</w:t>
      </w:r>
    </w:p>
    <w:p>
      <w:pPr>
        <w:spacing w:after="0" w:line="154" w:lineRule="exact"/>
        <w:rPr>
          <w:rFonts w:ascii="Arial" w:cs="Arial" w:eastAsia="Arial" w:hAnsi="Arial"/>
          <w:sz w:val="18"/>
          <w:szCs w:val="18"/>
          <w:color w:val="333333"/>
        </w:rPr>
      </w:pPr>
    </w:p>
    <w:p>
      <w:pPr>
        <w:ind w:left="1200" w:right="100" w:hanging="255"/>
        <w:spacing w:after="0" w:line="247" w:lineRule="auto"/>
        <w:tabs>
          <w:tab w:leader="none" w:pos="1200" w:val="left"/>
        </w:tabs>
        <w:numPr>
          <w:ilvl w:val="0"/>
          <w:numId w:val="57"/>
        </w:numPr>
        <w:rPr>
          <w:rFonts w:ascii="Arial" w:cs="Arial" w:eastAsia="Arial" w:hAnsi="Arial"/>
          <w:sz w:val="18"/>
          <w:szCs w:val="18"/>
          <w:color w:val="333333"/>
        </w:rPr>
      </w:pPr>
      <w:r>
        <w:rPr>
          <w:rFonts w:ascii="Arial" w:cs="Arial" w:eastAsia="Arial" w:hAnsi="Arial"/>
          <w:sz w:val="18"/>
          <w:szCs w:val="18"/>
          <w:b w:val="1"/>
          <w:bCs w:val="1"/>
          <w:color w:val="062A5D"/>
        </w:rPr>
        <w:t xml:space="preserve">In-service Distributions: </w:t>
      </w:r>
      <w:r>
        <w:rPr>
          <w:rFonts w:ascii="Arial" w:cs="Arial" w:eastAsia="Arial" w:hAnsi="Arial"/>
          <w:sz w:val="18"/>
          <w:szCs w:val="18"/>
          <w:color w:val="333333"/>
        </w:rPr>
        <w:t>Participants may modify each in-service distribution date by extending it by at least five years;</w:t>
      </w:r>
      <w:r>
        <w:rPr>
          <w:rFonts w:ascii="Arial" w:cs="Arial" w:eastAsia="Arial" w:hAnsi="Arial"/>
          <w:sz w:val="18"/>
          <w:szCs w:val="18"/>
          <w:b w:val="1"/>
          <w:bCs w:val="1"/>
          <w:color w:val="062A5D"/>
        </w:rPr>
        <w:t xml:space="preserve"> </w:t>
      </w:r>
      <w:r>
        <w:rPr>
          <w:rFonts w:ascii="Arial" w:cs="Arial" w:eastAsia="Arial" w:hAnsi="Arial"/>
          <w:sz w:val="18"/>
          <w:szCs w:val="18"/>
          <w:color w:val="333333"/>
        </w:rPr>
        <w:t>however, participants may not accelerate the in-service distribution date and this election must be filed with the administrator at least 12 months prior to the scheduled in-service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124460</wp:posOffset>
            </wp:positionV>
            <wp:extent cx="7144385" cy="305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305435"/>
                    </a:xfrm>
                    <a:prstGeom prst="rect">
                      <a:avLst/>
                    </a:prstGeom>
                    <a:noFill/>
                  </pic:spPr>
                </pic:pic>
              </a:graphicData>
            </a:graphic>
          </wp:anchor>
        </w:drawing>
      </w:r>
    </w:p>
    <w:p>
      <w:pPr>
        <w:spacing w:after="0" w:line="27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61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80"/>
          </w:cols>
          <w:pgMar w:left="680" w:top="832" w:right="339" w:bottom="1440" w:gutter="0" w:footer="0" w:header="0"/>
        </w:sectPr>
      </w:pPr>
    </w:p>
    <w:bookmarkStart w:id="65" w:name="page66"/>
    <w:bookmarkEnd w:id="65"/>
    <w:p>
      <w:pPr>
        <w:ind w:left="1180" w:right="360"/>
        <w:spacing w:after="0" w:line="241" w:lineRule="auto"/>
        <w:rPr>
          <w:sz w:val="20"/>
          <w:szCs w:val="20"/>
          <w:color w:val="auto"/>
        </w:rPr>
      </w:pPr>
      <w:r>
        <w:rPr>
          <w:rFonts w:ascii="Arial" w:cs="Arial" w:eastAsia="Arial" w:hAnsi="Arial"/>
          <w:sz w:val="18"/>
          <w:szCs w:val="18"/>
          <w:color w:val="333333"/>
        </w:rPr>
        <w:t>Deferral amounts that were vested on or before December 31, 2004 are generally not subject to Section 409A and are governed by more liberal distribution provisions that were in effect prior to the passage of Section 409A. For example, a participant may withdraw these grandfathered amounts at any time, subject to a withdrawal penalty of ten percent, or may change the payment elections for these grandfathered amounts if notice is timely provided.</w:t>
      </w:r>
    </w:p>
    <w:p>
      <w:pPr>
        <w:spacing w:after="0" w:line="179" w:lineRule="exact"/>
        <w:rPr>
          <w:sz w:val="20"/>
          <w:szCs w:val="20"/>
          <w:color w:val="auto"/>
        </w:rPr>
      </w:pPr>
    </w:p>
    <w:p>
      <w:pPr>
        <w:ind w:left="1180" w:right="80"/>
        <w:spacing w:after="0" w:line="247" w:lineRule="auto"/>
        <w:rPr>
          <w:sz w:val="20"/>
          <w:szCs w:val="20"/>
          <w:color w:val="auto"/>
        </w:rPr>
      </w:pPr>
      <w:r>
        <w:rPr>
          <w:rFonts w:ascii="Arial" w:cs="Arial" w:eastAsia="Arial" w:hAnsi="Arial"/>
          <w:sz w:val="18"/>
          <w:szCs w:val="18"/>
          <w:color w:val="333333"/>
        </w:rPr>
        <w:t>The table below describes the contributions and distributions made with respect to the named executive officers' accounts under our nonqualified deferred compensation plan. Only Mr. Gravelle deferred 2025 compensation under the plan. Mr. Quirk does not have a balance in the nonqualified deferred compensation plan.</w:t>
      </w:r>
    </w:p>
    <w:p>
      <w:pPr>
        <w:spacing w:after="0" w:line="176" w:lineRule="exact"/>
        <w:rPr>
          <w:sz w:val="20"/>
          <w:szCs w:val="20"/>
          <w:color w:val="auto"/>
        </w:rPr>
      </w:pPr>
    </w:p>
    <w:tbl>
      <w:tblPr>
        <w:tblLayout w:type="fixed"/>
        <w:tblInd w:w="1190" w:type="dxa"/>
        <w:tblCellMar>
          <w:top w:w="0" w:type="dxa"/>
          <w:left w:w="0" w:type="dxa"/>
          <w:bottom w:w="0" w:type="dxa"/>
          <w:right w:w="0" w:type="dxa"/>
        </w:tblCellMar>
      </w:tblPr>
      <w:tr>
        <w:trPr>
          <w:trHeight w:val="296"/>
        </w:trPr>
        <w:tc>
          <w:tcPr>
            <w:tcW w:w="2040" w:type="dxa"/>
            <w:vAlign w:val="bottom"/>
            <w:tcBorders>
              <w:top w:val="single" w:sz="8" w:color="333333"/>
              <w:left w:val="single" w:sz="8" w:color="333333"/>
              <w:right w:val="single" w:sz="8" w:color="254F79"/>
            </w:tcBorders>
            <w:shd w:val="clear" w:color="auto" w:fill="254F79"/>
          </w:tcPr>
          <w:p>
            <w:pPr>
              <w:spacing w:after="0"/>
              <w:rPr>
                <w:sz w:val="24"/>
                <w:szCs w:val="24"/>
                <w:color w:val="auto"/>
              </w:rPr>
            </w:pPr>
          </w:p>
        </w:tc>
        <w:tc>
          <w:tcPr>
            <w:tcW w:w="1620" w:type="dxa"/>
            <w:vAlign w:val="bottom"/>
            <w:tcBorders>
              <w:top w:val="single" w:sz="8" w:color="333333"/>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Executive</w:t>
            </w:r>
          </w:p>
        </w:tc>
        <w:tc>
          <w:tcPr>
            <w:tcW w:w="1620" w:type="dxa"/>
            <w:vAlign w:val="bottom"/>
            <w:tcBorders>
              <w:top w:val="single" w:sz="8" w:color="333333"/>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Registrant</w:t>
            </w:r>
          </w:p>
        </w:tc>
        <w:tc>
          <w:tcPr>
            <w:tcW w:w="1340" w:type="dxa"/>
            <w:vAlign w:val="bottom"/>
            <w:tcBorders>
              <w:top w:val="single" w:sz="8" w:color="333333"/>
              <w:right w:val="single" w:sz="8" w:color="254F79"/>
            </w:tcBorders>
            <w:shd w:val="clear" w:color="auto" w:fill="254F79"/>
          </w:tcPr>
          <w:p>
            <w:pPr>
              <w:jc w:val="center"/>
              <w:ind w:right="146"/>
              <w:spacing w:after="0"/>
              <w:rPr>
                <w:sz w:val="20"/>
                <w:szCs w:val="20"/>
                <w:color w:val="auto"/>
              </w:rPr>
            </w:pPr>
            <w:r>
              <w:rPr>
                <w:rFonts w:ascii="Arial" w:cs="Arial" w:eastAsia="Arial" w:hAnsi="Arial"/>
                <w:sz w:val="15"/>
                <w:szCs w:val="15"/>
                <w:b w:val="1"/>
                <w:bCs w:val="1"/>
                <w:color w:val="FFFFFF"/>
                <w:w w:val="97"/>
              </w:rPr>
              <w:t>Aggregate</w:t>
            </w:r>
          </w:p>
        </w:tc>
        <w:tc>
          <w:tcPr>
            <w:tcW w:w="1620" w:type="dxa"/>
            <w:vAlign w:val="bottom"/>
            <w:tcBorders>
              <w:top w:val="single" w:sz="8" w:color="333333"/>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Aggregate</w:t>
            </w:r>
          </w:p>
        </w:tc>
        <w:tc>
          <w:tcPr>
            <w:tcW w:w="1340" w:type="dxa"/>
            <w:vAlign w:val="bottom"/>
            <w:tcBorders>
              <w:top w:val="single" w:sz="8" w:color="333333"/>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Aggregate</w:t>
            </w:r>
          </w:p>
        </w:tc>
      </w:tr>
      <w:tr>
        <w:trPr>
          <w:trHeight w:val="222"/>
        </w:trPr>
        <w:tc>
          <w:tcPr>
            <w:tcW w:w="2040" w:type="dxa"/>
            <w:vAlign w:val="bottom"/>
            <w:tcBorders>
              <w:left w:val="single" w:sz="8" w:color="333333"/>
              <w:right w:val="single" w:sz="8" w:color="254F79"/>
            </w:tcBorders>
            <w:shd w:val="clear" w:color="auto" w:fill="254F79"/>
          </w:tcPr>
          <w:p>
            <w:pPr>
              <w:spacing w:after="0"/>
              <w:rPr>
                <w:sz w:val="19"/>
                <w:szCs w:val="19"/>
                <w:color w:val="auto"/>
              </w:rPr>
            </w:pPr>
          </w:p>
        </w:tc>
        <w:tc>
          <w:tcPr>
            <w:tcW w:w="16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Contributions in</w:t>
            </w:r>
          </w:p>
        </w:tc>
        <w:tc>
          <w:tcPr>
            <w:tcW w:w="16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Contributions in</w:t>
            </w:r>
          </w:p>
        </w:tc>
        <w:tc>
          <w:tcPr>
            <w:tcW w:w="1340" w:type="dxa"/>
            <w:vAlign w:val="bottom"/>
            <w:tcBorders>
              <w:right w:val="single" w:sz="8" w:color="254F79"/>
            </w:tcBorders>
            <w:shd w:val="clear" w:color="auto" w:fill="254F79"/>
          </w:tcPr>
          <w:p>
            <w:pPr>
              <w:jc w:val="center"/>
              <w:ind w:right="146"/>
              <w:spacing w:after="0"/>
              <w:rPr>
                <w:sz w:val="20"/>
                <w:szCs w:val="20"/>
                <w:color w:val="auto"/>
              </w:rPr>
            </w:pPr>
            <w:r>
              <w:rPr>
                <w:rFonts w:ascii="Arial" w:cs="Arial" w:eastAsia="Arial" w:hAnsi="Arial"/>
                <w:sz w:val="15"/>
                <w:szCs w:val="15"/>
                <w:b w:val="1"/>
                <w:bCs w:val="1"/>
                <w:color w:val="FFFFFF"/>
                <w:w w:val="97"/>
              </w:rPr>
              <w:t>Earnings in</w:t>
            </w:r>
          </w:p>
        </w:tc>
        <w:tc>
          <w:tcPr>
            <w:tcW w:w="16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Withdrawals/</w:t>
            </w:r>
          </w:p>
        </w:tc>
        <w:tc>
          <w:tcPr>
            <w:tcW w:w="1340" w:type="dxa"/>
            <w:vAlign w:val="bottom"/>
            <w:tcBorders>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Balance at</w:t>
            </w:r>
          </w:p>
        </w:tc>
      </w:tr>
      <w:tr>
        <w:trPr>
          <w:trHeight w:val="239"/>
        </w:trPr>
        <w:tc>
          <w:tcPr>
            <w:tcW w:w="2040" w:type="dxa"/>
            <w:vAlign w:val="bottom"/>
            <w:tcBorders>
              <w:left w:val="single" w:sz="8" w:color="333333"/>
              <w:bottom w:val="single" w:sz="8" w:color="254F79"/>
              <w:right w:val="single" w:sz="8" w:color="254F79"/>
            </w:tcBorders>
            <w:shd w:val="clear" w:color="auto" w:fill="254F79"/>
          </w:tcPr>
          <w:p>
            <w:pPr>
              <w:ind w:left="160"/>
              <w:spacing w:after="0"/>
              <w:rPr>
                <w:sz w:val="20"/>
                <w:szCs w:val="20"/>
                <w:color w:val="auto"/>
              </w:rPr>
            </w:pPr>
            <w:r>
              <w:rPr>
                <w:rFonts w:ascii="Arial" w:cs="Arial" w:eastAsia="Arial" w:hAnsi="Arial"/>
                <w:sz w:val="15"/>
                <w:szCs w:val="15"/>
                <w:b w:val="1"/>
                <w:bCs w:val="1"/>
                <w:color w:val="FFFFFF"/>
              </w:rPr>
              <w:t>Name</w:t>
            </w:r>
          </w:p>
        </w:tc>
        <w:tc>
          <w:tcPr>
            <w:tcW w:w="1620" w:type="dxa"/>
            <w:vAlign w:val="bottom"/>
            <w:tcBorders>
              <w:bottom w:val="single" w:sz="8" w:color="254F79"/>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Last FY ($)</w:t>
            </w:r>
          </w:p>
        </w:tc>
        <w:tc>
          <w:tcPr>
            <w:tcW w:w="1620" w:type="dxa"/>
            <w:vAlign w:val="bottom"/>
            <w:tcBorders>
              <w:bottom w:val="single" w:sz="8" w:color="254F79"/>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6"/>
              </w:rPr>
              <w:t>Last FY ($)</w:t>
            </w:r>
          </w:p>
        </w:tc>
        <w:tc>
          <w:tcPr>
            <w:tcW w:w="1340" w:type="dxa"/>
            <w:vAlign w:val="bottom"/>
            <w:tcBorders>
              <w:bottom w:val="single" w:sz="8" w:color="254F79"/>
              <w:right w:val="single" w:sz="8" w:color="254F79"/>
            </w:tcBorders>
            <w:shd w:val="clear" w:color="auto" w:fill="254F79"/>
          </w:tcPr>
          <w:p>
            <w:pPr>
              <w:jc w:val="center"/>
              <w:ind w:right="106"/>
              <w:spacing w:after="0"/>
              <w:rPr>
                <w:sz w:val="20"/>
                <w:szCs w:val="20"/>
                <w:color w:val="auto"/>
              </w:rPr>
            </w:pPr>
            <w:r>
              <w:rPr>
                <w:rFonts w:ascii="Arial" w:cs="Arial" w:eastAsia="Arial" w:hAnsi="Arial"/>
                <w:sz w:val="15"/>
                <w:szCs w:val="15"/>
                <w:b w:val="1"/>
                <w:bCs w:val="1"/>
                <w:color w:val="FFFFFF"/>
                <w:w w:val="99"/>
              </w:rPr>
              <w:t>Last FY ($)</w:t>
            </w:r>
          </w:p>
        </w:tc>
        <w:tc>
          <w:tcPr>
            <w:tcW w:w="1620" w:type="dxa"/>
            <w:vAlign w:val="bottom"/>
            <w:tcBorders>
              <w:bottom w:val="single" w:sz="8" w:color="254F79"/>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Distributions ($)</w:t>
            </w:r>
          </w:p>
        </w:tc>
        <w:tc>
          <w:tcPr>
            <w:tcW w:w="1340" w:type="dxa"/>
            <w:vAlign w:val="bottom"/>
            <w:tcBorders>
              <w:bottom w:val="single" w:sz="8" w:color="254F79"/>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Last FYE ($)</w:t>
            </w:r>
          </w:p>
        </w:tc>
      </w:tr>
      <w:tr>
        <w:trPr>
          <w:trHeight w:val="235"/>
        </w:trPr>
        <w:tc>
          <w:tcPr>
            <w:tcW w:w="2040" w:type="dxa"/>
            <w:vAlign w:val="bottom"/>
            <w:tcBorders>
              <w:top w:val="single" w:sz="8" w:color="auto"/>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333333"/>
              </w:rPr>
              <w:t>Michael J. Nolan</w:t>
            </w:r>
          </w:p>
        </w:tc>
        <w:tc>
          <w:tcPr>
            <w:tcW w:w="162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333333"/>
                <w:w w:val="93"/>
              </w:rPr>
              <w:t>—</w:t>
            </w:r>
          </w:p>
        </w:tc>
        <w:tc>
          <w:tcPr>
            <w:tcW w:w="162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333333"/>
                <w:w w:val="95"/>
              </w:rPr>
              <w:t>5,791</w:t>
            </w:r>
          </w:p>
        </w:tc>
        <w:tc>
          <w:tcPr>
            <w:tcW w:w="162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top w:val="single" w:sz="8" w:color="auto"/>
              <w:right w:val="single" w:sz="8" w:color="333333"/>
            </w:tcBorders>
          </w:tcPr>
          <w:p>
            <w:pPr>
              <w:jc w:val="center"/>
              <w:spacing w:after="0"/>
              <w:rPr>
                <w:sz w:val="20"/>
                <w:szCs w:val="20"/>
                <w:color w:val="auto"/>
              </w:rPr>
            </w:pPr>
            <w:r>
              <w:rPr>
                <w:rFonts w:ascii="Arial" w:cs="Arial" w:eastAsia="Arial" w:hAnsi="Arial"/>
                <w:sz w:val="15"/>
                <w:szCs w:val="15"/>
                <w:color w:val="333333"/>
              </w:rPr>
              <w:t>38,737</w:t>
            </w:r>
          </w:p>
        </w:tc>
      </w:tr>
      <w:tr>
        <w:trPr>
          <w:trHeight w:val="53"/>
        </w:trPr>
        <w:tc>
          <w:tcPr>
            <w:tcW w:w="2040" w:type="dxa"/>
            <w:vAlign w:val="bottom"/>
            <w:tcBorders>
              <w:left w:val="single" w:sz="8" w:color="333333"/>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r>
      <w:tr>
        <w:trPr>
          <w:trHeight w:val="235"/>
        </w:trPr>
        <w:tc>
          <w:tcPr>
            <w:tcW w:w="20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333333"/>
              </w:rPr>
              <w:t>Anthony J. Park</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3"/>
              </w:rPr>
              <w:t>—</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5"/>
              </w:rPr>
              <w:t>106,293</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765,456</w:t>
            </w:r>
          </w:p>
        </w:tc>
      </w:tr>
      <w:tr>
        <w:trPr>
          <w:trHeight w:val="53"/>
        </w:trPr>
        <w:tc>
          <w:tcPr>
            <w:tcW w:w="2040" w:type="dxa"/>
            <w:vAlign w:val="bottom"/>
            <w:tcBorders>
              <w:left w:val="single" w:sz="8" w:color="333333"/>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r>
      <w:tr>
        <w:trPr>
          <w:trHeight w:val="235"/>
        </w:trPr>
        <w:tc>
          <w:tcPr>
            <w:tcW w:w="20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333333"/>
              </w:rPr>
              <w:t>Peter T. Sadowski</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3"/>
              </w:rPr>
              <w:t>—</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5"/>
              </w:rPr>
              <w:t>85,460</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800,369</w:t>
            </w:r>
          </w:p>
        </w:tc>
      </w:tr>
      <w:tr>
        <w:trPr>
          <w:trHeight w:val="53"/>
        </w:trPr>
        <w:tc>
          <w:tcPr>
            <w:tcW w:w="2040" w:type="dxa"/>
            <w:vAlign w:val="bottom"/>
            <w:tcBorders>
              <w:left w:val="single" w:sz="8" w:color="333333"/>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r>
      <w:tr>
        <w:trPr>
          <w:trHeight w:val="235"/>
        </w:trPr>
        <w:tc>
          <w:tcPr>
            <w:tcW w:w="2040" w:type="dxa"/>
            <w:vAlign w:val="bottom"/>
            <w:tcBorders>
              <w:left w:val="single" w:sz="8" w:color="333333"/>
              <w:right w:val="single" w:sz="8" w:color="333333"/>
            </w:tcBorders>
          </w:tcPr>
          <w:p>
            <w:pPr>
              <w:ind w:left="100"/>
              <w:spacing w:after="0"/>
              <w:rPr>
                <w:sz w:val="20"/>
                <w:szCs w:val="20"/>
                <w:color w:val="auto"/>
              </w:rPr>
            </w:pPr>
            <w:r>
              <w:rPr>
                <w:rFonts w:ascii="Arial" w:cs="Arial" w:eastAsia="Arial" w:hAnsi="Arial"/>
                <w:sz w:val="15"/>
                <w:szCs w:val="15"/>
                <w:color w:val="333333"/>
              </w:rPr>
              <w:t>Michael L. Gravelle</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85,500</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5"/>
              </w:rPr>
              <w:t>219,049</w:t>
            </w:r>
          </w:p>
        </w:tc>
        <w:tc>
          <w:tcPr>
            <w:tcW w:w="162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rPr>
              <w:t>—</w:t>
            </w:r>
          </w:p>
        </w:tc>
        <w:tc>
          <w:tcPr>
            <w:tcW w:w="134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1,738,813</w:t>
            </w:r>
          </w:p>
        </w:tc>
      </w:tr>
      <w:tr>
        <w:trPr>
          <w:trHeight w:val="53"/>
        </w:trPr>
        <w:tc>
          <w:tcPr>
            <w:tcW w:w="2040" w:type="dxa"/>
            <w:vAlign w:val="bottom"/>
            <w:tcBorders>
              <w:left w:val="single" w:sz="8" w:color="333333"/>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c>
          <w:tcPr>
            <w:tcW w:w="1620" w:type="dxa"/>
            <w:vAlign w:val="bottom"/>
            <w:tcBorders>
              <w:bottom w:val="single" w:sz="8" w:color="auto"/>
              <w:right w:val="single" w:sz="8" w:color="333333"/>
            </w:tcBorders>
          </w:tcPr>
          <w:p>
            <w:pPr>
              <w:spacing w:after="0"/>
              <w:rPr>
                <w:sz w:val="4"/>
                <w:szCs w:val="4"/>
                <w:color w:val="auto"/>
              </w:rPr>
            </w:pPr>
          </w:p>
        </w:tc>
        <w:tc>
          <w:tcPr>
            <w:tcW w:w="1340" w:type="dxa"/>
            <w:vAlign w:val="bottom"/>
            <w:tcBorders>
              <w:bottom w:val="single" w:sz="8" w:color="auto"/>
              <w:right w:val="single" w:sz="8" w:color="333333"/>
            </w:tcBorders>
          </w:tcPr>
          <w:p>
            <w:pPr>
              <w:spacing w:after="0"/>
              <w:rPr>
                <w:sz w:val="4"/>
                <w:szCs w:val="4"/>
                <w:color w:val="auto"/>
              </w:rPr>
            </w:pPr>
          </w:p>
        </w:tc>
      </w:tr>
    </w:tbl>
    <w:p>
      <w:pPr>
        <w:spacing w:after="0" w:line="196"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586D94"/>
        </w:rPr>
        <w:t>POTENTIAL PAYMENTS UPON TERMINATION OR CHANGE IN CONTROL</w:t>
      </w:r>
    </w:p>
    <w:p>
      <w:pPr>
        <w:spacing w:after="0" w:line="241" w:lineRule="exact"/>
        <w:rPr>
          <w:sz w:val="20"/>
          <w:szCs w:val="20"/>
          <w:color w:val="auto"/>
        </w:rPr>
      </w:pPr>
    </w:p>
    <w:p>
      <w:pPr>
        <w:ind w:left="1180" w:right="40"/>
        <w:spacing w:after="0" w:line="254" w:lineRule="auto"/>
        <w:rPr>
          <w:sz w:val="20"/>
          <w:szCs w:val="20"/>
          <w:color w:val="auto"/>
        </w:rPr>
      </w:pPr>
      <w:r>
        <w:rPr>
          <w:rFonts w:ascii="Arial" w:cs="Arial" w:eastAsia="Arial" w:hAnsi="Arial"/>
          <w:sz w:val="17"/>
          <w:szCs w:val="17"/>
          <w:color w:val="333333"/>
        </w:rPr>
        <w:t>In this section, we discuss the nature and estimated value of payments and benefits we would provide to our named executive officers in the event of termination of employment or a change in control. The amounts described in this section reflect amounts that would have been payable under (i) our plans, and (ii) where applicable, their employment agreements if their employment had terminated on December 31, 2025.</w:t>
      </w:r>
    </w:p>
    <w:p>
      <w:pPr>
        <w:spacing w:after="0" w:line="174" w:lineRule="exact"/>
        <w:rPr>
          <w:sz w:val="20"/>
          <w:szCs w:val="20"/>
          <w:color w:val="auto"/>
        </w:rPr>
      </w:pPr>
    </w:p>
    <w:p>
      <w:pPr>
        <w:ind w:left="1180"/>
        <w:spacing w:after="0" w:line="236" w:lineRule="auto"/>
        <w:rPr>
          <w:sz w:val="20"/>
          <w:szCs w:val="20"/>
          <w:color w:val="auto"/>
        </w:rPr>
      </w:pPr>
      <w:r>
        <w:rPr>
          <w:rFonts w:ascii="Arial" w:cs="Arial" w:eastAsia="Arial" w:hAnsi="Arial"/>
          <w:sz w:val="18"/>
          <w:szCs w:val="18"/>
          <w:color w:val="333333"/>
        </w:rPr>
        <w:t>The types of termination situations include a voluntary termination by the executive, with or without good reason, a termination by us either for cause or not for cause and termination in the event of disability or death. We also describe the estimated payments and benefits that would be provided upon a change in control without a termination of employment. The actual payments and benefits that would be provided upon a termination of employment would be based on the named executive officers' compensation and benefit levels at the time of the termination of employment and the value of accelerated vesting of share-based awards would be dependent on the value of the underlying stock.</w:t>
      </w:r>
    </w:p>
    <w:p>
      <w:pPr>
        <w:spacing w:after="0" w:line="193" w:lineRule="exact"/>
        <w:rPr>
          <w:sz w:val="20"/>
          <w:szCs w:val="20"/>
          <w:color w:val="auto"/>
        </w:rPr>
      </w:pPr>
    </w:p>
    <w:p>
      <w:pPr>
        <w:ind w:left="1180"/>
        <w:spacing w:after="0" w:line="248" w:lineRule="auto"/>
        <w:rPr>
          <w:sz w:val="20"/>
          <w:szCs w:val="20"/>
          <w:color w:val="auto"/>
        </w:rPr>
      </w:pPr>
      <w:r>
        <w:rPr>
          <w:rFonts w:ascii="Arial" w:cs="Arial" w:eastAsia="Arial" w:hAnsi="Arial"/>
          <w:sz w:val="17"/>
          <w:szCs w:val="17"/>
          <w:color w:val="333333"/>
        </w:rPr>
        <w:t>For each type of employment termination, the named executive officers would be entitled to benefits that are available generally to our domestic salaried employees, such as distributions under our 401(k) savings plan, certain disability benefits and accrued vacation. We have not described or provided an estimate of the value of any payments or benefits under plans or arrangements that do not discriminate in scope, terms or operation in favor of a named executive officer and that are generally available to all salaried employees. In addition to these generally available plans and arrangements, certain of our named executive officers would be entitled to benefits under our nonqualified deferred compensation plan, as described above in the "Nonqualified Deferred Compensation" table and accompanying narrative.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62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54F79"/>
          </w:tcPr>
          <w:p>
            <w:pPr>
              <w:spacing w:after="0"/>
              <w:rPr>
                <w:sz w:val="23"/>
                <w:szCs w:val="23"/>
                <w:color w:val="auto"/>
              </w:rPr>
            </w:pPr>
          </w:p>
        </w:tc>
        <w:tc>
          <w:tcPr>
            <w:tcW w:w="4380" w:type="dxa"/>
            <w:vAlign w:val="bottom"/>
            <w:shd w:val="clear" w:color="auto" w:fill="254F79"/>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3" w:right="339" w:bottom="1440" w:gutter="0" w:footer="0" w:header="0"/>
        </w:sectPr>
      </w:pPr>
    </w:p>
    <w:bookmarkStart w:id="66" w:name="page67"/>
    <w:bookmarkEnd w:id="66"/>
    <w:p>
      <w:pPr>
        <w:ind w:left="820"/>
        <w:spacing w:after="0"/>
        <w:rPr>
          <w:sz w:val="20"/>
          <w:szCs w:val="20"/>
          <w:color w:val="auto"/>
        </w:rPr>
      </w:pPr>
      <w:r>
        <w:rPr>
          <w:rFonts w:ascii="Arial" w:cs="Arial" w:eastAsia="Arial" w:hAnsi="Arial"/>
          <w:sz w:val="20"/>
          <w:szCs w:val="20"/>
          <w:b w:val="1"/>
          <w:bCs w:val="1"/>
          <w:color w:val="727898"/>
        </w:rPr>
        <w:t>POTENTIAL PAYMENTS UNDER EMPLOYMENT AGREEMENTS</w:t>
      </w:r>
    </w:p>
    <w:p>
      <w:pPr>
        <w:spacing w:after="0" w:line="218" w:lineRule="exact"/>
        <w:rPr>
          <w:sz w:val="20"/>
          <w:szCs w:val="20"/>
          <w:color w:val="auto"/>
        </w:rPr>
      </w:pPr>
    </w:p>
    <w:p>
      <w:pPr>
        <w:ind w:left="820" w:right="160"/>
        <w:spacing w:after="0" w:line="236" w:lineRule="auto"/>
        <w:rPr>
          <w:sz w:val="20"/>
          <w:szCs w:val="20"/>
          <w:color w:val="auto"/>
        </w:rPr>
      </w:pPr>
      <w:r>
        <w:rPr>
          <w:rFonts w:ascii="Arial" w:cs="Arial" w:eastAsia="Arial" w:hAnsi="Arial"/>
          <w:sz w:val="18"/>
          <w:szCs w:val="18"/>
          <w:color w:val="333333"/>
        </w:rPr>
        <w:t>As discussed above, we have entered into employment agreements with our named executive officers. The agreements contain provisions for the payment of severance benefits following certain termination events. Below is a summary of the payments and benefits that the named executive officers would receive in connection with various employment or service termination scenarios if their terminations had occurred on December 31, 2025, based on their employment agreements in effect at that time. None of our named executive officers would receive payments upon a change of control without a related termination of employment.</w:t>
      </w:r>
    </w:p>
    <w:p>
      <w:pPr>
        <w:spacing w:after="0" w:line="185" w:lineRule="exact"/>
        <w:rPr>
          <w:sz w:val="20"/>
          <w:szCs w:val="20"/>
          <w:color w:val="auto"/>
        </w:rPr>
      </w:pPr>
    </w:p>
    <w:tbl>
      <w:tblPr>
        <w:tblLayout w:type="fixed"/>
        <w:tblInd w:w="830" w:type="dxa"/>
        <w:tblCellMar>
          <w:top w:w="0" w:type="dxa"/>
          <w:left w:w="0" w:type="dxa"/>
          <w:bottom w:w="0" w:type="dxa"/>
          <w:right w:w="0" w:type="dxa"/>
        </w:tblCellMar>
      </w:tblPr>
      <w:tr>
        <w:trPr>
          <w:trHeight w:val="394"/>
        </w:trPr>
        <w:tc>
          <w:tcPr>
            <w:tcW w:w="5580" w:type="dxa"/>
            <w:vAlign w:val="bottom"/>
            <w:tcBorders>
              <w:top w:val="single" w:sz="8" w:color="333333"/>
              <w:left w:val="single" w:sz="8" w:color="333333"/>
              <w:right w:val="single" w:sz="8" w:color="254F79"/>
            </w:tcBorders>
            <w:shd w:val="clear" w:color="auto" w:fill="254F79"/>
          </w:tcPr>
          <w:p>
            <w:pPr>
              <w:spacing w:after="0"/>
              <w:rPr>
                <w:sz w:val="24"/>
                <w:szCs w:val="24"/>
                <w:color w:val="auto"/>
              </w:rPr>
            </w:pPr>
          </w:p>
        </w:tc>
        <w:tc>
          <w:tcPr>
            <w:tcW w:w="1440" w:type="dxa"/>
            <w:vAlign w:val="bottom"/>
            <w:tcBorders>
              <w:top w:val="single" w:sz="8" w:color="333333"/>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Without Cause</w:t>
            </w:r>
          </w:p>
        </w:tc>
        <w:tc>
          <w:tcPr>
            <w:tcW w:w="1240" w:type="dxa"/>
            <w:vAlign w:val="bottom"/>
            <w:tcBorders>
              <w:top w:val="single" w:sz="8" w:color="333333"/>
              <w:right w:val="single" w:sz="8" w:color="254F79"/>
            </w:tcBorders>
            <w:shd w:val="clear" w:color="auto" w:fill="254F79"/>
          </w:tcPr>
          <w:p>
            <w:pPr>
              <w:spacing w:after="0"/>
              <w:rPr>
                <w:sz w:val="24"/>
                <w:szCs w:val="24"/>
                <w:color w:val="auto"/>
              </w:rPr>
            </w:pPr>
          </w:p>
        </w:tc>
        <w:tc>
          <w:tcPr>
            <w:tcW w:w="1240" w:type="dxa"/>
            <w:vAlign w:val="bottom"/>
            <w:tcBorders>
              <w:top w:val="single" w:sz="8" w:color="333333"/>
              <w:right w:val="single" w:sz="8" w:color="333333"/>
            </w:tcBorders>
            <w:shd w:val="clear" w:color="auto" w:fill="254F79"/>
          </w:tcPr>
          <w:p>
            <w:pPr>
              <w:spacing w:after="0"/>
              <w:rPr>
                <w:sz w:val="24"/>
                <w:szCs w:val="24"/>
                <w:color w:val="auto"/>
              </w:rPr>
            </w:pPr>
          </w:p>
        </w:tc>
        <w:tc>
          <w:tcPr>
            <w:tcW w:w="60" w:type="dxa"/>
            <w:vAlign w:val="bottom"/>
            <w:tcBorders>
              <w:top w:val="single" w:sz="8" w:color="254F79"/>
            </w:tcBorders>
            <w:shd w:val="clear" w:color="auto" w:fill="254F79"/>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Borders>
              <w:left w:val="single" w:sz="8" w:color="333333"/>
              <w:right w:val="single" w:sz="8" w:color="254F79"/>
            </w:tcBorders>
            <w:shd w:val="clear" w:color="auto" w:fill="254F79"/>
          </w:tcPr>
          <w:p>
            <w:pPr>
              <w:spacing w:after="0"/>
              <w:rPr>
                <w:sz w:val="19"/>
                <w:szCs w:val="19"/>
                <w:color w:val="auto"/>
              </w:rPr>
            </w:pPr>
          </w:p>
        </w:tc>
        <w:tc>
          <w:tcPr>
            <w:tcW w:w="14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rPr>
              <w:t>or by the</w:t>
            </w:r>
          </w:p>
        </w:tc>
        <w:tc>
          <w:tcPr>
            <w:tcW w:w="1240" w:type="dxa"/>
            <w:vAlign w:val="bottom"/>
            <w:tcBorders>
              <w:right w:val="single" w:sz="8" w:color="254F79"/>
            </w:tcBorders>
            <w:shd w:val="clear" w:color="auto" w:fill="254F79"/>
          </w:tcPr>
          <w:p>
            <w:pPr>
              <w:spacing w:after="0"/>
              <w:rPr>
                <w:sz w:val="19"/>
                <w:szCs w:val="19"/>
                <w:color w:val="auto"/>
              </w:rPr>
            </w:pPr>
          </w:p>
        </w:tc>
        <w:tc>
          <w:tcPr>
            <w:tcW w:w="1240" w:type="dxa"/>
            <w:vAlign w:val="bottom"/>
            <w:tcBorders>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For Cause or</w:t>
            </w:r>
          </w:p>
        </w:tc>
        <w:tc>
          <w:tcPr>
            <w:tcW w:w="60" w:type="dxa"/>
            <w:vAlign w:val="bottom"/>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80" w:type="dxa"/>
            <w:vAlign w:val="bottom"/>
            <w:tcBorders>
              <w:left w:val="single" w:sz="8" w:color="333333"/>
              <w:right w:val="single" w:sz="8" w:color="254F79"/>
            </w:tcBorders>
            <w:shd w:val="clear" w:color="auto" w:fill="254F79"/>
          </w:tcPr>
          <w:p>
            <w:pPr>
              <w:spacing w:after="0"/>
              <w:rPr>
                <w:sz w:val="18"/>
                <w:szCs w:val="18"/>
                <w:color w:val="auto"/>
              </w:rPr>
            </w:pPr>
          </w:p>
        </w:tc>
        <w:tc>
          <w:tcPr>
            <w:tcW w:w="14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Executive for</w:t>
            </w:r>
          </w:p>
        </w:tc>
        <w:tc>
          <w:tcPr>
            <w:tcW w:w="12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Death or</w:t>
            </w:r>
          </w:p>
        </w:tc>
        <w:tc>
          <w:tcPr>
            <w:tcW w:w="1240" w:type="dxa"/>
            <w:vAlign w:val="bottom"/>
            <w:tcBorders>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Without Good</w:t>
            </w:r>
          </w:p>
        </w:tc>
        <w:tc>
          <w:tcPr>
            <w:tcW w:w="60" w:type="dxa"/>
            <w:vAlign w:val="bottom"/>
            <w:shd w:val="clear" w:color="auto" w:fill="254F79"/>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80" w:type="dxa"/>
            <w:vAlign w:val="bottom"/>
            <w:tcBorders>
              <w:left w:val="single" w:sz="8" w:color="333333"/>
              <w:bottom w:val="single" w:sz="8" w:color="auto"/>
              <w:right w:val="single" w:sz="8" w:color="254F79"/>
            </w:tcBorders>
            <w:shd w:val="clear" w:color="auto" w:fill="254F79"/>
          </w:tcPr>
          <w:p>
            <w:pPr>
              <w:ind w:left="140"/>
              <w:spacing w:after="0"/>
              <w:rPr>
                <w:sz w:val="20"/>
                <w:szCs w:val="20"/>
                <w:color w:val="auto"/>
              </w:rPr>
            </w:pPr>
            <w:r>
              <w:rPr>
                <w:rFonts w:ascii="Arial" w:cs="Arial" w:eastAsia="Arial" w:hAnsi="Arial"/>
                <w:sz w:val="15"/>
                <w:szCs w:val="15"/>
                <w:b w:val="1"/>
                <w:bCs w:val="1"/>
                <w:color w:val="FFFFFF"/>
              </w:rPr>
              <w:t>Termination Payment</w:t>
            </w:r>
          </w:p>
        </w:tc>
        <w:tc>
          <w:tcPr>
            <w:tcW w:w="1440" w:type="dxa"/>
            <w:vAlign w:val="bottom"/>
            <w:tcBorders>
              <w:bottom w:val="single" w:sz="8" w:color="auto"/>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Good Reason</w:t>
            </w:r>
          </w:p>
        </w:tc>
        <w:tc>
          <w:tcPr>
            <w:tcW w:w="1240" w:type="dxa"/>
            <w:vAlign w:val="bottom"/>
            <w:tcBorders>
              <w:bottom w:val="single" w:sz="8" w:color="auto"/>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6"/>
              </w:rPr>
              <w:t>Disability</w:t>
            </w:r>
            <w:r>
              <w:rPr>
                <w:rFonts w:ascii="Arial" w:cs="Arial" w:eastAsia="Arial" w:hAnsi="Arial"/>
                <w:sz w:val="27"/>
                <w:szCs w:val="27"/>
                <w:b w:val="1"/>
                <w:bCs w:val="1"/>
                <w:color w:val="FFFFFF"/>
                <w:w w:val="96"/>
                <w:vertAlign w:val="superscript"/>
              </w:rPr>
              <w:t>1</w:t>
            </w:r>
          </w:p>
        </w:tc>
        <w:tc>
          <w:tcPr>
            <w:tcW w:w="1240" w:type="dxa"/>
            <w:vAlign w:val="bottom"/>
            <w:tcBorders>
              <w:bottom w:val="single" w:sz="8" w:color="auto"/>
              <w:right w:val="single" w:sz="8" w:color="333333"/>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5"/>
              </w:rPr>
              <w:t>Reason</w:t>
            </w:r>
          </w:p>
        </w:tc>
        <w:tc>
          <w:tcPr>
            <w:tcW w:w="60" w:type="dxa"/>
            <w:vAlign w:val="bottom"/>
            <w:tcBorders>
              <w:bottom w:val="single" w:sz="8" w:color="auto"/>
            </w:tcBorders>
            <w:shd w:val="clear" w:color="auto" w:fill="254F79"/>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rPr>
              <w:t xml:space="preserve">Accrued obligations </w:t>
            </w:r>
            <w:r>
              <w:rPr>
                <w:rFonts w:ascii="Arial" w:cs="Arial" w:eastAsia="Arial" w:hAnsi="Arial"/>
                <w:sz w:val="15"/>
                <w:szCs w:val="15"/>
                <w:color w:val="333333"/>
              </w:rPr>
              <w:t>(earned unpaid base salary, annual bonus payments</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relating to the prior year, and any unpaid expense reimbursements)</w:t>
            </w:r>
          </w:p>
        </w:tc>
        <w:tc>
          <w:tcPr>
            <w:tcW w:w="1440" w:type="dxa"/>
            <w:vAlign w:val="bottom"/>
            <w:tcBorders>
              <w:right w:val="single" w:sz="8" w:color="333333"/>
            </w:tcBorders>
            <w:vMerge w:val="continue"/>
          </w:tcPr>
          <w:p>
            <w:pPr>
              <w:spacing w:after="0"/>
              <w:rPr>
                <w:sz w:val="16"/>
                <w:szCs w:val="16"/>
                <w:color w:val="auto"/>
              </w:rPr>
            </w:pPr>
          </w:p>
        </w:tc>
        <w:tc>
          <w:tcPr>
            <w:tcW w:w="1240" w:type="dxa"/>
            <w:vAlign w:val="bottom"/>
            <w:tcBorders>
              <w:right w:val="single" w:sz="8" w:color="333333"/>
            </w:tcBorders>
            <w:vMerge w:val="continue"/>
          </w:tcPr>
          <w:p>
            <w:pPr>
              <w:spacing w:after="0"/>
              <w:rPr>
                <w:sz w:val="16"/>
                <w:szCs w:val="16"/>
                <w:color w:val="auto"/>
              </w:rPr>
            </w:pPr>
          </w:p>
        </w:tc>
        <w:tc>
          <w:tcPr>
            <w:tcW w:w="1240" w:type="dxa"/>
            <w:vAlign w:val="bottom"/>
            <w:tcBorders>
              <w:right w:val="single" w:sz="8" w:color="3333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5580" w:type="dxa"/>
            <w:vAlign w:val="bottom"/>
            <w:tcBorders>
              <w:left w:val="single" w:sz="8" w:color="333333"/>
              <w:bottom w:val="single" w:sz="8" w:color="auto"/>
              <w:right w:val="single" w:sz="8" w:color="333333"/>
            </w:tcBorders>
          </w:tcPr>
          <w:p>
            <w:pPr>
              <w:spacing w:after="0"/>
              <w:rPr>
                <w:sz w:val="5"/>
                <w:szCs w:val="5"/>
                <w:color w:val="auto"/>
              </w:rPr>
            </w:pPr>
          </w:p>
        </w:tc>
        <w:tc>
          <w:tcPr>
            <w:tcW w:w="14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rPr>
              <w:t xml:space="preserve">Prorated Annual Bonus </w:t>
            </w:r>
            <w:r>
              <w:rPr>
                <w:rFonts w:ascii="Arial" w:cs="Arial" w:eastAsia="Arial" w:hAnsi="Arial"/>
                <w:sz w:val="15"/>
                <w:szCs w:val="15"/>
                <w:color w:val="333333"/>
              </w:rPr>
              <w:t>based on the actual incentive the named executive</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580" w:type="dxa"/>
            <w:vAlign w:val="bottom"/>
            <w:tcBorders>
              <w:left w:val="single" w:sz="8" w:color="333333"/>
              <w:bottom w:val="single" w:sz="8" w:color="auto"/>
              <w:right w:val="single" w:sz="8" w:color="333333"/>
            </w:tcBorders>
          </w:tcPr>
          <w:p>
            <w:pPr>
              <w:ind w:left="140"/>
              <w:spacing w:after="0" w:line="308" w:lineRule="exact"/>
              <w:rPr>
                <w:sz w:val="20"/>
                <w:szCs w:val="20"/>
                <w:color w:val="auto"/>
              </w:rPr>
            </w:pPr>
            <w:r>
              <w:rPr>
                <w:rFonts w:ascii="Arial" w:cs="Arial" w:eastAsia="Arial" w:hAnsi="Arial"/>
                <w:sz w:val="15"/>
                <w:szCs w:val="15"/>
                <w:color w:val="333333"/>
              </w:rPr>
              <w:t>officer would have earned for the year of termination</w:t>
            </w:r>
            <w:r>
              <w:rPr>
                <w:rFonts w:ascii="Arial" w:cs="Arial" w:eastAsia="Arial" w:hAnsi="Arial"/>
                <w:sz w:val="27"/>
                <w:szCs w:val="27"/>
                <w:color w:val="333333"/>
                <w:vertAlign w:val="superscript"/>
              </w:rPr>
              <w:t>2</w:t>
            </w:r>
          </w:p>
        </w:tc>
        <w:tc>
          <w:tcPr>
            <w:tcW w:w="1440" w:type="dxa"/>
            <w:vAlign w:val="bottom"/>
            <w:tcBorders>
              <w:bottom w:val="single" w:sz="8" w:color="auto"/>
              <w:right w:val="single" w:sz="8" w:color="333333"/>
            </w:tcBorders>
            <w:vMerge w:val="continue"/>
          </w:tcPr>
          <w:p>
            <w:pPr>
              <w:spacing w:after="0"/>
              <w:rPr>
                <w:sz w:val="24"/>
                <w:szCs w:val="24"/>
                <w:color w:val="auto"/>
              </w:rPr>
            </w:pPr>
          </w:p>
        </w:tc>
        <w:tc>
          <w:tcPr>
            <w:tcW w:w="1240" w:type="dxa"/>
            <w:vAlign w:val="bottom"/>
            <w:tcBorders>
              <w:bottom w:val="single" w:sz="8" w:color="auto"/>
              <w:right w:val="single" w:sz="8" w:color="333333"/>
            </w:tcBorders>
            <w:vMerge w:val="continue"/>
          </w:tcPr>
          <w:p>
            <w:pPr>
              <w:spacing w:after="0"/>
              <w:rPr>
                <w:sz w:val="24"/>
                <w:szCs w:val="24"/>
                <w:color w:val="auto"/>
              </w:rPr>
            </w:pPr>
          </w:p>
        </w:tc>
        <w:tc>
          <w:tcPr>
            <w:tcW w:w="1240" w:type="dxa"/>
            <w:vAlign w:val="bottom"/>
            <w:tcBorders>
              <w:bottom w:val="single" w:sz="8" w:color="auto"/>
              <w:right w:val="single" w:sz="8" w:color="333333"/>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5"/>
                <w:szCs w:val="15"/>
                <w:b w:val="1"/>
                <w:bCs w:val="1"/>
                <w:color w:val="333333"/>
              </w:rPr>
              <w:t xml:space="preserve">Lump-sum Payment </w:t>
            </w:r>
            <w:r>
              <w:rPr>
                <w:rFonts w:ascii="Arial" w:cs="Arial" w:eastAsia="Arial" w:hAnsi="Arial"/>
                <w:sz w:val="15"/>
                <w:szCs w:val="15"/>
                <w:color w:val="333333"/>
              </w:rPr>
              <w:t>equal to a percentage of the sum of the executive's (a)</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5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5"/>
                <w:szCs w:val="15"/>
                <w:color w:val="333333"/>
              </w:rPr>
              <w:t>annual base salary and (b) the target bonus opportunity in the year in which the</w:t>
            </w:r>
          </w:p>
        </w:tc>
        <w:tc>
          <w:tcPr>
            <w:tcW w:w="1440" w:type="dxa"/>
            <w:vAlign w:val="bottom"/>
            <w:tcBorders>
              <w:right w:val="single" w:sz="8" w:color="333333"/>
            </w:tcBorders>
            <w:vMerge w:val="continue"/>
          </w:tcPr>
          <w:p>
            <w:pPr>
              <w:spacing w:after="0"/>
              <w:rPr>
                <w:sz w:val="16"/>
                <w:szCs w:val="16"/>
                <w:color w:val="auto"/>
              </w:rPr>
            </w:pPr>
          </w:p>
        </w:tc>
        <w:tc>
          <w:tcPr>
            <w:tcW w:w="1240" w:type="dxa"/>
            <w:vAlign w:val="bottom"/>
            <w:tcBorders>
              <w:right w:val="single" w:sz="8" w:color="333333"/>
            </w:tcBorders>
            <w:vMerge w:val="continue"/>
          </w:tcPr>
          <w:p>
            <w:pPr>
              <w:spacing w:after="0"/>
              <w:rPr>
                <w:sz w:val="16"/>
                <w:szCs w:val="16"/>
                <w:color w:val="auto"/>
              </w:rPr>
            </w:pPr>
          </w:p>
        </w:tc>
        <w:tc>
          <w:tcPr>
            <w:tcW w:w="1240" w:type="dxa"/>
            <w:vAlign w:val="bottom"/>
            <w:tcBorders>
              <w:right w:val="single" w:sz="8" w:color="3333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5580" w:type="dxa"/>
            <w:vAlign w:val="bottom"/>
            <w:tcBorders>
              <w:left w:val="single" w:sz="8" w:color="auto"/>
              <w:bottom w:val="single" w:sz="8" w:color="auto"/>
              <w:right w:val="single" w:sz="8" w:color="auto"/>
            </w:tcBorders>
          </w:tcPr>
          <w:p>
            <w:pPr>
              <w:ind w:left="140"/>
              <w:spacing w:after="0" w:line="297" w:lineRule="exact"/>
              <w:rPr>
                <w:sz w:val="20"/>
                <w:szCs w:val="20"/>
                <w:color w:val="auto"/>
              </w:rPr>
            </w:pPr>
            <w:r>
              <w:rPr>
                <w:rFonts w:ascii="Arial" w:cs="Arial" w:eastAsia="Arial" w:hAnsi="Arial"/>
                <w:sz w:val="15"/>
                <w:szCs w:val="15"/>
                <w:color w:val="333333"/>
              </w:rPr>
              <w:t>termination of employment occurs</w:t>
            </w:r>
            <w:r>
              <w:rPr>
                <w:rFonts w:ascii="Arial" w:cs="Arial" w:eastAsia="Arial" w:hAnsi="Arial"/>
                <w:sz w:val="27"/>
                <w:szCs w:val="27"/>
                <w:color w:val="333333"/>
                <w:vertAlign w:val="superscript"/>
              </w:rPr>
              <w:t>3</w:t>
            </w:r>
          </w:p>
        </w:tc>
        <w:tc>
          <w:tcPr>
            <w:tcW w:w="1440" w:type="dxa"/>
            <w:vAlign w:val="bottom"/>
            <w:tcBorders>
              <w:bottom w:val="single" w:sz="8" w:color="auto"/>
              <w:right w:val="single" w:sz="8" w:color="333333"/>
            </w:tcBorders>
          </w:tcPr>
          <w:p>
            <w:pPr>
              <w:spacing w:after="0"/>
              <w:rPr>
                <w:sz w:val="24"/>
                <w:szCs w:val="24"/>
                <w:color w:val="auto"/>
              </w:rPr>
            </w:pPr>
          </w:p>
        </w:tc>
        <w:tc>
          <w:tcPr>
            <w:tcW w:w="1240" w:type="dxa"/>
            <w:vAlign w:val="bottom"/>
            <w:tcBorders>
              <w:bottom w:val="single" w:sz="8" w:color="auto"/>
              <w:right w:val="single" w:sz="8" w:color="333333"/>
            </w:tcBorders>
          </w:tcPr>
          <w:p>
            <w:pPr>
              <w:spacing w:after="0"/>
              <w:rPr>
                <w:sz w:val="24"/>
                <w:szCs w:val="24"/>
                <w:color w:val="auto"/>
              </w:rPr>
            </w:pPr>
          </w:p>
        </w:tc>
        <w:tc>
          <w:tcPr>
            <w:tcW w:w="1240" w:type="dxa"/>
            <w:vAlign w:val="bottom"/>
            <w:tcBorders>
              <w:bottom w:val="single" w:sz="8" w:color="auto"/>
              <w:right w:val="single" w:sz="8" w:color="333333"/>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w w:val="98"/>
              </w:rPr>
              <w:t xml:space="preserve">Right to </w:t>
            </w:r>
            <w:r>
              <w:rPr>
                <w:rFonts w:ascii="Arial" w:cs="Arial" w:eastAsia="Arial" w:hAnsi="Arial"/>
                <w:sz w:val="15"/>
                <w:szCs w:val="15"/>
                <w:b w:val="1"/>
                <w:bCs w:val="1"/>
                <w:color w:val="333333"/>
                <w:w w:val="98"/>
              </w:rPr>
              <w:t>convert any life insurance</w:t>
            </w:r>
            <w:r>
              <w:rPr>
                <w:rFonts w:ascii="Arial" w:cs="Arial" w:eastAsia="Arial" w:hAnsi="Arial"/>
                <w:sz w:val="15"/>
                <w:szCs w:val="15"/>
                <w:color w:val="333333"/>
                <w:w w:val="98"/>
              </w:rPr>
              <w:t xml:space="preserve"> provided by us into an individual policy, plus a</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rPr>
              <w:t xml:space="preserve">lump-sum cash payment </w:t>
            </w:r>
            <w:r>
              <w:rPr>
                <w:rFonts w:ascii="Arial" w:cs="Arial" w:eastAsia="Arial" w:hAnsi="Arial"/>
                <w:sz w:val="15"/>
                <w:szCs w:val="15"/>
                <w:color w:val="333333"/>
              </w:rPr>
              <w:t>equal to 36 months of premiums</w:t>
            </w:r>
          </w:p>
        </w:tc>
        <w:tc>
          <w:tcPr>
            <w:tcW w:w="1440" w:type="dxa"/>
            <w:vAlign w:val="bottom"/>
            <w:tcBorders>
              <w:right w:val="single" w:sz="8" w:color="333333"/>
            </w:tcBorders>
            <w:vMerge w:val="continue"/>
          </w:tcPr>
          <w:p>
            <w:pPr>
              <w:spacing w:after="0"/>
              <w:rPr>
                <w:sz w:val="17"/>
                <w:szCs w:val="17"/>
                <w:color w:val="auto"/>
              </w:rPr>
            </w:pPr>
          </w:p>
        </w:tc>
        <w:tc>
          <w:tcPr>
            <w:tcW w:w="1240" w:type="dxa"/>
            <w:vAlign w:val="bottom"/>
            <w:tcBorders>
              <w:right w:val="single" w:sz="8" w:color="333333"/>
            </w:tcBorders>
            <w:vMerge w:val="continue"/>
          </w:tcPr>
          <w:p>
            <w:pPr>
              <w:spacing w:after="0"/>
              <w:rPr>
                <w:sz w:val="17"/>
                <w:szCs w:val="17"/>
                <w:color w:val="auto"/>
              </w:rPr>
            </w:pPr>
          </w:p>
        </w:tc>
        <w:tc>
          <w:tcPr>
            <w:tcW w:w="1240" w:type="dxa"/>
            <w:vAlign w:val="bottom"/>
            <w:tcBorders>
              <w:right w:val="single" w:sz="8" w:color="333333"/>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580" w:type="dxa"/>
            <w:vAlign w:val="bottom"/>
            <w:tcBorders>
              <w:left w:val="single" w:sz="8" w:color="333333"/>
              <w:bottom w:val="single" w:sz="8" w:color="auto"/>
              <w:right w:val="single" w:sz="8" w:color="333333"/>
            </w:tcBorders>
          </w:tcPr>
          <w:p>
            <w:pPr>
              <w:spacing w:after="0"/>
              <w:rPr>
                <w:sz w:val="4"/>
                <w:szCs w:val="4"/>
                <w:color w:val="auto"/>
              </w:rPr>
            </w:pPr>
          </w:p>
        </w:tc>
        <w:tc>
          <w:tcPr>
            <w:tcW w:w="1440" w:type="dxa"/>
            <w:vAlign w:val="bottom"/>
            <w:tcBorders>
              <w:bottom w:val="single" w:sz="8" w:color="auto"/>
              <w:right w:val="single" w:sz="8" w:color="333333"/>
            </w:tcBorders>
          </w:tcPr>
          <w:p>
            <w:pPr>
              <w:spacing w:after="0"/>
              <w:rPr>
                <w:sz w:val="4"/>
                <w:szCs w:val="4"/>
                <w:color w:val="auto"/>
              </w:rPr>
            </w:pPr>
          </w:p>
        </w:tc>
        <w:tc>
          <w:tcPr>
            <w:tcW w:w="1240" w:type="dxa"/>
            <w:vAlign w:val="bottom"/>
            <w:tcBorders>
              <w:bottom w:val="single" w:sz="8" w:color="auto"/>
              <w:right w:val="single" w:sz="8" w:color="333333"/>
            </w:tcBorders>
          </w:tcPr>
          <w:p>
            <w:pPr>
              <w:spacing w:after="0"/>
              <w:rPr>
                <w:sz w:val="4"/>
                <w:szCs w:val="4"/>
                <w:color w:val="auto"/>
              </w:rPr>
            </w:pPr>
          </w:p>
        </w:tc>
        <w:tc>
          <w:tcPr>
            <w:tcW w:w="1240" w:type="dxa"/>
            <w:vAlign w:val="bottom"/>
            <w:tcBorders>
              <w:bottom w:val="single" w:sz="8" w:color="auto"/>
              <w:right w:val="single" w:sz="8" w:color="333333"/>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rPr>
              <w:t xml:space="preserve">COBRA coverage </w:t>
            </w:r>
            <w:r>
              <w:rPr>
                <w:rFonts w:ascii="Arial" w:cs="Arial" w:eastAsia="Arial" w:hAnsi="Arial"/>
                <w:sz w:val="15"/>
                <w:szCs w:val="15"/>
                <w:color w:val="333333"/>
              </w:rPr>
              <w:t>(so long as the executive pays the premiums) for a period of</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tcPr>
          <w:p>
            <w:pPr>
              <w:spacing w:after="0"/>
              <w:rPr>
                <w:sz w:val="19"/>
                <w:szCs w:val="19"/>
                <w:color w:val="auto"/>
              </w:rPr>
            </w:pPr>
          </w:p>
        </w:tc>
        <w:tc>
          <w:tcPr>
            <w:tcW w:w="1240" w:type="dxa"/>
            <w:vAlign w:val="bottom"/>
            <w:tcBorders>
              <w:right w:val="single" w:sz="8" w:color="333333"/>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three years or, if earlier, until eligible for comparable benefits from another</w:t>
            </w:r>
          </w:p>
        </w:tc>
        <w:tc>
          <w:tcPr>
            <w:tcW w:w="14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 xml:space="preserve">employer, plus a </w:t>
            </w:r>
            <w:r>
              <w:rPr>
                <w:rFonts w:ascii="Arial" w:cs="Arial" w:eastAsia="Arial" w:hAnsi="Arial"/>
                <w:sz w:val="15"/>
                <w:szCs w:val="15"/>
                <w:b w:val="1"/>
                <w:bCs w:val="1"/>
                <w:color w:val="333333"/>
              </w:rPr>
              <w:t>lump-sum cash payment</w:t>
            </w:r>
            <w:r>
              <w:rPr>
                <w:rFonts w:ascii="Arial" w:cs="Arial" w:eastAsia="Arial" w:hAnsi="Arial"/>
                <w:sz w:val="15"/>
                <w:szCs w:val="15"/>
                <w:color w:val="333333"/>
              </w:rPr>
              <w:t xml:space="preserve"> equal to the sum of monthly COBRA</w:t>
            </w:r>
          </w:p>
        </w:tc>
        <w:tc>
          <w:tcPr>
            <w:tcW w:w="14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premium payments</w:t>
            </w:r>
          </w:p>
        </w:tc>
        <w:tc>
          <w:tcPr>
            <w:tcW w:w="1440" w:type="dxa"/>
            <w:vAlign w:val="bottom"/>
            <w:tcBorders>
              <w:right w:val="single" w:sz="8" w:color="333333"/>
            </w:tcBorders>
          </w:tcPr>
          <w:p>
            <w:pPr>
              <w:spacing w:after="0"/>
              <w:rPr>
                <w:sz w:val="16"/>
                <w:szCs w:val="16"/>
                <w:color w:val="auto"/>
              </w:rPr>
            </w:pPr>
          </w:p>
        </w:tc>
        <w:tc>
          <w:tcPr>
            <w:tcW w:w="1240" w:type="dxa"/>
            <w:vAlign w:val="bottom"/>
            <w:tcBorders>
              <w:right w:val="single" w:sz="8" w:color="333333"/>
            </w:tcBorders>
          </w:tcPr>
          <w:p>
            <w:pPr>
              <w:spacing w:after="0"/>
              <w:rPr>
                <w:sz w:val="16"/>
                <w:szCs w:val="16"/>
                <w:color w:val="auto"/>
              </w:rPr>
            </w:pPr>
          </w:p>
        </w:tc>
        <w:tc>
          <w:tcPr>
            <w:tcW w:w="1240" w:type="dxa"/>
            <w:vAlign w:val="bottom"/>
            <w:tcBorders>
              <w:right w:val="single" w:sz="8" w:color="333333"/>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5580" w:type="dxa"/>
            <w:vAlign w:val="bottom"/>
            <w:tcBorders>
              <w:left w:val="single" w:sz="8" w:color="333333"/>
              <w:bottom w:val="single" w:sz="8" w:color="auto"/>
              <w:right w:val="single" w:sz="8" w:color="333333"/>
            </w:tcBorders>
          </w:tcPr>
          <w:p>
            <w:pPr>
              <w:spacing w:after="0"/>
              <w:rPr>
                <w:sz w:val="5"/>
                <w:szCs w:val="5"/>
                <w:color w:val="auto"/>
              </w:rPr>
            </w:pPr>
          </w:p>
        </w:tc>
        <w:tc>
          <w:tcPr>
            <w:tcW w:w="14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w w:val="99"/>
              </w:rPr>
              <w:t>Vesting of all stock option, restricted stock and other equity-based incentive</w:t>
            </w:r>
          </w:p>
        </w:tc>
        <w:tc>
          <w:tcPr>
            <w:tcW w:w="14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1240" w:type="dxa"/>
            <w:vAlign w:val="bottom"/>
            <w:tcBorders>
              <w:right w:val="single" w:sz="8" w:color="333333"/>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b w:val="1"/>
                <w:bCs w:val="1"/>
                <w:color w:val="333333"/>
              </w:rPr>
              <w:t>awards</w:t>
            </w:r>
            <w:r>
              <w:rPr>
                <w:rFonts w:ascii="Arial" w:cs="Arial" w:eastAsia="Arial" w:hAnsi="Arial"/>
                <w:sz w:val="15"/>
                <w:szCs w:val="15"/>
                <w:color w:val="333333"/>
              </w:rPr>
              <w:t>, unless the equity incentive awards are based upon satisfaction of</w:t>
            </w:r>
          </w:p>
        </w:tc>
        <w:tc>
          <w:tcPr>
            <w:tcW w:w="14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restart"/>
          </w:tcPr>
          <w:p>
            <w:pPr>
              <w:jc w:val="center"/>
              <w:spacing w:after="0"/>
              <w:rPr>
                <w:sz w:val="20"/>
                <w:szCs w:val="20"/>
                <w:color w:val="auto"/>
              </w:rPr>
            </w:pPr>
            <w:r>
              <w:rPr>
                <w:rFonts w:ascii="Arial" w:cs="Arial" w:eastAsia="Arial" w:hAnsi="Arial"/>
                <w:sz w:val="21"/>
                <w:szCs w:val="21"/>
                <w:color w:val="274F78"/>
                <w:w w:val="99"/>
              </w:rPr>
              <w:t>X</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performance criteria and not based solely on the passage of time, which vest</w:t>
            </w:r>
          </w:p>
        </w:tc>
        <w:tc>
          <w:tcPr>
            <w:tcW w:w="14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continue"/>
          </w:tcPr>
          <w:p>
            <w:pPr>
              <w:spacing w:after="0"/>
              <w:rPr>
                <w:sz w:val="15"/>
                <w:szCs w:val="15"/>
                <w:color w:val="auto"/>
              </w:rPr>
            </w:pPr>
          </w:p>
        </w:tc>
        <w:tc>
          <w:tcPr>
            <w:tcW w:w="1240" w:type="dxa"/>
            <w:vAlign w:val="bottom"/>
            <w:tcBorders>
              <w:right w:val="single" w:sz="8" w:color="333333"/>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tcBorders>
              <w:left w:val="single" w:sz="8" w:color="333333"/>
              <w:right w:val="single" w:sz="8" w:color="333333"/>
            </w:tcBorders>
          </w:tcPr>
          <w:p>
            <w:pPr>
              <w:ind w:left="140"/>
              <w:spacing w:after="0"/>
              <w:rPr>
                <w:sz w:val="20"/>
                <w:szCs w:val="20"/>
                <w:color w:val="auto"/>
              </w:rPr>
            </w:pPr>
            <w:r>
              <w:rPr>
                <w:rFonts w:ascii="Arial" w:cs="Arial" w:eastAsia="Arial" w:hAnsi="Arial"/>
                <w:sz w:val="15"/>
                <w:szCs w:val="15"/>
                <w:color w:val="333333"/>
              </w:rPr>
              <w:t>pursuant to the terms of the award</w:t>
            </w:r>
          </w:p>
        </w:tc>
        <w:tc>
          <w:tcPr>
            <w:tcW w:w="1440" w:type="dxa"/>
            <w:vAlign w:val="bottom"/>
            <w:tcBorders>
              <w:right w:val="single" w:sz="8" w:color="333333"/>
            </w:tcBorders>
          </w:tcPr>
          <w:p>
            <w:pPr>
              <w:spacing w:after="0"/>
              <w:rPr>
                <w:sz w:val="16"/>
                <w:szCs w:val="16"/>
                <w:color w:val="auto"/>
              </w:rPr>
            </w:pPr>
          </w:p>
        </w:tc>
        <w:tc>
          <w:tcPr>
            <w:tcW w:w="1240" w:type="dxa"/>
            <w:vAlign w:val="bottom"/>
            <w:tcBorders>
              <w:right w:val="single" w:sz="8" w:color="333333"/>
            </w:tcBorders>
          </w:tcPr>
          <w:p>
            <w:pPr>
              <w:spacing w:after="0"/>
              <w:rPr>
                <w:sz w:val="16"/>
                <w:szCs w:val="16"/>
                <w:color w:val="auto"/>
              </w:rPr>
            </w:pPr>
          </w:p>
        </w:tc>
        <w:tc>
          <w:tcPr>
            <w:tcW w:w="1240" w:type="dxa"/>
            <w:vAlign w:val="bottom"/>
            <w:tcBorders>
              <w:right w:val="single" w:sz="8" w:color="333333"/>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5580" w:type="dxa"/>
            <w:vAlign w:val="bottom"/>
            <w:tcBorders>
              <w:left w:val="single" w:sz="8" w:color="333333"/>
              <w:bottom w:val="single" w:sz="8" w:color="auto"/>
              <w:right w:val="single" w:sz="8" w:color="333333"/>
            </w:tcBorders>
          </w:tcPr>
          <w:p>
            <w:pPr>
              <w:spacing w:after="0"/>
              <w:rPr>
                <w:sz w:val="5"/>
                <w:szCs w:val="5"/>
                <w:color w:val="auto"/>
              </w:rPr>
            </w:pPr>
          </w:p>
        </w:tc>
        <w:tc>
          <w:tcPr>
            <w:tcW w:w="14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1240" w:type="dxa"/>
            <w:vAlign w:val="bottom"/>
            <w:tcBorders>
              <w:bottom w:val="single" w:sz="8" w:color="auto"/>
              <w:right w:val="single" w:sz="8" w:color="333333"/>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20" w:hanging="303"/>
        <w:spacing w:after="0" w:line="256" w:lineRule="auto"/>
        <w:tabs>
          <w:tab w:leader="none" w:pos="1420" w:val="left"/>
        </w:tabs>
        <w:numPr>
          <w:ilvl w:val="0"/>
          <w:numId w:val="58"/>
        </w:numPr>
        <w:rPr>
          <w:rFonts w:ascii="Arial" w:cs="Arial" w:eastAsia="Arial" w:hAnsi="Arial"/>
          <w:sz w:val="13"/>
          <w:szCs w:val="13"/>
          <w:color w:val="58595B"/>
        </w:rPr>
      </w:pPr>
      <w:r>
        <w:rPr>
          <w:rFonts w:ascii="Arial" w:cs="Arial" w:eastAsia="Arial" w:hAnsi="Arial"/>
          <w:sz w:val="13"/>
          <w:szCs w:val="13"/>
          <w:color w:val="58595B"/>
        </w:rPr>
        <w:t>Messrs. Park's, Sadowski's and Gravelle's employment agreements provide for supplemental disability insurance sufficient to provide at least 2/3 of the executive's pre-disability base salary (or in the case of Mr. Gravelle, 60% of his pre-disability base salary). An executive will be deemed to have a "disability" if he is entitled to receive long-term disability benefits under our long-term disability plan.</w:t>
      </w:r>
    </w:p>
    <w:p>
      <w:pPr>
        <w:spacing w:after="0" w:line="113" w:lineRule="exact"/>
        <w:rPr>
          <w:rFonts w:ascii="Arial" w:cs="Arial" w:eastAsia="Arial" w:hAnsi="Arial"/>
          <w:sz w:val="13"/>
          <w:szCs w:val="13"/>
          <w:color w:val="58595B"/>
        </w:rPr>
      </w:pPr>
    </w:p>
    <w:p>
      <w:pPr>
        <w:ind w:left="1420" w:hanging="303"/>
        <w:spacing w:after="0"/>
        <w:tabs>
          <w:tab w:leader="none" w:pos="1420" w:val="left"/>
        </w:tabs>
        <w:numPr>
          <w:ilvl w:val="0"/>
          <w:numId w:val="58"/>
        </w:numPr>
        <w:rPr>
          <w:rFonts w:ascii="Arial" w:cs="Arial" w:eastAsia="Arial" w:hAnsi="Arial"/>
          <w:sz w:val="13"/>
          <w:szCs w:val="13"/>
          <w:color w:val="58595B"/>
        </w:rPr>
      </w:pPr>
      <w:r>
        <w:rPr>
          <w:rFonts w:ascii="Arial" w:cs="Arial" w:eastAsia="Arial" w:hAnsi="Arial"/>
          <w:sz w:val="13"/>
          <w:szCs w:val="13"/>
          <w:color w:val="58595B"/>
        </w:rPr>
        <w:t>The prorated annual bonus is based on the following:</w:t>
      </w:r>
    </w:p>
    <w:p>
      <w:pPr>
        <w:spacing w:after="0" w:line="141" w:lineRule="exact"/>
        <w:rPr>
          <w:rFonts w:ascii="Arial" w:cs="Arial" w:eastAsia="Arial" w:hAnsi="Arial"/>
          <w:sz w:val="13"/>
          <w:szCs w:val="13"/>
          <w:color w:val="58595B"/>
        </w:rPr>
      </w:pPr>
    </w:p>
    <w:p>
      <w:pPr>
        <w:ind w:left="1700" w:right="280" w:hanging="287"/>
        <w:spacing w:after="0" w:line="276" w:lineRule="auto"/>
        <w:tabs>
          <w:tab w:leader="none" w:pos="1700" w:val="left"/>
        </w:tabs>
        <w:numPr>
          <w:ilvl w:val="1"/>
          <w:numId w:val="58"/>
        </w:numPr>
        <w:rPr>
          <w:rFonts w:ascii="Arial" w:cs="Arial" w:eastAsia="Arial" w:hAnsi="Arial"/>
          <w:sz w:val="12"/>
          <w:szCs w:val="12"/>
          <w:color w:val="333333"/>
        </w:rPr>
      </w:pPr>
      <w:r>
        <w:rPr>
          <w:rFonts w:ascii="Arial" w:cs="Arial" w:eastAsia="Arial" w:hAnsi="Arial"/>
          <w:sz w:val="12"/>
          <w:szCs w:val="12"/>
          <w:color w:val="333333"/>
        </w:rPr>
        <w:t>In the event of a termination without Cause or by the executive for Good Reason, the actual incentive the named executive officer would have earned for the year of termination and the fraction of the year the executive was employed by us.</w:t>
      </w:r>
    </w:p>
    <w:p>
      <w:pPr>
        <w:spacing w:after="0" w:line="94" w:lineRule="exact"/>
        <w:rPr>
          <w:rFonts w:ascii="Arial" w:cs="Arial" w:eastAsia="Arial" w:hAnsi="Arial"/>
          <w:sz w:val="12"/>
          <w:szCs w:val="12"/>
          <w:color w:val="333333"/>
        </w:rPr>
      </w:pPr>
    </w:p>
    <w:p>
      <w:pPr>
        <w:ind w:left="1700" w:right="320" w:hanging="287"/>
        <w:spacing w:after="0" w:line="274" w:lineRule="auto"/>
        <w:tabs>
          <w:tab w:leader="none" w:pos="1700" w:val="left"/>
        </w:tabs>
        <w:numPr>
          <w:ilvl w:val="1"/>
          <w:numId w:val="58"/>
        </w:numPr>
        <w:rPr>
          <w:rFonts w:ascii="Arial" w:cs="Arial" w:eastAsia="Arial" w:hAnsi="Arial"/>
          <w:sz w:val="13"/>
          <w:szCs w:val="13"/>
          <w:color w:val="333333"/>
        </w:rPr>
      </w:pPr>
      <w:r>
        <w:rPr>
          <w:rFonts w:ascii="Arial" w:cs="Arial" w:eastAsia="Arial" w:hAnsi="Arial"/>
          <w:sz w:val="13"/>
          <w:szCs w:val="13"/>
          <w:color w:val="333333"/>
        </w:rPr>
        <w:t>In the event of a termination for death or disability, the target annual bonus opportunity in the year in which the termination occurs or the prior year if no target annual bonus opportunity has yet been determined and (b) the fraction of the year the executive was employed.</w:t>
      </w:r>
    </w:p>
    <w:p>
      <w:pPr>
        <w:spacing w:after="0" w:line="97" w:lineRule="exact"/>
        <w:rPr>
          <w:rFonts w:ascii="Arial" w:cs="Arial" w:eastAsia="Arial" w:hAnsi="Arial"/>
          <w:sz w:val="13"/>
          <w:szCs w:val="13"/>
          <w:color w:val="333333"/>
        </w:rPr>
      </w:pPr>
    </w:p>
    <w:p>
      <w:pPr>
        <w:jc w:val="both"/>
        <w:ind w:left="1420" w:right="160" w:hanging="303"/>
        <w:spacing w:after="0" w:line="246" w:lineRule="auto"/>
        <w:tabs>
          <w:tab w:leader="none" w:pos="1420" w:val="left"/>
        </w:tabs>
        <w:numPr>
          <w:ilvl w:val="0"/>
          <w:numId w:val="58"/>
        </w:numPr>
        <w:rPr>
          <w:rFonts w:ascii="Arial" w:cs="Arial" w:eastAsia="Arial" w:hAnsi="Arial"/>
          <w:sz w:val="12"/>
          <w:szCs w:val="12"/>
          <w:color w:val="58595B"/>
        </w:rPr>
      </w:pPr>
      <w:r>
        <w:rPr>
          <w:rFonts w:ascii="Arial" w:cs="Arial" w:eastAsia="Arial" w:hAnsi="Arial"/>
          <w:sz w:val="12"/>
          <w:szCs w:val="12"/>
          <w:color w:val="58595B"/>
        </w:rPr>
        <w:t>The percentage for the lump sum payment for each executive is as follows: Mr. Quirk 200%, Mr. Nolan 200%, Mr. Park 200%, Mr. Sadowski 200%, and Mr. Gravelle 100%. For Messrs. Park, Sadowski and Gravelle, the bonus used for the lump-sum payment is the higher of (1) the target bonus opportunity for the year of termination or</w:t>
      </w:r>
    </w:p>
    <w:p>
      <w:pPr>
        <w:ind w:left="1420"/>
        <w:spacing w:after="0"/>
        <w:rPr>
          <w:rFonts w:ascii="Arial" w:cs="Arial" w:eastAsia="Arial" w:hAnsi="Arial"/>
          <w:sz w:val="12"/>
          <w:szCs w:val="12"/>
          <w:color w:val="58595B"/>
        </w:rPr>
      </w:pPr>
      <w:r>
        <w:rPr>
          <w:rFonts w:ascii="Arial" w:cs="Arial" w:eastAsia="Arial" w:hAnsi="Arial"/>
          <w:sz w:val="12"/>
          <w:szCs w:val="12"/>
          <w:color w:val="58595B"/>
        </w:rPr>
        <w:t>(2) the highest annual bonus paid to the executive within the preceding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85090</wp:posOffset>
            </wp:positionV>
            <wp:extent cx="7144385" cy="305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305435"/>
                    </a:xfrm>
                    <a:prstGeom prst="rect">
                      <a:avLst/>
                    </a:prstGeom>
                    <a:noFill/>
                  </pic:spPr>
                </pic:pic>
              </a:graphicData>
            </a:graphic>
          </wp:anchor>
        </w:drawing>
      </w:r>
    </w:p>
    <w:p>
      <w:pPr>
        <w:spacing w:after="0" w:line="21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63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60"/>
          </w:cols>
          <w:pgMar w:left="680" w:top="828" w:right="359" w:bottom="1440" w:gutter="0" w:footer="0" w:header="0"/>
        </w:sectPr>
      </w:pPr>
    </w:p>
    <w:bookmarkStart w:id="67" w:name="page68"/>
    <w:bookmarkEnd w:id="67"/>
    <w:p>
      <w:pPr>
        <w:ind w:left="1180" w:right="800"/>
        <w:spacing w:after="0" w:line="266" w:lineRule="auto"/>
        <w:rPr>
          <w:sz w:val="20"/>
          <w:szCs w:val="20"/>
          <w:color w:val="auto"/>
        </w:rPr>
      </w:pPr>
      <w:r>
        <w:rPr>
          <w:rFonts w:ascii="Arial" w:cs="Arial" w:eastAsia="Arial" w:hAnsi="Arial"/>
          <w:sz w:val="18"/>
          <w:szCs w:val="18"/>
          <w:i w:val="1"/>
          <w:iCs w:val="1"/>
          <w:color w:val="333333"/>
        </w:rPr>
        <w:t xml:space="preserve">Definition: Cause. </w:t>
      </w:r>
      <w:r>
        <w:rPr>
          <w:rFonts w:ascii="Arial" w:cs="Arial" w:eastAsia="Arial" w:hAnsi="Arial"/>
          <w:sz w:val="18"/>
          <w:szCs w:val="18"/>
          <w:color w:val="333333"/>
        </w:rPr>
        <w:t>The following table shows for each of the named executive officers the reasons that the Company</w:t>
      </w:r>
      <w:r>
        <w:rPr>
          <w:rFonts w:ascii="Arial" w:cs="Arial" w:eastAsia="Arial" w:hAnsi="Arial"/>
          <w:sz w:val="18"/>
          <w:szCs w:val="18"/>
          <w:i w:val="1"/>
          <w:iCs w:val="1"/>
          <w:color w:val="333333"/>
        </w:rPr>
        <w:t xml:space="preserve"> </w:t>
      </w:r>
      <w:r>
        <w:rPr>
          <w:rFonts w:ascii="Arial" w:cs="Arial" w:eastAsia="Arial" w:hAnsi="Arial"/>
          <w:sz w:val="18"/>
          <w:szCs w:val="18"/>
          <w:color w:val="333333"/>
        </w:rPr>
        <w:t>may terminate the executive's employment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113665</wp:posOffset>
            </wp:positionV>
            <wp:extent cx="5352415" cy="8058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52415" cy="805815"/>
                    </a:xfrm>
                    <a:prstGeom prst="rect">
                      <a:avLst/>
                    </a:prstGeom>
                    <a:noFill/>
                  </pic:spPr>
                </pic:pic>
              </a:graphicData>
            </a:graphic>
          </wp:anchor>
        </w:drawing>
      </w:r>
    </w:p>
    <w:p>
      <w:pPr>
        <w:spacing w:after="0" w:line="159" w:lineRule="exact"/>
        <w:rPr>
          <w:sz w:val="20"/>
          <w:szCs w:val="20"/>
          <w:color w:val="auto"/>
        </w:rPr>
      </w:pPr>
    </w:p>
    <w:tbl>
      <w:tblPr>
        <w:tblLayout w:type="fixed"/>
        <w:tblInd w:w="1420" w:type="dxa"/>
        <w:tblCellMar>
          <w:top w:w="0" w:type="dxa"/>
          <w:left w:w="0" w:type="dxa"/>
          <w:bottom w:w="0" w:type="dxa"/>
          <w:right w:w="0" w:type="dxa"/>
        </w:tblCellMar>
      </w:tblPr>
      <w:tr>
        <w:trPr>
          <w:trHeight w:val="276"/>
        </w:trPr>
        <w:tc>
          <w:tcPr>
            <w:tcW w:w="3640" w:type="dxa"/>
            <w:vAlign w:val="bottom"/>
            <w:shd w:val="clear" w:color="auto" w:fill="274F78"/>
          </w:tcPr>
          <w:p>
            <w:pPr>
              <w:ind w:left="140"/>
              <w:spacing w:after="0"/>
              <w:rPr>
                <w:sz w:val="20"/>
                <w:szCs w:val="20"/>
                <w:color w:val="auto"/>
              </w:rPr>
            </w:pPr>
            <w:r>
              <w:rPr>
                <w:rFonts w:ascii="Arial" w:cs="Arial" w:eastAsia="Arial" w:hAnsi="Arial"/>
                <w:sz w:val="15"/>
                <w:szCs w:val="15"/>
                <w:b w:val="1"/>
                <w:bCs w:val="1"/>
                <w:color w:val="FFFFFF"/>
              </w:rPr>
              <w:t>Definition of "Cause" includes:</w:t>
            </w:r>
          </w:p>
        </w:tc>
        <w:tc>
          <w:tcPr>
            <w:tcW w:w="1860" w:type="dxa"/>
            <w:vAlign w:val="bottom"/>
            <w:shd w:val="clear" w:color="auto" w:fill="274F78"/>
          </w:tcPr>
          <w:p>
            <w:pPr>
              <w:ind w:left="1300"/>
              <w:spacing w:after="0"/>
              <w:rPr>
                <w:sz w:val="20"/>
                <w:szCs w:val="20"/>
                <w:color w:val="auto"/>
              </w:rPr>
            </w:pPr>
            <w:r>
              <w:rPr>
                <w:rFonts w:ascii="Arial" w:cs="Arial" w:eastAsia="Arial" w:hAnsi="Arial"/>
                <w:sz w:val="15"/>
                <w:szCs w:val="15"/>
                <w:b w:val="1"/>
                <w:bCs w:val="1"/>
                <w:color w:val="FFFFFF"/>
              </w:rPr>
              <w:t>Quirk</w:t>
            </w:r>
          </w:p>
        </w:tc>
        <w:tc>
          <w:tcPr>
            <w:tcW w:w="640" w:type="dxa"/>
            <w:vAlign w:val="bottom"/>
            <w:shd w:val="clear" w:color="auto" w:fill="274F78"/>
          </w:tcPr>
          <w:p>
            <w:pPr>
              <w:ind w:left="160"/>
              <w:spacing w:after="0"/>
              <w:rPr>
                <w:sz w:val="20"/>
                <w:szCs w:val="20"/>
                <w:color w:val="auto"/>
              </w:rPr>
            </w:pPr>
            <w:r>
              <w:rPr>
                <w:rFonts w:ascii="Arial" w:cs="Arial" w:eastAsia="Arial" w:hAnsi="Arial"/>
                <w:sz w:val="15"/>
                <w:szCs w:val="15"/>
                <w:b w:val="1"/>
                <w:bCs w:val="1"/>
                <w:color w:val="FFFFFF"/>
              </w:rPr>
              <w:t>Park</w:t>
            </w:r>
          </w:p>
        </w:tc>
        <w:tc>
          <w:tcPr>
            <w:tcW w:w="2280" w:type="dxa"/>
            <w:vAlign w:val="bottom"/>
            <w:shd w:val="clear" w:color="auto" w:fill="274F78"/>
          </w:tcPr>
          <w:p>
            <w:pPr>
              <w:ind w:left="140"/>
              <w:spacing w:after="0"/>
              <w:rPr>
                <w:sz w:val="20"/>
                <w:szCs w:val="20"/>
                <w:color w:val="auto"/>
              </w:rPr>
            </w:pPr>
            <w:r>
              <w:rPr>
                <w:rFonts w:ascii="Arial" w:cs="Arial" w:eastAsia="Arial" w:hAnsi="Arial"/>
                <w:sz w:val="15"/>
                <w:szCs w:val="15"/>
                <w:b w:val="1"/>
                <w:bCs w:val="1"/>
                <w:color w:val="FFFFFF"/>
              </w:rPr>
              <w:t>Nolan   Sadowski  Gravelle</w:t>
            </w:r>
          </w:p>
        </w:tc>
      </w:tr>
      <w:tr>
        <w:trPr>
          <w:trHeight w:val="57"/>
        </w:trPr>
        <w:tc>
          <w:tcPr>
            <w:tcW w:w="3640" w:type="dxa"/>
            <w:vAlign w:val="bottom"/>
            <w:shd w:val="clear" w:color="auto" w:fill="274F78"/>
          </w:tcPr>
          <w:p>
            <w:pPr>
              <w:spacing w:after="0"/>
              <w:rPr>
                <w:sz w:val="4"/>
                <w:szCs w:val="4"/>
                <w:color w:val="auto"/>
              </w:rPr>
            </w:pPr>
          </w:p>
        </w:tc>
        <w:tc>
          <w:tcPr>
            <w:tcW w:w="1860" w:type="dxa"/>
            <w:vAlign w:val="bottom"/>
            <w:shd w:val="clear" w:color="auto" w:fill="274F78"/>
          </w:tcPr>
          <w:p>
            <w:pPr>
              <w:spacing w:after="0"/>
              <w:rPr>
                <w:sz w:val="4"/>
                <w:szCs w:val="4"/>
                <w:color w:val="auto"/>
              </w:rPr>
            </w:pPr>
          </w:p>
        </w:tc>
        <w:tc>
          <w:tcPr>
            <w:tcW w:w="640" w:type="dxa"/>
            <w:vAlign w:val="bottom"/>
            <w:shd w:val="clear" w:color="auto" w:fill="274F78"/>
          </w:tcPr>
          <w:p>
            <w:pPr>
              <w:spacing w:after="0"/>
              <w:rPr>
                <w:sz w:val="4"/>
                <w:szCs w:val="4"/>
                <w:color w:val="auto"/>
              </w:rPr>
            </w:pPr>
          </w:p>
        </w:tc>
        <w:tc>
          <w:tcPr>
            <w:tcW w:w="2280" w:type="dxa"/>
            <w:vAlign w:val="bottom"/>
            <w:shd w:val="clear" w:color="auto" w:fill="274F78"/>
          </w:tcPr>
          <w:p>
            <w:pPr>
              <w:spacing w:after="0"/>
              <w:rPr>
                <w:sz w:val="4"/>
                <w:szCs w:val="4"/>
                <w:color w:val="auto"/>
              </w:rPr>
            </w:pPr>
          </w:p>
        </w:tc>
      </w:tr>
    </w:tbl>
    <w:p>
      <w:pPr>
        <w:spacing w:after="0" w:line="1" w:lineRule="exact"/>
        <w:rPr>
          <w:sz w:val="20"/>
          <w:szCs w:val="20"/>
          <w:color w:val="auto"/>
        </w:rPr>
      </w:pPr>
    </w:p>
    <w:tbl>
      <w:tblPr>
        <w:tblLayout w:type="fixed"/>
        <w:tblInd w:w="1430" w:type="dxa"/>
        <w:tblCellMar>
          <w:top w:w="0" w:type="dxa"/>
          <w:left w:w="0" w:type="dxa"/>
          <w:bottom w:w="0" w:type="dxa"/>
          <w:right w:w="0" w:type="dxa"/>
        </w:tblCellMar>
      </w:tblPr>
      <w:tr>
        <w:trPr>
          <w:trHeight w:val="202"/>
        </w:trPr>
        <w:tc>
          <w:tcPr>
            <w:tcW w:w="4820" w:type="dxa"/>
            <w:vAlign w:val="bottom"/>
            <w:tcBorders>
              <w:top w:val="single" w:sz="8" w:color="58595B"/>
              <w:right w:val="single" w:sz="8" w:color="58595B"/>
            </w:tcBorders>
            <w:vMerge w:val="restart"/>
          </w:tcPr>
          <w:p>
            <w:pPr>
              <w:ind w:left="140"/>
              <w:spacing w:after="0"/>
              <w:rPr>
                <w:sz w:val="20"/>
                <w:szCs w:val="20"/>
                <w:color w:val="auto"/>
              </w:rPr>
            </w:pPr>
            <w:r>
              <w:rPr>
                <w:rFonts w:ascii="Arial" w:cs="Arial" w:eastAsia="Arial" w:hAnsi="Arial"/>
                <w:sz w:val="15"/>
                <w:szCs w:val="15"/>
                <w:color w:val="58595B"/>
              </w:rPr>
              <w:t>Persistent failure to perform duties consistent with a commercially</w:t>
            </w:r>
          </w:p>
        </w:tc>
        <w:tc>
          <w:tcPr>
            <w:tcW w:w="680" w:type="dxa"/>
            <w:vAlign w:val="bottom"/>
            <w:tcBorders>
              <w:top w:val="single" w:sz="8" w:color="58595B"/>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80" w:type="dxa"/>
            <w:vAlign w:val="bottom"/>
            <w:tcBorders>
              <w:top w:val="single" w:sz="8" w:color="58595B"/>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60" w:type="dxa"/>
            <w:vAlign w:val="bottom"/>
            <w:tcBorders>
              <w:top w:val="single" w:sz="8" w:color="58595B"/>
              <w:right w:val="single" w:sz="8" w:color="58595B"/>
            </w:tcBorders>
          </w:tcPr>
          <w:p>
            <w:pPr>
              <w:ind w:left="220"/>
              <w:spacing w:after="0" w:line="202" w:lineRule="exact"/>
              <w:rPr>
                <w:sz w:val="20"/>
                <w:szCs w:val="20"/>
                <w:color w:val="auto"/>
              </w:rPr>
            </w:pPr>
            <w:r>
              <w:rPr>
                <w:rFonts w:ascii="MS PGothic" w:cs="MS PGothic" w:eastAsia="MS PGothic" w:hAnsi="MS PGothic"/>
                <w:sz w:val="21"/>
                <w:szCs w:val="21"/>
                <w:color w:val="274F78"/>
              </w:rPr>
              <w:t>✓</w:t>
            </w:r>
          </w:p>
        </w:tc>
        <w:tc>
          <w:tcPr>
            <w:tcW w:w="840" w:type="dxa"/>
            <w:vAlign w:val="bottom"/>
            <w:tcBorders>
              <w:top w:val="single" w:sz="8" w:color="58595B"/>
              <w:right w:val="single" w:sz="8" w:color="58595B"/>
            </w:tcBorders>
          </w:tcPr>
          <w:p>
            <w:pPr>
              <w:ind w:left="320"/>
              <w:spacing w:after="0" w:line="202" w:lineRule="exact"/>
              <w:rPr>
                <w:sz w:val="20"/>
                <w:szCs w:val="20"/>
                <w:color w:val="auto"/>
              </w:rPr>
            </w:pPr>
            <w:r>
              <w:rPr>
                <w:rFonts w:ascii="MS PGothic" w:cs="MS PGothic" w:eastAsia="MS PGothic" w:hAnsi="MS PGothic"/>
                <w:sz w:val="21"/>
                <w:szCs w:val="21"/>
                <w:color w:val="274F78"/>
              </w:rPr>
              <w:t>✓</w:t>
            </w:r>
          </w:p>
        </w:tc>
        <w:tc>
          <w:tcPr>
            <w:tcW w:w="760" w:type="dxa"/>
            <w:vAlign w:val="bottom"/>
            <w:tcBorders>
              <w:top w:val="single" w:sz="8" w:color="58595B"/>
              <w:right w:val="single" w:sz="8" w:color="58595B"/>
            </w:tcBorders>
          </w:tcPr>
          <w:p>
            <w:pPr>
              <w:ind w:left="280"/>
              <w:spacing w:after="0" w:line="202" w:lineRule="exact"/>
              <w:rPr>
                <w:sz w:val="20"/>
                <w:szCs w:val="20"/>
                <w:color w:val="auto"/>
              </w:rPr>
            </w:pPr>
            <w:r>
              <w:rPr>
                <w:rFonts w:ascii="MS PGothic" w:cs="MS PGothic" w:eastAsia="MS PGothic" w:hAnsi="MS PGothic"/>
                <w:sz w:val="21"/>
                <w:szCs w:val="21"/>
                <w:color w:val="274F78"/>
              </w:rPr>
              <w:t>✓</w:t>
            </w:r>
          </w:p>
        </w:tc>
        <w:tc>
          <w:tcPr>
            <w:tcW w:w="0" w:type="dxa"/>
            <w:vAlign w:val="bottom"/>
          </w:tcPr>
          <w:p>
            <w:pPr>
              <w:spacing w:after="0"/>
              <w:rPr>
                <w:sz w:val="1"/>
                <w:szCs w:val="1"/>
                <w:color w:val="auto"/>
              </w:rPr>
            </w:pPr>
          </w:p>
        </w:tc>
      </w:tr>
      <w:tr>
        <w:trPr>
          <w:trHeight w:val="25"/>
        </w:trPr>
        <w:tc>
          <w:tcPr>
            <w:tcW w:w="4820" w:type="dxa"/>
            <w:vAlign w:val="bottom"/>
            <w:tcBorders>
              <w:right w:val="single" w:sz="8" w:color="58595B"/>
            </w:tcBorders>
            <w:vMerge w:val="continue"/>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60" w:type="dxa"/>
            <w:vAlign w:val="bottom"/>
            <w:tcBorders>
              <w:right w:val="single" w:sz="8" w:color="58595B"/>
            </w:tcBorders>
          </w:tcPr>
          <w:p>
            <w:pPr>
              <w:spacing w:after="0"/>
              <w:rPr>
                <w:sz w:val="2"/>
                <w:szCs w:val="2"/>
                <w:color w:val="auto"/>
              </w:rPr>
            </w:pPr>
          </w:p>
        </w:tc>
        <w:tc>
          <w:tcPr>
            <w:tcW w:w="840" w:type="dxa"/>
            <w:vAlign w:val="bottom"/>
            <w:tcBorders>
              <w:right w:val="single" w:sz="8" w:color="58595B"/>
            </w:tcBorders>
          </w:tcPr>
          <w:p>
            <w:pPr>
              <w:spacing w:after="0"/>
              <w:rPr>
                <w:sz w:val="2"/>
                <w:szCs w:val="2"/>
                <w:color w:val="auto"/>
              </w:rPr>
            </w:pPr>
          </w:p>
        </w:tc>
        <w:tc>
          <w:tcPr>
            <w:tcW w:w="760" w:type="dxa"/>
            <w:vAlign w:val="bottom"/>
            <w:tcBorders>
              <w:right w:val="single" w:sz="8" w:color="58595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820" w:type="dxa"/>
            <w:vAlign w:val="bottom"/>
            <w:tcBorders>
              <w:right w:val="single" w:sz="8" w:color="58595B"/>
            </w:tcBorders>
          </w:tcPr>
          <w:p>
            <w:pPr>
              <w:ind w:left="140"/>
              <w:spacing w:after="0"/>
              <w:rPr>
                <w:sz w:val="20"/>
                <w:szCs w:val="20"/>
                <w:color w:val="auto"/>
              </w:rPr>
            </w:pPr>
            <w:r>
              <w:rPr>
                <w:rFonts w:ascii="Arial" w:cs="Arial" w:eastAsia="Arial" w:hAnsi="Arial"/>
                <w:sz w:val="15"/>
                <w:szCs w:val="15"/>
                <w:color w:val="58595B"/>
              </w:rPr>
              <w:t>reasonable standard of care</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60" w:type="dxa"/>
            <w:vAlign w:val="bottom"/>
            <w:tcBorders>
              <w:right w:val="single" w:sz="8" w:color="58595B"/>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820" w:type="dxa"/>
            <w:vAlign w:val="bottom"/>
            <w:tcBorders>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76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820" w:type="dxa"/>
            <w:vAlign w:val="bottom"/>
            <w:tcBorders>
              <w:right w:val="single" w:sz="8" w:color="58595B"/>
            </w:tcBorders>
            <w:vMerge w:val="restart"/>
          </w:tcPr>
          <w:p>
            <w:pPr>
              <w:ind w:left="140"/>
              <w:spacing w:after="0"/>
              <w:rPr>
                <w:sz w:val="20"/>
                <w:szCs w:val="20"/>
                <w:color w:val="auto"/>
              </w:rPr>
            </w:pPr>
            <w:r>
              <w:rPr>
                <w:rFonts w:ascii="Arial" w:cs="Arial" w:eastAsia="Arial" w:hAnsi="Arial"/>
                <w:sz w:val="15"/>
                <w:szCs w:val="15"/>
                <w:color w:val="58595B"/>
              </w:rPr>
              <w:t>Willful neglect of duties</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60" w:type="dxa"/>
            <w:vAlign w:val="bottom"/>
            <w:tcBorders>
              <w:right w:val="single" w:sz="8" w:color="58595B"/>
            </w:tcBorders>
          </w:tcPr>
          <w:p>
            <w:pPr>
              <w:ind w:left="220"/>
              <w:spacing w:after="0" w:line="202" w:lineRule="exact"/>
              <w:rPr>
                <w:sz w:val="20"/>
                <w:szCs w:val="20"/>
                <w:color w:val="auto"/>
              </w:rPr>
            </w:pPr>
            <w:r>
              <w:rPr>
                <w:rFonts w:ascii="MS PGothic" w:cs="MS PGothic" w:eastAsia="MS PGothic" w:hAnsi="MS PGothic"/>
                <w:sz w:val="21"/>
                <w:szCs w:val="21"/>
                <w:color w:val="274F78"/>
              </w:rPr>
              <w:t>✓</w:t>
            </w:r>
          </w:p>
        </w:tc>
        <w:tc>
          <w:tcPr>
            <w:tcW w:w="840" w:type="dxa"/>
            <w:vAlign w:val="bottom"/>
            <w:tcBorders>
              <w:right w:val="single" w:sz="8" w:color="58595B"/>
            </w:tcBorders>
          </w:tcPr>
          <w:p>
            <w:pPr>
              <w:ind w:left="320"/>
              <w:spacing w:after="0" w:line="202" w:lineRule="exact"/>
              <w:rPr>
                <w:sz w:val="20"/>
                <w:szCs w:val="20"/>
                <w:color w:val="auto"/>
              </w:rPr>
            </w:pPr>
            <w:r>
              <w:rPr>
                <w:rFonts w:ascii="MS PGothic" w:cs="MS PGothic" w:eastAsia="MS PGothic" w:hAnsi="MS PGothic"/>
                <w:sz w:val="21"/>
                <w:szCs w:val="21"/>
                <w:color w:val="274F78"/>
              </w:rPr>
              <w:t>✓</w:t>
            </w:r>
          </w:p>
        </w:tc>
        <w:tc>
          <w:tcPr>
            <w:tcW w:w="760" w:type="dxa"/>
            <w:vAlign w:val="bottom"/>
            <w:tcBorders>
              <w:right w:val="single" w:sz="8" w:color="58595B"/>
            </w:tcBorders>
          </w:tcPr>
          <w:p>
            <w:pPr>
              <w:ind w:left="280"/>
              <w:spacing w:after="0" w:line="202" w:lineRule="exact"/>
              <w:rPr>
                <w:sz w:val="20"/>
                <w:szCs w:val="20"/>
                <w:color w:val="auto"/>
              </w:rPr>
            </w:pPr>
            <w:r>
              <w:rPr>
                <w:rFonts w:ascii="MS PGothic" w:cs="MS PGothic" w:eastAsia="MS PGothic" w:hAnsi="MS PGothic"/>
                <w:sz w:val="21"/>
                <w:szCs w:val="21"/>
                <w:color w:val="274F78"/>
              </w:rPr>
              <w:t>✓</w:t>
            </w:r>
          </w:p>
        </w:tc>
        <w:tc>
          <w:tcPr>
            <w:tcW w:w="0" w:type="dxa"/>
            <w:vAlign w:val="bottom"/>
          </w:tcPr>
          <w:p>
            <w:pPr>
              <w:spacing w:after="0"/>
              <w:rPr>
                <w:sz w:val="1"/>
                <w:szCs w:val="1"/>
                <w:color w:val="auto"/>
              </w:rPr>
            </w:pPr>
          </w:p>
        </w:tc>
      </w:tr>
      <w:tr>
        <w:trPr>
          <w:trHeight w:val="46"/>
        </w:trPr>
        <w:tc>
          <w:tcPr>
            <w:tcW w:w="4820" w:type="dxa"/>
            <w:vAlign w:val="bottom"/>
            <w:tcBorders>
              <w:right w:val="single" w:sz="8" w:color="58595B"/>
            </w:tcBorders>
            <w:vMerge w:val="continue"/>
          </w:tcPr>
          <w:p>
            <w:pPr>
              <w:spacing w:after="0"/>
              <w:rPr>
                <w:sz w:val="4"/>
                <w:szCs w:val="4"/>
                <w:color w:val="auto"/>
              </w:rPr>
            </w:pPr>
          </w:p>
        </w:tc>
        <w:tc>
          <w:tcPr>
            <w:tcW w:w="680" w:type="dxa"/>
            <w:vAlign w:val="bottom"/>
            <w:tcBorders>
              <w:right w:val="single" w:sz="8" w:color="58595B"/>
            </w:tcBorders>
          </w:tcPr>
          <w:p>
            <w:pPr>
              <w:spacing w:after="0"/>
              <w:rPr>
                <w:sz w:val="4"/>
                <w:szCs w:val="4"/>
                <w:color w:val="auto"/>
              </w:rPr>
            </w:pPr>
          </w:p>
        </w:tc>
        <w:tc>
          <w:tcPr>
            <w:tcW w:w="680" w:type="dxa"/>
            <w:vAlign w:val="bottom"/>
            <w:tcBorders>
              <w:right w:val="single" w:sz="8" w:color="58595B"/>
            </w:tcBorders>
          </w:tcPr>
          <w:p>
            <w:pPr>
              <w:spacing w:after="0"/>
              <w:rPr>
                <w:sz w:val="4"/>
                <w:szCs w:val="4"/>
                <w:color w:val="auto"/>
              </w:rPr>
            </w:pPr>
          </w:p>
        </w:tc>
        <w:tc>
          <w:tcPr>
            <w:tcW w:w="660" w:type="dxa"/>
            <w:vAlign w:val="bottom"/>
            <w:tcBorders>
              <w:right w:val="single" w:sz="8" w:color="58595B"/>
            </w:tcBorders>
          </w:tcPr>
          <w:p>
            <w:pPr>
              <w:spacing w:after="0"/>
              <w:rPr>
                <w:sz w:val="4"/>
                <w:szCs w:val="4"/>
                <w:color w:val="auto"/>
              </w:rPr>
            </w:pPr>
          </w:p>
        </w:tc>
        <w:tc>
          <w:tcPr>
            <w:tcW w:w="840" w:type="dxa"/>
            <w:vAlign w:val="bottom"/>
            <w:tcBorders>
              <w:right w:val="single" w:sz="8" w:color="58595B"/>
            </w:tcBorders>
          </w:tcPr>
          <w:p>
            <w:pPr>
              <w:spacing w:after="0"/>
              <w:rPr>
                <w:sz w:val="4"/>
                <w:szCs w:val="4"/>
                <w:color w:val="auto"/>
              </w:rPr>
            </w:pPr>
          </w:p>
        </w:tc>
        <w:tc>
          <w:tcPr>
            <w:tcW w:w="76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820" w:type="dxa"/>
            <w:vAlign w:val="bottom"/>
            <w:tcBorders>
              <w:bottom w:val="single" w:sz="8" w:color="231F20"/>
              <w:right w:val="single" w:sz="8" w:color="58595B"/>
            </w:tcBorders>
          </w:tcPr>
          <w:p>
            <w:pPr>
              <w:spacing w:after="0"/>
              <w:rPr>
                <w:sz w:val="13"/>
                <w:szCs w:val="13"/>
                <w:color w:val="auto"/>
              </w:rPr>
            </w:pPr>
          </w:p>
        </w:tc>
        <w:tc>
          <w:tcPr>
            <w:tcW w:w="680" w:type="dxa"/>
            <w:vAlign w:val="bottom"/>
            <w:tcBorders>
              <w:bottom w:val="single" w:sz="8" w:color="58595B"/>
              <w:right w:val="single" w:sz="8" w:color="58595B"/>
            </w:tcBorders>
          </w:tcPr>
          <w:p>
            <w:pPr>
              <w:spacing w:after="0"/>
              <w:rPr>
                <w:sz w:val="13"/>
                <w:szCs w:val="13"/>
                <w:color w:val="auto"/>
              </w:rPr>
            </w:pPr>
          </w:p>
        </w:tc>
        <w:tc>
          <w:tcPr>
            <w:tcW w:w="680" w:type="dxa"/>
            <w:vAlign w:val="bottom"/>
            <w:tcBorders>
              <w:bottom w:val="single" w:sz="8" w:color="58595B"/>
              <w:right w:val="single" w:sz="8" w:color="58595B"/>
            </w:tcBorders>
          </w:tcPr>
          <w:p>
            <w:pPr>
              <w:spacing w:after="0"/>
              <w:rPr>
                <w:sz w:val="13"/>
                <w:szCs w:val="13"/>
                <w:color w:val="auto"/>
              </w:rPr>
            </w:pPr>
          </w:p>
        </w:tc>
        <w:tc>
          <w:tcPr>
            <w:tcW w:w="660" w:type="dxa"/>
            <w:vAlign w:val="bottom"/>
            <w:tcBorders>
              <w:bottom w:val="single" w:sz="8" w:color="58595B"/>
              <w:right w:val="single" w:sz="8" w:color="58595B"/>
            </w:tcBorders>
          </w:tcPr>
          <w:p>
            <w:pPr>
              <w:spacing w:after="0"/>
              <w:rPr>
                <w:sz w:val="13"/>
                <w:szCs w:val="13"/>
                <w:color w:val="auto"/>
              </w:rPr>
            </w:pPr>
          </w:p>
        </w:tc>
        <w:tc>
          <w:tcPr>
            <w:tcW w:w="840" w:type="dxa"/>
            <w:vAlign w:val="bottom"/>
            <w:tcBorders>
              <w:bottom w:val="single" w:sz="8" w:color="58595B"/>
              <w:right w:val="single" w:sz="8" w:color="58595B"/>
            </w:tcBorders>
          </w:tcPr>
          <w:p>
            <w:pPr>
              <w:spacing w:after="0"/>
              <w:rPr>
                <w:sz w:val="13"/>
                <w:szCs w:val="13"/>
                <w:color w:val="auto"/>
              </w:rPr>
            </w:pPr>
          </w:p>
        </w:tc>
        <w:tc>
          <w:tcPr>
            <w:tcW w:w="760" w:type="dxa"/>
            <w:vAlign w:val="bottom"/>
            <w:tcBorders>
              <w:bottom w:val="single" w:sz="8" w:color="58595B"/>
              <w:right w:val="single" w:sz="8" w:color="58595B"/>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820" w:type="dxa"/>
            <w:vAlign w:val="bottom"/>
            <w:tcBorders>
              <w:left w:val="single" w:sz="8" w:color="231F20"/>
              <w:right w:val="single" w:sz="8" w:color="231F20"/>
            </w:tcBorders>
            <w:vMerge w:val="restart"/>
          </w:tcPr>
          <w:p>
            <w:pPr>
              <w:ind w:left="140"/>
              <w:spacing w:after="0"/>
              <w:rPr>
                <w:sz w:val="20"/>
                <w:szCs w:val="20"/>
                <w:color w:val="auto"/>
              </w:rPr>
            </w:pPr>
            <w:r>
              <w:rPr>
                <w:rFonts w:ascii="Arial" w:cs="Arial" w:eastAsia="Arial" w:hAnsi="Arial"/>
                <w:sz w:val="15"/>
                <w:szCs w:val="15"/>
                <w:color w:val="58595B"/>
              </w:rPr>
              <w:t>Conviction of, or pleading nolo contendere to, criminal or other illegal</w:t>
            </w:r>
          </w:p>
        </w:tc>
        <w:tc>
          <w:tcPr>
            <w:tcW w:w="680" w:type="dxa"/>
            <w:vAlign w:val="bottom"/>
            <w:tcBorders>
              <w:right w:val="single" w:sz="8" w:color="231F20"/>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80" w:type="dxa"/>
            <w:vAlign w:val="bottom"/>
            <w:tcBorders>
              <w:right w:val="single" w:sz="8" w:color="231F20"/>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60" w:type="dxa"/>
            <w:vAlign w:val="bottom"/>
            <w:tcBorders>
              <w:right w:val="single" w:sz="8" w:color="231F20"/>
            </w:tcBorders>
          </w:tcPr>
          <w:p>
            <w:pPr>
              <w:ind w:left="220"/>
              <w:spacing w:after="0" w:line="202" w:lineRule="exact"/>
              <w:rPr>
                <w:sz w:val="20"/>
                <w:szCs w:val="20"/>
                <w:color w:val="auto"/>
              </w:rPr>
            </w:pPr>
            <w:r>
              <w:rPr>
                <w:rFonts w:ascii="MS PGothic" w:cs="MS PGothic" w:eastAsia="MS PGothic" w:hAnsi="MS PGothic"/>
                <w:sz w:val="21"/>
                <w:szCs w:val="21"/>
                <w:color w:val="274F78"/>
              </w:rPr>
              <w:t>✓</w:t>
            </w:r>
          </w:p>
        </w:tc>
        <w:tc>
          <w:tcPr>
            <w:tcW w:w="840" w:type="dxa"/>
            <w:vAlign w:val="bottom"/>
            <w:tcBorders>
              <w:right w:val="single" w:sz="8" w:color="231F20"/>
            </w:tcBorders>
          </w:tcPr>
          <w:p>
            <w:pPr>
              <w:ind w:left="320"/>
              <w:spacing w:after="0" w:line="202" w:lineRule="exact"/>
              <w:rPr>
                <w:sz w:val="20"/>
                <w:szCs w:val="20"/>
                <w:color w:val="auto"/>
              </w:rPr>
            </w:pPr>
            <w:r>
              <w:rPr>
                <w:rFonts w:ascii="MS PGothic" w:cs="MS PGothic" w:eastAsia="MS PGothic" w:hAnsi="MS PGothic"/>
                <w:sz w:val="21"/>
                <w:szCs w:val="21"/>
                <w:color w:val="274F78"/>
              </w:rPr>
              <w:t>✓</w:t>
            </w:r>
          </w:p>
        </w:tc>
        <w:tc>
          <w:tcPr>
            <w:tcW w:w="760" w:type="dxa"/>
            <w:vAlign w:val="bottom"/>
            <w:tcBorders>
              <w:right w:val="single" w:sz="8" w:color="231F20"/>
            </w:tcBorders>
          </w:tcPr>
          <w:p>
            <w:pPr>
              <w:ind w:left="280"/>
              <w:spacing w:after="0" w:line="202" w:lineRule="exact"/>
              <w:rPr>
                <w:sz w:val="20"/>
                <w:szCs w:val="20"/>
                <w:color w:val="auto"/>
              </w:rPr>
            </w:pPr>
            <w:r>
              <w:rPr>
                <w:rFonts w:ascii="MS PGothic" w:cs="MS PGothic" w:eastAsia="MS PGothic" w:hAnsi="MS PGothic"/>
                <w:sz w:val="21"/>
                <w:szCs w:val="21"/>
                <w:color w:val="274F78"/>
              </w:rPr>
              <w:t>✓</w:t>
            </w:r>
          </w:p>
        </w:tc>
        <w:tc>
          <w:tcPr>
            <w:tcW w:w="0" w:type="dxa"/>
            <w:vAlign w:val="bottom"/>
          </w:tcPr>
          <w:p>
            <w:pPr>
              <w:spacing w:after="0"/>
              <w:rPr>
                <w:sz w:val="1"/>
                <w:szCs w:val="1"/>
                <w:color w:val="auto"/>
              </w:rPr>
            </w:pPr>
          </w:p>
        </w:tc>
      </w:tr>
      <w:tr>
        <w:trPr>
          <w:trHeight w:val="25"/>
        </w:trPr>
        <w:tc>
          <w:tcPr>
            <w:tcW w:w="4820" w:type="dxa"/>
            <w:vAlign w:val="bottom"/>
            <w:tcBorders>
              <w:left w:val="single" w:sz="8" w:color="231F20"/>
              <w:right w:val="single" w:sz="8" w:color="231F20"/>
            </w:tcBorders>
            <w:vMerge w:val="continue"/>
          </w:tcPr>
          <w:p>
            <w:pPr>
              <w:spacing w:after="0"/>
              <w:rPr>
                <w:sz w:val="2"/>
                <w:szCs w:val="2"/>
                <w:color w:val="auto"/>
              </w:rPr>
            </w:pPr>
          </w:p>
        </w:tc>
        <w:tc>
          <w:tcPr>
            <w:tcW w:w="680" w:type="dxa"/>
            <w:vAlign w:val="bottom"/>
            <w:tcBorders>
              <w:right w:val="single" w:sz="8" w:color="231F20"/>
            </w:tcBorders>
          </w:tcPr>
          <w:p>
            <w:pPr>
              <w:spacing w:after="0"/>
              <w:rPr>
                <w:sz w:val="2"/>
                <w:szCs w:val="2"/>
                <w:color w:val="auto"/>
              </w:rPr>
            </w:pPr>
          </w:p>
        </w:tc>
        <w:tc>
          <w:tcPr>
            <w:tcW w:w="680" w:type="dxa"/>
            <w:vAlign w:val="bottom"/>
            <w:tcBorders>
              <w:right w:val="single" w:sz="8" w:color="231F20"/>
            </w:tcBorders>
          </w:tcPr>
          <w:p>
            <w:pPr>
              <w:spacing w:after="0"/>
              <w:rPr>
                <w:sz w:val="2"/>
                <w:szCs w:val="2"/>
                <w:color w:val="auto"/>
              </w:rPr>
            </w:pPr>
          </w:p>
        </w:tc>
        <w:tc>
          <w:tcPr>
            <w:tcW w:w="6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760" w:type="dxa"/>
            <w:vAlign w:val="bottom"/>
            <w:tcBorders>
              <w:right w:val="single" w:sz="8" w:color="231F2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820" w:type="dxa"/>
            <w:vAlign w:val="bottom"/>
            <w:tcBorders>
              <w:left w:val="single" w:sz="8" w:color="231F20"/>
              <w:right w:val="single" w:sz="8" w:color="231F20"/>
            </w:tcBorders>
          </w:tcPr>
          <w:p>
            <w:pPr>
              <w:ind w:left="140"/>
              <w:spacing w:after="0"/>
              <w:rPr>
                <w:sz w:val="20"/>
                <w:szCs w:val="20"/>
                <w:color w:val="auto"/>
              </w:rPr>
            </w:pPr>
            <w:r>
              <w:rPr>
                <w:rFonts w:ascii="Arial" w:cs="Arial" w:eastAsia="Arial" w:hAnsi="Arial"/>
                <w:sz w:val="15"/>
                <w:szCs w:val="15"/>
                <w:color w:val="58595B"/>
              </w:rPr>
              <w:t>activities involving dishonesty</w:t>
            </w:r>
          </w:p>
        </w:tc>
        <w:tc>
          <w:tcPr>
            <w:tcW w:w="680" w:type="dxa"/>
            <w:vAlign w:val="bottom"/>
            <w:tcBorders>
              <w:right w:val="single" w:sz="8" w:color="231F20"/>
            </w:tcBorders>
          </w:tcPr>
          <w:p>
            <w:pPr>
              <w:spacing w:after="0"/>
              <w:rPr>
                <w:sz w:val="16"/>
                <w:szCs w:val="16"/>
                <w:color w:val="auto"/>
              </w:rPr>
            </w:pPr>
          </w:p>
        </w:tc>
        <w:tc>
          <w:tcPr>
            <w:tcW w:w="680" w:type="dxa"/>
            <w:vAlign w:val="bottom"/>
            <w:tcBorders>
              <w:right w:val="single" w:sz="8" w:color="231F20"/>
            </w:tcBorders>
          </w:tcPr>
          <w:p>
            <w:pPr>
              <w:spacing w:after="0"/>
              <w:rPr>
                <w:sz w:val="16"/>
                <w:szCs w:val="16"/>
                <w:color w:val="auto"/>
              </w:rPr>
            </w:pPr>
          </w:p>
        </w:tc>
        <w:tc>
          <w:tcPr>
            <w:tcW w:w="6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7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820" w:type="dxa"/>
            <w:vAlign w:val="bottom"/>
            <w:tcBorders>
              <w:left w:val="single" w:sz="8" w:color="231F20"/>
              <w:bottom w:val="single" w:sz="8" w:color="231F20"/>
              <w:right w:val="single" w:sz="8" w:color="231F20"/>
            </w:tcBorders>
          </w:tcPr>
          <w:p>
            <w:pPr>
              <w:spacing w:after="0"/>
              <w:rPr>
                <w:sz w:val="5"/>
                <w:szCs w:val="5"/>
                <w:color w:val="auto"/>
              </w:rPr>
            </w:pPr>
          </w:p>
        </w:tc>
        <w:tc>
          <w:tcPr>
            <w:tcW w:w="680" w:type="dxa"/>
            <w:vAlign w:val="bottom"/>
            <w:tcBorders>
              <w:bottom w:val="single" w:sz="8" w:color="58595B"/>
              <w:right w:val="single" w:sz="8" w:color="231F20"/>
            </w:tcBorders>
          </w:tcPr>
          <w:p>
            <w:pPr>
              <w:spacing w:after="0"/>
              <w:rPr>
                <w:sz w:val="5"/>
                <w:szCs w:val="5"/>
                <w:color w:val="auto"/>
              </w:rPr>
            </w:pPr>
          </w:p>
        </w:tc>
        <w:tc>
          <w:tcPr>
            <w:tcW w:w="680" w:type="dxa"/>
            <w:vAlign w:val="bottom"/>
            <w:tcBorders>
              <w:bottom w:val="single" w:sz="8" w:color="58595B"/>
              <w:right w:val="single" w:sz="8" w:color="231F20"/>
            </w:tcBorders>
          </w:tcPr>
          <w:p>
            <w:pPr>
              <w:spacing w:after="0"/>
              <w:rPr>
                <w:sz w:val="5"/>
                <w:szCs w:val="5"/>
                <w:color w:val="auto"/>
              </w:rPr>
            </w:pPr>
          </w:p>
        </w:tc>
        <w:tc>
          <w:tcPr>
            <w:tcW w:w="660" w:type="dxa"/>
            <w:vAlign w:val="bottom"/>
            <w:tcBorders>
              <w:bottom w:val="single" w:sz="8" w:color="58595B"/>
              <w:right w:val="single" w:sz="8" w:color="231F20"/>
            </w:tcBorders>
          </w:tcPr>
          <w:p>
            <w:pPr>
              <w:spacing w:after="0"/>
              <w:rPr>
                <w:sz w:val="5"/>
                <w:szCs w:val="5"/>
                <w:color w:val="auto"/>
              </w:rPr>
            </w:pPr>
          </w:p>
        </w:tc>
        <w:tc>
          <w:tcPr>
            <w:tcW w:w="840" w:type="dxa"/>
            <w:vAlign w:val="bottom"/>
            <w:tcBorders>
              <w:bottom w:val="single" w:sz="8" w:color="58595B"/>
              <w:right w:val="single" w:sz="8" w:color="231F20"/>
            </w:tcBorders>
          </w:tcPr>
          <w:p>
            <w:pPr>
              <w:spacing w:after="0"/>
              <w:rPr>
                <w:sz w:val="5"/>
                <w:szCs w:val="5"/>
                <w:color w:val="auto"/>
              </w:rPr>
            </w:pPr>
          </w:p>
        </w:tc>
        <w:tc>
          <w:tcPr>
            <w:tcW w:w="760" w:type="dxa"/>
            <w:vAlign w:val="bottom"/>
            <w:tcBorders>
              <w:bottom w:val="single" w:sz="8" w:color="58595B"/>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820" w:type="dxa"/>
            <w:vAlign w:val="bottom"/>
            <w:tcBorders>
              <w:left w:val="single" w:sz="8" w:color="58595B"/>
              <w:right w:val="single" w:sz="8" w:color="58595B"/>
            </w:tcBorders>
            <w:vMerge w:val="restart"/>
          </w:tcPr>
          <w:p>
            <w:pPr>
              <w:ind w:left="140"/>
              <w:spacing w:after="0"/>
              <w:rPr>
                <w:sz w:val="20"/>
                <w:szCs w:val="20"/>
                <w:color w:val="auto"/>
              </w:rPr>
            </w:pPr>
            <w:r>
              <w:rPr>
                <w:rFonts w:ascii="Arial" w:cs="Arial" w:eastAsia="Arial" w:hAnsi="Arial"/>
                <w:sz w:val="15"/>
                <w:szCs w:val="15"/>
                <w:color w:val="58595B"/>
              </w:rPr>
              <w:t>Material breach of the employment agreement</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60" w:type="dxa"/>
            <w:vAlign w:val="bottom"/>
            <w:tcBorders>
              <w:right w:val="single" w:sz="8" w:color="58595B"/>
            </w:tcBorders>
          </w:tcPr>
          <w:p>
            <w:pPr>
              <w:ind w:left="220"/>
              <w:spacing w:after="0" w:line="202" w:lineRule="exact"/>
              <w:rPr>
                <w:sz w:val="20"/>
                <w:szCs w:val="20"/>
                <w:color w:val="auto"/>
              </w:rPr>
            </w:pPr>
            <w:r>
              <w:rPr>
                <w:rFonts w:ascii="MS PGothic" w:cs="MS PGothic" w:eastAsia="MS PGothic" w:hAnsi="MS PGothic"/>
                <w:sz w:val="21"/>
                <w:szCs w:val="21"/>
                <w:color w:val="274F78"/>
              </w:rPr>
              <w:t>✓</w:t>
            </w:r>
          </w:p>
        </w:tc>
        <w:tc>
          <w:tcPr>
            <w:tcW w:w="840" w:type="dxa"/>
            <w:vAlign w:val="bottom"/>
            <w:tcBorders>
              <w:right w:val="single" w:sz="8" w:color="58595B"/>
            </w:tcBorders>
          </w:tcPr>
          <w:p>
            <w:pPr>
              <w:ind w:left="320"/>
              <w:spacing w:after="0" w:line="202" w:lineRule="exact"/>
              <w:rPr>
                <w:sz w:val="20"/>
                <w:szCs w:val="20"/>
                <w:color w:val="auto"/>
              </w:rPr>
            </w:pPr>
            <w:r>
              <w:rPr>
                <w:rFonts w:ascii="MS PGothic" w:cs="MS PGothic" w:eastAsia="MS PGothic" w:hAnsi="MS PGothic"/>
                <w:sz w:val="21"/>
                <w:szCs w:val="21"/>
                <w:color w:val="274F78"/>
              </w:rPr>
              <w:t>✓</w:t>
            </w:r>
          </w:p>
        </w:tc>
        <w:tc>
          <w:tcPr>
            <w:tcW w:w="760" w:type="dxa"/>
            <w:vAlign w:val="bottom"/>
            <w:tcBorders>
              <w:right w:val="single" w:sz="8" w:color="58595B"/>
            </w:tcBorders>
          </w:tcPr>
          <w:p>
            <w:pPr>
              <w:ind w:left="280"/>
              <w:spacing w:after="0" w:line="202" w:lineRule="exact"/>
              <w:rPr>
                <w:sz w:val="20"/>
                <w:szCs w:val="20"/>
                <w:color w:val="auto"/>
              </w:rPr>
            </w:pPr>
            <w:r>
              <w:rPr>
                <w:rFonts w:ascii="MS PGothic" w:cs="MS PGothic" w:eastAsia="MS PGothic" w:hAnsi="MS PGothic"/>
                <w:sz w:val="21"/>
                <w:szCs w:val="21"/>
                <w:color w:val="274F78"/>
              </w:rPr>
              <w:t>✓</w:t>
            </w:r>
          </w:p>
        </w:tc>
        <w:tc>
          <w:tcPr>
            <w:tcW w:w="0" w:type="dxa"/>
            <w:vAlign w:val="bottom"/>
          </w:tcPr>
          <w:p>
            <w:pPr>
              <w:spacing w:after="0"/>
              <w:rPr>
                <w:sz w:val="1"/>
                <w:szCs w:val="1"/>
                <w:color w:val="auto"/>
              </w:rPr>
            </w:pPr>
          </w:p>
        </w:tc>
      </w:tr>
      <w:tr>
        <w:trPr>
          <w:trHeight w:val="46"/>
        </w:trPr>
        <w:tc>
          <w:tcPr>
            <w:tcW w:w="4820" w:type="dxa"/>
            <w:vAlign w:val="bottom"/>
            <w:tcBorders>
              <w:left w:val="single" w:sz="8" w:color="58595B"/>
              <w:right w:val="single" w:sz="8" w:color="58595B"/>
            </w:tcBorders>
            <w:vMerge w:val="continue"/>
          </w:tcPr>
          <w:p>
            <w:pPr>
              <w:spacing w:after="0"/>
              <w:rPr>
                <w:sz w:val="4"/>
                <w:szCs w:val="4"/>
                <w:color w:val="auto"/>
              </w:rPr>
            </w:pPr>
          </w:p>
        </w:tc>
        <w:tc>
          <w:tcPr>
            <w:tcW w:w="680" w:type="dxa"/>
            <w:vAlign w:val="bottom"/>
            <w:tcBorders>
              <w:right w:val="single" w:sz="8" w:color="58595B"/>
            </w:tcBorders>
          </w:tcPr>
          <w:p>
            <w:pPr>
              <w:spacing w:after="0"/>
              <w:rPr>
                <w:sz w:val="4"/>
                <w:szCs w:val="4"/>
                <w:color w:val="auto"/>
              </w:rPr>
            </w:pPr>
          </w:p>
        </w:tc>
        <w:tc>
          <w:tcPr>
            <w:tcW w:w="680" w:type="dxa"/>
            <w:vAlign w:val="bottom"/>
            <w:tcBorders>
              <w:right w:val="single" w:sz="8" w:color="58595B"/>
            </w:tcBorders>
          </w:tcPr>
          <w:p>
            <w:pPr>
              <w:spacing w:after="0"/>
              <w:rPr>
                <w:sz w:val="4"/>
                <w:szCs w:val="4"/>
                <w:color w:val="auto"/>
              </w:rPr>
            </w:pPr>
          </w:p>
        </w:tc>
        <w:tc>
          <w:tcPr>
            <w:tcW w:w="660" w:type="dxa"/>
            <w:vAlign w:val="bottom"/>
            <w:tcBorders>
              <w:right w:val="single" w:sz="8" w:color="58595B"/>
            </w:tcBorders>
          </w:tcPr>
          <w:p>
            <w:pPr>
              <w:spacing w:after="0"/>
              <w:rPr>
                <w:sz w:val="4"/>
                <w:szCs w:val="4"/>
                <w:color w:val="auto"/>
              </w:rPr>
            </w:pPr>
          </w:p>
        </w:tc>
        <w:tc>
          <w:tcPr>
            <w:tcW w:w="840" w:type="dxa"/>
            <w:vAlign w:val="bottom"/>
            <w:tcBorders>
              <w:right w:val="single" w:sz="8" w:color="58595B"/>
            </w:tcBorders>
          </w:tcPr>
          <w:p>
            <w:pPr>
              <w:spacing w:after="0"/>
              <w:rPr>
                <w:sz w:val="4"/>
                <w:szCs w:val="4"/>
                <w:color w:val="auto"/>
              </w:rPr>
            </w:pPr>
          </w:p>
        </w:tc>
        <w:tc>
          <w:tcPr>
            <w:tcW w:w="76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820" w:type="dxa"/>
            <w:vAlign w:val="bottom"/>
            <w:tcBorders>
              <w:left w:val="single" w:sz="8" w:color="58595B"/>
              <w:bottom w:val="single" w:sz="8" w:color="58595B"/>
              <w:right w:val="single" w:sz="8" w:color="58595B"/>
            </w:tcBorders>
          </w:tcPr>
          <w:p>
            <w:pPr>
              <w:spacing w:after="0"/>
              <w:rPr>
                <w:sz w:val="13"/>
                <w:szCs w:val="13"/>
                <w:color w:val="auto"/>
              </w:rPr>
            </w:pPr>
          </w:p>
        </w:tc>
        <w:tc>
          <w:tcPr>
            <w:tcW w:w="680" w:type="dxa"/>
            <w:vAlign w:val="bottom"/>
            <w:tcBorders>
              <w:bottom w:val="single" w:sz="8" w:color="58595B"/>
              <w:right w:val="single" w:sz="8" w:color="58595B"/>
            </w:tcBorders>
          </w:tcPr>
          <w:p>
            <w:pPr>
              <w:spacing w:after="0"/>
              <w:rPr>
                <w:sz w:val="13"/>
                <w:szCs w:val="13"/>
                <w:color w:val="auto"/>
              </w:rPr>
            </w:pPr>
          </w:p>
        </w:tc>
        <w:tc>
          <w:tcPr>
            <w:tcW w:w="680" w:type="dxa"/>
            <w:vAlign w:val="bottom"/>
            <w:tcBorders>
              <w:bottom w:val="single" w:sz="8" w:color="58595B"/>
              <w:right w:val="single" w:sz="8" w:color="58595B"/>
            </w:tcBorders>
          </w:tcPr>
          <w:p>
            <w:pPr>
              <w:spacing w:after="0"/>
              <w:rPr>
                <w:sz w:val="13"/>
                <w:szCs w:val="13"/>
                <w:color w:val="auto"/>
              </w:rPr>
            </w:pPr>
          </w:p>
        </w:tc>
        <w:tc>
          <w:tcPr>
            <w:tcW w:w="660" w:type="dxa"/>
            <w:vAlign w:val="bottom"/>
            <w:tcBorders>
              <w:bottom w:val="single" w:sz="8" w:color="58595B"/>
              <w:right w:val="single" w:sz="8" w:color="58595B"/>
            </w:tcBorders>
          </w:tcPr>
          <w:p>
            <w:pPr>
              <w:spacing w:after="0"/>
              <w:rPr>
                <w:sz w:val="13"/>
                <w:szCs w:val="13"/>
                <w:color w:val="auto"/>
              </w:rPr>
            </w:pPr>
          </w:p>
        </w:tc>
        <w:tc>
          <w:tcPr>
            <w:tcW w:w="840" w:type="dxa"/>
            <w:vAlign w:val="bottom"/>
            <w:tcBorders>
              <w:bottom w:val="single" w:sz="8" w:color="58595B"/>
              <w:right w:val="single" w:sz="8" w:color="58595B"/>
            </w:tcBorders>
          </w:tcPr>
          <w:p>
            <w:pPr>
              <w:spacing w:after="0"/>
              <w:rPr>
                <w:sz w:val="13"/>
                <w:szCs w:val="13"/>
                <w:color w:val="auto"/>
              </w:rPr>
            </w:pPr>
          </w:p>
        </w:tc>
        <w:tc>
          <w:tcPr>
            <w:tcW w:w="760" w:type="dxa"/>
            <w:vAlign w:val="bottom"/>
            <w:tcBorders>
              <w:bottom w:val="single" w:sz="8" w:color="58595B"/>
              <w:right w:val="single" w:sz="8" w:color="58595B"/>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820" w:type="dxa"/>
            <w:vAlign w:val="bottom"/>
            <w:tcBorders>
              <w:left w:val="single" w:sz="8" w:color="58595B"/>
              <w:right w:val="single" w:sz="8" w:color="58595B"/>
            </w:tcBorders>
            <w:vMerge w:val="restart"/>
          </w:tcPr>
          <w:p>
            <w:pPr>
              <w:ind w:left="140"/>
              <w:spacing w:after="0"/>
              <w:rPr>
                <w:sz w:val="20"/>
                <w:szCs w:val="20"/>
                <w:color w:val="auto"/>
              </w:rPr>
            </w:pPr>
            <w:r>
              <w:rPr>
                <w:rFonts w:ascii="Arial" w:cs="Arial" w:eastAsia="Arial" w:hAnsi="Arial"/>
                <w:sz w:val="15"/>
                <w:szCs w:val="15"/>
                <w:color w:val="58595B"/>
              </w:rPr>
              <w:t>Impeding or failing to materially cooperate with an investigation</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80" w:type="dxa"/>
            <w:vAlign w:val="bottom"/>
            <w:tcBorders>
              <w:right w:val="single" w:sz="8" w:color="58595B"/>
            </w:tcBorders>
          </w:tcPr>
          <w:p>
            <w:pPr>
              <w:ind w:left="240"/>
              <w:spacing w:after="0" w:line="202" w:lineRule="exact"/>
              <w:rPr>
                <w:sz w:val="20"/>
                <w:szCs w:val="20"/>
                <w:color w:val="auto"/>
              </w:rPr>
            </w:pPr>
            <w:r>
              <w:rPr>
                <w:rFonts w:ascii="MS PGothic" w:cs="MS PGothic" w:eastAsia="MS PGothic" w:hAnsi="MS PGothic"/>
                <w:sz w:val="21"/>
                <w:szCs w:val="21"/>
                <w:color w:val="274F78"/>
              </w:rPr>
              <w:t>✓</w:t>
            </w:r>
          </w:p>
        </w:tc>
        <w:tc>
          <w:tcPr>
            <w:tcW w:w="660" w:type="dxa"/>
            <w:vAlign w:val="bottom"/>
            <w:tcBorders>
              <w:right w:val="single" w:sz="8" w:color="58595B"/>
            </w:tcBorders>
          </w:tcPr>
          <w:p>
            <w:pPr>
              <w:ind w:left="220"/>
              <w:spacing w:after="0" w:line="202" w:lineRule="exact"/>
              <w:rPr>
                <w:sz w:val="20"/>
                <w:szCs w:val="20"/>
                <w:color w:val="auto"/>
              </w:rPr>
            </w:pPr>
            <w:r>
              <w:rPr>
                <w:rFonts w:ascii="MS PGothic" w:cs="MS PGothic" w:eastAsia="MS PGothic" w:hAnsi="MS PGothic"/>
                <w:sz w:val="21"/>
                <w:szCs w:val="21"/>
                <w:color w:val="274F78"/>
              </w:rPr>
              <w:t>✓</w:t>
            </w:r>
          </w:p>
        </w:tc>
        <w:tc>
          <w:tcPr>
            <w:tcW w:w="840" w:type="dxa"/>
            <w:vAlign w:val="bottom"/>
            <w:tcBorders>
              <w:right w:val="single" w:sz="8" w:color="58595B"/>
            </w:tcBorders>
          </w:tcPr>
          <w:p>
            <w:pPr>
              <w:ind w:left="320"/>
              <w:spacing w:after="0" w:line="202" w:lineRule="exact"/>
              <w:rPr>
                <w:sz w:val="20"/>
                <w:szCs w:val="20"/>
                <w:color w:val="auto"/>
              </w:rPr>
            </w:pPr>
            <w:r>
              <w:rPr>
                <w:rFonts w:ascii="MS PGothic" w:cs="MS PGothic" w:eastAsia="MS PGothic" w:hAnsi="MS PGothic"/>
                <w:sz w:val="21"/>
                <w:szCs w:val="21"/>
                <w:color w:val="274F78"/>
              </w:rPr>
              <w:t>✓</w:t>
            </w:r>
          </w:p>
        </w:tc>
        <w:tc>
          <w:tcPr>
            <w:tcW w:w="760" w:type="dxa"/>
            <w:vAlign w:val="bottom"/>
            <w:tcBorders>
              <w:right w:val="single" w:sz="8" w:color="58595B"/>
            </w:tcBorders>
          </w:tcPr>
          <w:p>
            <w:pPr>
              <w:ind w:left="280"/>
              <w:spacing w:after="0" w:line="202" w:lineRule="exact"/>
              <w:rPr>
                <w:sz w:val="20"/>
                <w:szCs w:val="20"/>
                <w:color w:val="auto"/>
              </w:rPr>
            </w:pPr>
            <w:r>
              <w:rPr>
                <w:rFonts w:ascii="MS PGothic" w:cs="MS PGothic" w:eastAsia="MS PGothic" w:hAnsi="MS PGothic"/>
                <w:sz w:val="21"/>
                <w:szCs w:val="21"/>
                <w:color w:val="274F78"/>
              </w:rPr>
              <w:t>✓</w:t>
            </w:r>
          </w:p>
        </w:tc>
        <w:tc>
          <w:tcPr>
            <w:tcW w:w="0" w:type="dxa"/>
            <w:vAlign w:val="bottom"/>
          </w:tcPr>
          <w:p>
            <w:pPr>
              <w:spacing w:after="0"/>
              <w:rPr>
                <w:sz w:val="1"/>
                <w:szCs w:val="1"/>
                <w:color w:val="auto"/>
              </w:rPr>
            </w:pPr>
          </w:p>
        </w:tc>
      </w:tr>
      <w:tr>
        <w:trPr>
          <w:trHeight w:val="25"/>
        </w:trPr>
        <w:tc>
          <w:tcPr>
            <w:tcW w:w="4820" w:type="dxa"/>
            <w:vAlign w:val="bottom"/>
            <w:tcBorders>
              <w:left w:val="single" w:sz="8" w:color="58595B"/>
              <w:right w:val="single" w:sz="8" w:color="58595B"/>
            </w:tcBorders>
            <w:vMerge w:val="continue"/>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60" w:type="dxa"/>
            <w:vAlign w:val="bottom"/>
            <w:tcBorders>
              <w:right w:val="single" w:sz="8" w:color="58595B"/>
            </w:tcBorders>
          </w:tcPr>
          <w:p>
            <w:pPr>
              <w:spacing w:after="0"/>
              <w:rPr>
                <w:sz w:val="2"/>
                <w:szCs w:val="2"/>
                <w:color w:val="auto"/>
              </w:rPr>
            </w:pPr>
          </w:p>
        </w:tc>
        <w:tc>
          <w:tcPr>
            <w:tcW w:w="840" w:type="dxa"/>
            <w:vAlign w:val="bottom"/>
            <w:tcBorders>
              <w:right w:val="single" w:sz="8" w:color="58595B"/>
            </w:tcBorders>
          </w:tcPr>
          <w:p>
            <w:pPr>
              <w:spacing w:after="0"/>
              <w:rPr>
                <w:sz w:val="2"/>
                <w:szCs w:val="2"/>
                <w:color w:val="auto"/>
              </w:rPr>
            </w:pPr>
          </w:p>
        </w:tc>
        <w:tc>
          <w:tcPr>
            <w:tcW w:w="760" w:type="dxa"/>
            <w:vAlign w:val="bottom"/>
            <w:tcBorders>
              <w:right w:val="single" w:sz="8" w:color="58595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82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authorized by our board of directors</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60" w:type="dxa"/>
            <w:vAlign w:val="bottom"/>
            <w:tcBorders>
              <w:right w:val="single" w:sz="8" w:color="58595B"/>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820" w:type="dxa"/>
            <w:vAlign w:val="bottom"/>
            <w:tcBorders>
              <w:left w:val="single" w:sz="8" w:color="58595B"/>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76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80" w:right="1120"/>
        <w:spacing w:after="0" w:line="266" w:lineRule="auto"/>
        <w:rPr>
          <w:sz w:val="20"/>
          <w:szCs w:val="20"/>
          <w:color w:val="auto"/>
        </w:rPr>
      </w:pPr>
      <w:r>
        <w:rPr>
          <w:rFonts w:ascii="Arial" w:cs="Arial" w:eastAsia="Arial" w:hAnsi="Arial"/>
          <w:sz w:val="18"/>
          <w:szCs w:val="18"/>
          <w:i w:val="1"/>
          <w:iCs w:val="1"/>
          <w:color w:val="333333"/>
        </w:rPr>
        <w:t xml:space="preserve">Definition: Good Reason. </w:t>
      </w:r>
      <w:r>
        <w:rPr>
          <w:rFonts w:ascii="Arial" w:cs="Arial" w:eastAsia="Arial" w:hAnsi="Arial"/>
          <w:sz w:val="18"/>
          <w:szCs w:val="18"/>
          <w:color w:val="333333"/>
        </w:rPr>
        <w:t>The table below shows for each of the named executive officers the reasons that each</w:t>
      </w:r>
      <w:r>
        <w:rPr>
          <w:rFonts w:ascii="Arial" w:cs="Arial" w:eastAsia="Arial" w:hAnsi="Arial"/>
          <w:sz w:val="18"/>
          <w:szCs w:val="18"/>
          <w:i w:val="1"/>
          <w:iCs w:val="1"/>
          <w:color w:val="333333"/>
        </w:rPr>
        <w:t xml:space="preserve"> </w:t>
      </w:r>
      <w:r>
        <w:rPr>
          <w:rFonts w:ascii="Arial" w:cs="Arial" w:eastAsia="Arial" w:hAnsi="Arial"/>
          <w:sz w:val="18"/>
          <w:szCs w:val="18"/>
          <w:color w:val="333333"/>
        </w:rPr>
        <w:t>executive may terminate his employment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6243320</wp:posOffset>
            </wp:positionH>
            <wp:positionV relativeFrom="paragraph">
              <wp:posOffset>113665</wp:posOffset>
            </wp:positionV>
            <wp:extent cx="7620" cy="2425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113665</wp:posOffset>
            </wp:positionV>
            <wp:extent cx="7620" cy="2425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113665</wp:posOffset>
            </wp:positionV>
            <wp:extent cx="7620" cy="242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113665</wp:posOffset>
            </wp:positionV>
            <wp:extent cx="7620" cy="2425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113665</wp:posOffset>
            </wp:positionV>
            <wp:extent cx="7620" cy="2425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113665</wp:posOffset>
            </wp:positionV>
            <wp:extent cx="7620" cy="2425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 cy="242570"/>
                    </a:xfrm>
                    <a:prstGeom prst="rect">
                      <a:avLst/>
                    </a:prstGeom>
                    <a:noFill/>
                  </pic:spPr>
                </pic:pic>
              </a:graphicData>
            </a:graphic>
          </wp:anchor>
        </w:drawing>
      </w:r>
    </w:p>
    <w:p>
      <w:pPr>
        <w:spacing w:after="0" w:line="139" w:lineRule="exact"/>
        <w:rPr>
          <w:sz w:val="20"/>
          <w:szCs w:val="20"/>
          <w:color w:val="auto"/>
        </w:rPr>
      </w:pPr>
    </w:p>
    <w:tbl>
      <w:tblPr>
        <w:tblLayout w:type="fixed"/>
        <w:tblInd w:w="1430" w:type="dxa"/>
        <w:tblCellMar>
          <w:top w:w="0" w:type="dxa"/>
          <w:left w:w="0" w:type="dxa"/>
          <w:bottom w:w="0" w:type="dxa"/>
          <w:right w:w="0" w:type="dxa"/>
        </w:tblCellMar>
      </w:tblPr>
      <w:tr>
        <w:trPr>
          <w:trHeight w:val="370"/>
        </w:trPr>
        <w:tc>
          <w:tcPr>
            <w:tcW w:w="4820" w:type="dxa"/>
            <w:vAlign w:val="bottom"/>
            <w:tcBorders>
              <w:top w:val="single" w:sz="8" w:color="274F78"/>
              <w:left w:val="single" w:sz="8" w:color="58595B"/>
              <w:bottom w:val="single" w:sz="8" w:color="58595B"/>
              <w:right w:val="single" w:sz="8" w:color="274F78"/>
            </w:tcBorders>
            <w:shd w:val="clear" w:color="auto" w:fill="274F78"/>
          </w:tcPr>
          <w:p>
            <w:pPr>
              <w:ind w:left="140"/>
              <w:spacing w:after="0"/>
              <w:rPr>
                <w:sz w:val="20"/>
                <w:szCs w:val="20"/>
                <w:color w:val="auto"/>
              </w:rPr>
            </w:pPr>
            <w:r>
              <w:rPr>
                <w:rFonts w:ascii="Arial" w:cs="Arial" w:eastAsia="Arial" w:hAnsi="Arial"/>
                <w:sz w:val="15"/>
                <w:szCs w:val="15"/>
                <w:b w:val="1"/>
                <w:bCs w:val="1"/>
                <w:color w:val="FFFFFF"/>
              </w:rPr>
              <w:t>Definition of “Good Reason” includes:</w:t>
            </w:r>
          </w:p>
        </w:tc>
        <w:tc>
          <w:tcPr>
            <w:tcW w:w="680" w:type="dxa"/>
            <w:vAlign w:val="bottom"/>
            <w:tcBorders>
              <w:top w:val="single" w:sz="8" w:color="274F78"/>
              <w:bottom w:val="single" w:sz="8" w:color="58595B"/>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Quirk</w:t>
            </w:r>
          </w:p>
        </w:tc>
        <w:tc>
          <w:tcPr>
            <w:tcW w:w="680" w:type="dxa"/>
            <w:vAlign w:val="bottom"/>
            <w:tcBorders>
              <w:top w:val="single" w:sz="8" w:color="274F78"/>
              <w:bottom w:val="single" w:sz="8" w:color="58595B"/>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Park</w:t>
            </w:r>
          </w:p>
        </w:tc>
        <w:tc>
          <w:tcPr>
            <w:tcW w:w="660" w:type="dxa"/>
            <w:vAlign w:val="bottom"/>
            <w:tcBorders>
              <w:top w:val="single" w:sz="8" w:color="274F78"/>
              <w:bottom w:val="single" w:sz="8" w:color="58595B"/>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Nolan</w:t>
            </w:r>
          </w:p>
        </w:tc>
        <w:tc>
          <w:tcPr>
            <w:tcW w:w="840" w:type="dxa"/>
            <w:vAlign w:val="bottom"/>
            <w:tcBorders>
              <w:top w:val="single" w:sz="8" w:color="274F78"/>
              <w:bottom w:val="single" w:sz="8" w:color="58595B"/>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Sadowski</w:t>
            </w:r>
          </w:p>
        </w:tc>
        <w:tc>
          <w:tcPr>
            <w:tcW w:w="740" w:type="dxa"/>
            <w:vAlign w:val="bottom"/>
            <w:tcBorders>
              <w:top w:val="single" w:sz="8" w:color="274F78"/>
              <w:bottom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3"/>
              </w:rPr>
              <w:t>Gravelle</w:t>
            </w:r>
            <w:r>
              <w:rPr>
                <w:rFonts w:ascii="Arial" w:cs="Arial" w:eastAsia="Arial" w:hAnsi="Arial"/>
                <w:sz w:val="24"/>
                <w:szCs w:val="24"/>
                <w:b w:val="1"/>
                <w:bCs w:val="1"/>
                <w:color w:val="FFFFFF"/>
                <w:w w:val="93"/>
                <w:vertAlign w:val="superscript"/>
              </w:rPr>
              <w:t>3</w:t>
            </w:r>
          </w:p>
        </w:tc>
        <w:tc>
          <w:tcPr>
            <w:tcW w:w="20" w:type="dxa"/>
            <w:vAlign w:val="bottom"/>
            <w:tcBorders>
              <w:top w:val="single" w:sz="8" w:color="58595B"/>
              <w:bottom w:val="single" w:sz="8" w:color="58595B"/>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82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Material diminution in the executive’s title</w:t>
            </w:r>
            <w:r>
              <w:rPr>
                <w:rFonts w:ascii="Arial" w:cs="Arial" w:eastAsia="Arial" w:hAnsi="Arial"/>
                <w:sz w:val="24"/>
                <w:szCs w:val="24"/>
                <w:color w:val="58595B"/>
                <w:vertAlign w:val="superscript"/>
              </w:rPr>
              <w:t>1</w:t>
            </w:r>
          </w:p>
        </w:tc>
        <w:tc>
          <w:tcPr>
            <w:tcW w:w="680" w:type="dxa"/>
            <w:vAlign w:val="bottom"/>
            <w:tcBorders>
              <w:bottom w:val="single" w:sz="8" w:color="58595B"/>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80" w:type="dxa"/>
            <w:vAlign w:val="bottom"/>
            <w:tcBorders>
              <w:bottom w:val="single" w:sz="8" w:color="58595B"/>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60" w:type="dxa"/>
            <w:vAlign w:val="bottom"/>
            <w:tcBorders>
              <w:bottom w:val="single" w:sz="8" w:color="58595B"/>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840" w:type="dxa"/>
            <w:vAlign w:val="bottom"/>
            <w:tcBorders>
              <w:bottom w:val="single" w:sz="8" w:color="58595B"/>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740" w:type="dxa"/>
            <w:vAlign w:val="bottom"/>
            <w:tcBorders>
              <w:bottom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75"/>
              </w:rPr>
              <w:t>✓</w:t>
            </w:r>
          </w:p>
        </w:tc>
        <w:tc>
          <w:tcPr>
            <w:tcW w:w="20" w:type="dxa"/>
            <w:vAlign w:val="bottom"/>
            <w:tcBorders>
              <w:bottom w:val="single" w:sz="8" w:color="58595B"/>
            </w:tcBorders>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20" w:type="dxa"/>
            <w:vAlign w:val="bottom"/>
            <w:tcBorders>
              <w:left w:val="single" w:sz="8" w:color="58595B"/>
              <w:right w:val="single" w:sz="8" w:color="58595B"/>
            </w:tcBorders>
            <w:vMerge w:val="restart"/>
          </w:tcPr>
          <w:p>
            <w:pPr>
              <w:ind w:left="140"/>
              <w:spacing w:after="0"/>
              <w:rPr>
                <w:sz w:val="20"/>
                <w:szCs w:val="20"/>
                <w:color w:val="auto"/>
              </w:rPr>
            </w:pPr>
            <w:r>
              <w:rPr>
                <w:rFonts w:ascii="Arial" w:cs="Arial" w:eastAsia="Arial" w:hAnsi="Arial"/>
                <w:sz w:val="15"/>
                <w:szCs w:val="15"/>
                <w:color w:val="58595B"/>
              </w:rPr>
              <w:t>Material diminution of the executive’s base salary or annual bonus</w:t>
            </w:r>
          </w:p>
        </w:tc>
        <w:tc>
          <w:tcPr>
            <w:tcW w:w="680" w:type="dxa"/>
            <w:vAlign w:val="bottom"/>
            <w:tcBorders>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80" w:type="dxa"/>
            <w:vAlign w:val="bottom"/>
            <w:tcBorders>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60" w:type="dxa"/>
            <w:vAlign w:val="bottom"/>
            <w:tcBorders>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840" w:type="dxa"/>
            <w:vAlign w:val="bottom"/>
            <w:tcBorders>
              <w:right w:val="single" w:sz="8" w:color="58595B"/>
            </w:tcBorders>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274F78"/>
                <w:w w:val="75"/>
              </w:rPr>
              <w:t>✓</w:t>
            </w:r>
          </w:p>
        </w:tc>
        <w:tc>
          <w:tcPr>
            <w:tcW w:w="20" w:type="dxa"/>
            <w:vAlign w:val="bottom"/>
            <w:shd w:val="clear" w:color="auto" w:fill="58595B"/>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820" w:type="dxa"/>
            <w:vAlign w:val="bottom"/>
            <w:tcBorders>
              <w:left w:val="single" w:sz="8" w:color="58595B"/>
              <w:right w:val="single" w:sz="8" w:color="58595B"/>
            </w:tcBorders>
            <w:vMerge w:val="continue"/>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80" w:type="dxa"/>
            <w:vAlign w:val="bottom"/>
            <w:tcBorders>
              <w:right w:val="single" w:sz="8" w:color="58595B"/>
            </w:tcBorders>
          </w:tcPr>
          <w:p>
            <w:pPr>
              <w:spacing w:after="0"/>
              <w:rPr>
                <w:sz w:val="2"/>
                <w:szCs w:val="2"/>
                <w:color w:val="auto"/>
              </w:rPr>
            </w:pPr>
          </w:p>
        </w:tc>
        <w:tc>
          <w:tcPr>
            <w:tcW w:w="660" w:type="dxa"/>
            <w:vAlign w:val="bottom"/>
            <w:tcBorders>
              <w:right w:val="single" w:sz="8" w:color="58595B"/>
            </w:tcBorders>
          </w:tcPr>
          <w:p>
            <w:pPr>
              <w:spacing w:after="0"/>
              <w:rPr>
                <w:sz w:val="2"/>
                <w:szCs w:val="2"/>
                <w:color w:val="auto"/>
              </w:rPr>
            </w:pPr>
          </w:p>
        </w:tc>
        <w:tc>
          <w:tcPr>
            <w:tcW w:w="840" w:type="dxa"/>
            <w:vAlign w:val="bottom"/>
            <w:tcBorders>
              <w:right w:val="single" w:sz="8" w:color="58595B"/>
            </w:tcBorders>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shd w:val="clear" w:color="auto" w:fill="58595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4820" w:type="dxa"/>
            <w:vAlign w:val="bottom"/>
            <w:tcBorders>
              <w:left w:val="single" w:sz="8" w:color="58595B"/>
              <w:bottom w:val="single" w:sz="8" w:color="231F20"/>
              <w:right w:val="single" w:sz="8" w:color="58595B"/>
            </w:tcBorders>
          </w:tcPr>
          <w:p>
            <w:pPr>
              <w:ind w:left="140"/>
              <w:spacing w:after="0"/>
              <w:rPr>
                <w:sz w:val="20"/>
                <w:szCs w:val="20"/>
                <w:color w:val="auto"/>
              </w:rPr>
            </w:pPr>
            <w:r>
              <w:rPr>
                <w:rFonts w:ascii="Arial" w:cs="Arial" w:eastAsia="Arial" w:hAnsi="Arial"/>
                <w:sz w:val="15"/>
                <w:szCs w:val="15"/>
                <w:color w:val="58595B"/>
              </w:rPr>
              <w:t>opportunity</w:t>
            </w:r>
            <w:r>
              <w:rPr>
                <w:rFonts w:ascii="Arial" w:cs="Arial" w:eastAsia="Arial" w:hAnsi="Arial"/>
                <w:sz w:val="24"/>
                <w:szCs w:val="24"/>
                <w:color w:val="58595B"/>
                <w:vertAlign w:val="superscript"/>
              </w:rPr>
              <w:t>2</w:t>
            </w:r>
          </w:p>
        </w:tc>
        <w:tc>
          <w:tcPr>
            <w:tcW w:w="680" w:type="dxa"/>
            <w:vAlign w:val="bottom"/>
            <w:tcBorders>
              <w:bottom w:val="single" w:sz="8" w:color="58595B"/>
              <w:right w:val="single" w:sz="8" w:color="58595B"/>
            </w:tcBorders>
          </w:tcPr>
          <w:p>
            <w:pPr>
              <w:spacing w:after="0"/>
              <w:rPr>
                <w:sz w:val="24"/>
                <w:szCs w:val="24"/>
                <w:color w:val="auto"/>
              </w:rPr>
            </w:pPr>
          </w:p>
        </w:tc>
        <w:tc>
          <w:tcPr>
            <w:tcW w:w="680" w:type="dxa"/>
            <w:vAlign w:val="bottom"/>
            <w:tcBorders>
              <w:bottom w:val="single" w:sz="8" w:color="58595B"/>
              <w:right w:val="single" w:sz="8" w:color="58595B"/>
            </w:tcBorders>
          </w:tcPr>
          <w:p>
            <w:pPr>
              <w:spacing w:after="0"/>
              <w:rPr>
                <w:sz w:val="24"/>
                <w:szCs w:val="24"/>
                <w:color w:val="auto"/>
              </w:rPr>
            </w:pPr>
          </w:p>
        </w:tc>
        <w:tc>
          <w:tcPr>
            <w:tcW w:w="660" w:type="dxa"/>
            <w:vAlign w:val="bottom"/>
            <w:tcBorders>
              <w:bottom w:val="single" w:sz="8" w:color="58595B"/>
              <w:right w:val="single" w:sz="8" w:color="58595B"/>
            </w:tcBorders>
          </w:tcPr>
          <w:p>
            <w:pPr>
              <w:spacing w:after="0"/>
              <w:rPr>
                <w:sz w:val="24"/>
                <w:szCs w:val="24"/>
                <w:color w:val="auto"/>
              </w:rPr>
            </w:pPr>
          </w:p>
        </w:tc>
        <w:tc>
          <w:tcPr>
            <w:tcW w:w="840" w:type="dxa"/>
            <w:vAlign w:val="bottom"/>
            <w:tcBorders>
              <w:bottom w:val="single" w:sz="8" w:color="58595B"/>
              <w:right w:val="single" w:sz="8" w:color="58595B"/>
            </w:tcBorders>
          </w:tcPr>
          <w:p>
            <w:pPr>
              <w:spacing w:after="0"/>
              <w:rPr>
                <w:sz w:val="24"/>
                <w:szCs w:val="24"/>
                <w:color w:val="auto"/>
              </w:rPr>
            </w:pPr>
          </w:p>
        </w:tc>
        <w:tc>
          <w:tcPr>
            <w:tcW w:w="740" w:type="dxa"/>
            <w:vAlign w:val="bottom"/>
            <w:tcBorders>
              <w:bottom w:val="single" w:sz="8" w:color="58595B"/>
            </w:tcBorders>
          </w:tcPr>
          <w:p>
            <w:pPr>
              <w:spacing w:after="0"/>
              <w:rPr>
                <w:sz w:val="24"/>
                <w:szCs w:val="24"/>
                <w:color w:val="auto"/>
              </w:rPr>
            </w:pPr>
          </w:p>
        </w:tc>
        <w:tc>
          <w:tcPr>
            <w:tcW w:w="20" w:type="dxa"/>
            <w:vAlign w:val="bottom"/>
            <w:tcBorders>
              <w:bottom w:val="single" w:sz="8" w:color="58595B"/>
            </w:tcBorders>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20" w:type="dxa"/>
            <w:vAlign w:val="bottom"/>
            <w:tcBorders>
              <w:left w:val="single" w:sz="8" w:color="231F20"/>
              <w:right w:val="single" w:sz="8" w:color="231F20"/>
            </w:tcBorders>
            <w:vMerge w:val="restart"/>
          </w:tcPr>
          <w:p>
            <w:pPr>
              <w:ind w:left="140"/>
              <w:spacing w:after="0"/>
              <w:rPr>
                <w:sz w:val="20"/>
                <w:szCs w:val="20"/>
                <w:color w:val="auto"/>
              </w:rPr>
            </w:pPr>
            <w:r>
              <w:rPr>
                <w:rFonts w:ascii="Arial" w:cs="Arial" w:eastAsia="Arial" w:hAnsi="Arial"/>
                <w:sz w:val="15"/>
                <w:szCs w:val="15"/>
                <w:color w:val="58595B"/>
              </w:rPr>
              <w:t>Material breach of any of our obligations under the employment</w:t>
            </w:r>
          </w:p>
        </w:tc>
        <w:tc>
          <w:tcPr>
            <w:tcW w:w="680" w:type="dxa"/>
            <w:vAlign w:val="bottom"/>
            <w:tcBorders>
              <w:right w:val="single" w:sz="8" w:color="231F20"/>
            </w:tcBorders>
          </w:tcPr>
          <w:p>
            <w:pPr>
              <w:jc w:val="center"/>
              <w:spacing w:after="0" w:line="202" w:lineRule="exact"/>
              <w:rPr>
                <w:sz w:val="20"/>
                <w:szCs w:val="20"/>
                <w:color w:val="auto"/>
              </w:rPr>
            </w:pPr>
            <w:r>
              <w:rPr>
                <w:rFonts w:ascii="MS PGothic" w:cs="MS PGothic" w:eastAsia="MS PGothic" w:hAnsi="MS PGothic"/>
                <w:sz w:val="21"/>
                <w:szCs w:val="21"/>
                <w:color w:val="274F78"/>
                <w:w w:val="85"/>
              </w:rPr>
              <w:t>✓</w:t>
            </w:r>
          </w:p>
        </w:tc>
        <w:tc>
          <w:tcPr>
            <w:tcW w:w="680" w:type="dxa"/>
            <w:vAlign w:val="bottom"/>
            <w:tcBorders>
              <w:right w:val="single" w:sz="8" w:color="231F20"/>
            </w:tcBorders>
          </w:tcPr>
          <w:p>
            <w:pPr>
              <w:jc w:val="center"/>
              <w:spacing w:after="0" w:line="202" w:lineRule="exact"/>
              <w:rPr>
                <w:sz w:val="20"/>
                <w:szCs w:val="20"/>
                <w:color w:val="auto"/>
              </w:rPr>
            </w:pPr>
            <w:r>
              <w:rPr>
                <w:rFonts w:ascii="MS PGothic" w:cs="MS PGothic" w:eastAsia="MS PGothic" w:hAnsi="MS PGothic"/>
                <w:sz w:val="21"/>
                <w:szCs w:val="21"/>
                <w:color w:val="274F78"/>
                <w:w w:val="85"/>
              </w:rPr>
              <w:t>✓</w:t>
            </w:r>
          </w:p>
        </w:tc>
        <w:tc>
          <w:tcPr>
            <w:tcW w:w="660" w:type="dxa"/>
            <w:vAlign w:val="bottom"/>
            <w:tcBorders>
              <w:right w:val="single" w:sz="8" w:color="231F20"/>
            </w:tcBorders>
          </w:tcPr>
          <w:p>
            <w:pPr>
              <w:jc w:val="center"/>
              <w:spacing w:after="0" w:line="202" w:lineRule="exact"/>
              <w:rPr>
                <w:sz w:val="20"/>
                <w:szCs w:val="20"/>
                <w:color w:val="auto"/>
              </w:rPr>
            </w:pPr>
            <w:r>
              <w:rPr>
                <w:rFonts w:ascii="MS PGothic" w:cs="MS PGothic" w:eastAsia="MS PGothic" w:hAnsi="MS PGothic"/>
                <w:sz w:val="21"/>
                <w:szCs w:val="21"/>
                <w:color w:val="274F78"/>
                <w:w w:val="85"/>
              </w:rPr>
              <w:t>✓</w:t>
            </w:r>
          </w:p>
        </w:tc>
        <w:tc>
          <w:tcPr>
            <w:tcW w:w="840" w:type="dxa"/>
            <w:vAlign w:val="bottom"/>
            <w:tcBorders>
              <w:right w:val="single" w:sz="8" w:color="231F20"/>
            </w:tcBorders>
          </w:tcPr>
          <w:p>
            <w:pPr>
              <w:jc w:val="center"/>
              <w:spacing w:after="0" w:line="202" w:lineRule="exact"/>
              <w:rPr>
                <w:sz w:val="20"/>
                <w:szCs w:val="20"/>
                <w:color w:val="auto"/>
              </w:rPr>
            </w:pPr>
            <w:r>
              <w:rPr>
                <w:rFonts w:ascii="MS PGothic" w:cs="MS PGothic" w:eastAsia="MS PGothic" w:hAnsi="MS PGothic"/>
                <w:sz w:val="21"/>
                <w:szCs w:val="21"/>
                <w:color w:val="274F78"/>
                <w:w w:val="85"/>
              </w:rPr>
              <w:t>✓</w:t>
            </w:r>
          </w:p>
        </w:tc>
        <w:tc>
          <w:tcPr>
            <w:tcW w:w="740" w:type="dxa"/>
            <w:vAlign w:val="bottom"/>
          </w:tcPr>
          <w:p>
            <w:pPr>
              <w:jc w:val="center"/>
              <w:spacing w:after="0" w:line="202" w:lineRule="exact"/>
              <w:rPr>
                <w:sz w:val="20"/>
                <w:szCs w:val="20"/>
                <w:color w:val="auto"/>
              </w:rPr>
            </w:pPr>
            <w:r>
              <w:rPr>
                <w:rFonts w:ascii="MS PGothic" w:cs="MS PGothic" w:eastAsia="MS PGothic" w:hAnsi="MS PGothic"/>
                <w:sz w:val="21"/>
                <w:szCs w:val="21"/>
                <w:color w:val="274F78"/>
                <w:w w:val="75"/>
              </w:rPr>
              <w:t>✓</w:t>
            </w:r>
          </w:p>
        </w:tc>
        <w:tc>
          <w:tcPr>
            <w:tcW w:w="20" w:type="dxa"/>
            <w:vAlign w:val="bottom"/>
            <w:shd w:val="clear" w:color="auto" w:fill="231F20"/>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820" w:type="dxa"/>
            <w:vAlign w:val="bottom"/>
            <w:tcBorders>
              <w:left w:val="single" w:sz="8" w:color="231F20"/>
              <w:right w:val="single" w:sz="8" w:color="231F20"/>
            </w:tcBorders>
            <w:vMerge w:val="continue"/>
          </w:tcPr>
          <w:p>
            <w:pPr>
              <w:spacing w:after="0"/>
              <w:rPr>
                <w:sz w:val="2"/>
                <w:szCs w:val="2"/>
                <w:color w:val="auto"/>
              </w:rPr>
            </w:pPr>
          </w:p>
        </w:tc>
        <w:tc>
          <w:tcPr>
            <w:tcW w:w="680" w:type="dxa"/>
            <w:vAlign w:val="bottom"/>
            <w:tcBorders>
              <w:right w:val="single" w:sz="8" w:color="231F20"/>
            </w:tcBorders>
          </w:tcPr>
          <w:p>
            <w:pPr>
              <w:spacing w:after="0"/>
              <w:rPr>
                <w:sz w:val="2"/>
                <w:szCs w:val="2"/>
                <w:color w:val="auto"/>
              </w:rPr>
            </w:pPr>
          </w:p>
        </w:tc>
        <w:tc>
          <w:tcPr>
            <w:tcW w:w="680" w:type="dxa"/>
            <w:vAlign w:val="bottom"/>
            <w:tcBorders>
              <w:right w:val="single" w:sz="8" w:color="231F20"/>
            </w:tcBorders>
          </w:tcPr>
          <w:p>
            <w:pPr>
              <w:spacing w:after="0"/>
              <w:rPr>
                <w:sz w:val="2"/>
                <w:szCs w:val="2"/>
                <w:color w:val="auto"/>
              </w:rPr>
            </w:pPr>
          </w:p>
        </w:tc>
        <w:tc>
          <w:tcPr>
            <w:tcW w:w="6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820" w:type="dxa"/>
            <w:vAlign w:val="bottom"/>
            <w:tcBorders>
              <w:left w:val="single" w:sz="8" w:color="231F20"/>
              <w:right w:val="single" w:sz="8" w:color="231F20"/>
            </w:tcBorders>
          </w:tcPr>
          <w:p>
            <w:pPr>
              <w:ind w:left="140"/>
              <w:spacing w:after="0"/>
              <w:rPr>
                <w:sz w:val="20"/>
                <w:szCs w:val="20"/>
                <w:color w:val="auto"/>
              </w:rPr>
            </w:pPr>
            <w:r>
              <w:rPr>
                <w:rFonts w:ascii="Arial" w:cs="Arial" w:eastAsia="Arial" w:hAnsi="Arial"/>
                <w:sz w:val="15"/>
                <w:szCs w:val="15"/>
                <w:color w:val="58595B"/>
              </w:rPr>
              <w:t>agreement</w:t>
            </w:r>
          </w:p>
        </w:tc>
        <w:tc>
          <w:tcPr>
            <w:tcW w:w="680" w:type="dxa"/>
            <w:vAlign w:val="bottom"/>
            <w:tcBorders>
              <w:right w:val="single" w:sz="8" w:color="231F20"/>
            </w:tcBorders>
          </w:tcPr>
          <w:p>
            <w:pPr>
              <w:spacing w:after="0"/>
              <w:rPr>
                <w:sz w:val="16"/>
                <w:szCs w:val="16"/>
                <w:color w:val="auto"/>
              </w:rPr>
            </w:pPr>
          </w:p>
        </w:tc>
        <w:tc>
          <w:tcPr>
            <w:tcW w:w="680" w:type="dxa"/>
            <w:vAlign w:val="bottom"/>
            <w:tcBorders>
              <w:right w:val="single" w:sz="8" w:color="231F20"/>
            </w:tcBorders>
          </w:tcPr>
          <w:p>
            <w:pPr>
              <w:spacing w:after="0"/>
              <w:rPr>
                <w:sz w:val="16"/>
                <w:szCs w:val="16"/>
                <w:color w:val="auto"/>
              </w:rPr>
            </w:pPr>
          </w:p>
        </w:tc>
        <w:tc>
          <w:tcPr>
            <w:tcW w:w="6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231F20"/>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820" w:type="dxa"/>
            <w:vAlign w:val="bottom"/>
            <w:tcBorders>
              <w:left w:val="single" w:sz="8" w:color="231F20"/>
              <w:bottom w:val="single" w:sz="8" w:color="231F20"/>
              <w:right w:val="single" w:sz="8" w:color="231F20"/>
            </w:tcBorders>
          </w:tcPr>
          <w:p>
            <w:pPr>
              <w:spacing w:after="0"/>
              <w:rPr>
                <w:sz w:val="5"/>
                <w:szCs w:val="5"/>
                <w:color w:val="auto"/>
              </w:rPr>
            </w:pPr>
          </w:p>
        </w:tc>
        <w:tc>
          <w:tcPr>
            <w:tcW w:w="680" w:type="dxa"/>
            <w:vAlign w:val="bottom"/>
            <w:tcBorders>
              <w:bottom w:val="single" w:sz="8" w:color="58595B"/>
              <w:right w:val="single" w:sz="8" w:color="231F20"/>
            </w:tcBorders>
          </w:tcPr>
          <w:p>
            <w:pPr>
              <w:spacing w:after="0"/>
              <w:rPr>
                <w:sz w:val="5"/>
                <w:szCs w:val="5"/>
                <w:color w:val="auto"/>
              </w:rPr>
            </w:pPr>
          </w:p>
        </w:tc>
        <w:tc>
          <w:tcPr>
            <w:tcW w:w="680" w:type="dxa"/>
            <w:vAlign w:val="bottom"/>
            <w:tcBorders>
              <w:bottom w:val="single" w:sz="8" w:color="58595B"/>
              <w:right w:val="single" w:sz="8" w:color="231F20"/>
            </w:tcBorders>
          </w:tcPr>
          <w:p>
            <w:pPr>
              <w:spacing w:after="0"/>
              <w:rPr>
                <w:sz w:val="5"/>
                <w:szCs w:val="5"/>
                <w:color w:val="auto"/>
              </w:rPr>
            </w:pPr>
          </w:p>
        </w:tc>
        <w:tc>
          <w:tcPr>
            <w:tcW w:w="660" w:type="dxa"/>
            <w:vAlign w:val="bottom"/>
            <w:tcBorders>
              <w:bottom w:val="single" w:sz="8" w:color="58595B"/>
              <w:right w:val="single" w:sz="8" w:color="231F20"/>
            </w:tcBorders>
          </w:tcPr>
          <w:p>
            <w:pPr>
              <w:spacing w:after="0"/>
              <w:rPr>
                <w:sz w:val="5"/>
                <w:szCs w:val="5"/>
                <w:color w:val="auto"/>
              </w:rPr>
            </w:pPr>
          </w:p>
        </w:tc>
        <w:tc>
          <w:tcPr>
            <w:tcW w:w="840" w:type="dxa"/>
            <w:vAlign w:val="bottom"/>
            <w:tcBorders>
              <w:bottom w:val="single" w:sz="8" w:color="58595B"/>
              <w:right w:val="single" w:sz="8" w:color="231F20"/>
            </w:tcBorders>
          </w:tcPr>
          <w:p>
            <w:pPr>
              <w:spacing w:after="0"/>
              <w:rPr>
                <w:sz w:val="5"/>
                <w:szCs w:val="5"/>
                <w:color w:val="auto"/>
              </w:rPr>
            </w:pPr>
          </w:p>
        </w:tc>
        <w:tc>
          <w:tcPr>
            <w:tcW w:w="740" w:type="dxa"/>
            <w:vAlign w:val="bottom"/>
            <w:tcBorders>
              <w:bottom w:val="single" w:sz="8" w:color="58595B"/>
            </w:tcBorders>
          </w:tcPr>
          <w:p>
            <w:pPr>
              <w:spacing w:after="0"/>
              <w:rPr>
                <w:sz w:val="5"/>
                <w:szCs w:val="5"/>
                <w:color w:val="auto"/>
              </w:rPr>
            </w:pPr>
          </w:p>
        </w:tc>
        <w:tc>
          <w:tcPr>
            <w:tcW w:w="20" w:type="dxa"/>
            <w:vAlign w:val="bottom"/>
            <w:tcBorders>
              <w:bottom w:val="single" w:sz="8" w:color="231F20"/>
            </w:tcBorders>
            <w:shd w:val="clear" w:color="auto" w:fill="231F20"/>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82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Within six months immediately preceding or within two years</w:t>
            </w:r>
          </w:p>
        </w:tc>
        <w:tc>
          <w:tcPr>
            <w:tcW w:w="680" w:type="dxa"/>
            <w:vAlign w:val="bottom"/>
            <w:tcBorders>
              <w:right w:val="single" w:sz="8" w:color="58595B"/>
            </w:tcBorders>
          </w:tcPr>
          <w:p>
            <w:pPr>
              <w:spacing w:after="0"/>
              <w:rPr>
                <w:sz w:val="19"/>
                <w:szCs w:val="19"/>
                <w:color w:val="auto"/>
              </w:rPr>
            </w:pPr>
          </w:p>
        </w:tc>
        <w:tc>
          <w:tcPr>
            <w:tcW w:w="680" w:type="dxa"/>
            <w:vAlign w:val="bottom"/>
            <w:tcBorders>
              <w:right w:val="single" w:sz="8" w:color="58595B"/>
            </w:tcBorders>
          </w:tcPr>
          <w:p>
            <w:pPr>
              <w:spacing w:after="0"/>
              <w:rPr>
                <w:sz w:val="19"/>
                <w:szCs w:val="19"/>
                <w:color w:val="auto"/>
              </w:rPr>
            </w:pPr>
          </w:p>
        </w:tc>
        <w:tc>
          <w:tcPr>
            <w:tcW w:w="660" w:type="dxa"/>
            <w:vAlign w:val="bottom"/>
            <w:tcBorders>
              <w:right w:val="single" w:sz="8" w:color="58595B"/>
            </w:tcBorders>
          </w:tcPr>
          <w:p>
            <w:pPr>
              <w:spacing w:after="0"/>
              <w:rPr>
                <w:sz w:val="19"/>
                <w:szCs w:val="19"/>
                <w:color w:val="auto"/>
              </w:rPr>
            </w:pPr>
          </w:p>
        </w:tc>
        <w:tc>
          <w:tcPr>
            <w:tcW w:w="840" w:type="dxa"/>
            <w:vAlign w:val="bottom"/>
            <w:tcBorders>
              <w:right w:val="single" w:sz="8" w:color="58595B"/>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shd w:val="clear" w:color="auto" w:fill="58595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tcBorders>
              <w:left w:val="single" w:sz="8" w:color="58595B"/>
              <w:right w:val="single" w:sz="8" w:color="58595B"/>
            </w:tcBorders>
          </w:tcPr>
          <w:p>
            <w:pPr>
              <w:ind w:left="140"/>
              <w:spacing w:after="0" w:line="210" w:lineRule="exact"/>
              <w:rPr>
                <w:sz w:val="20"/>
                <w:szCs w:val="20"/>
                <w:color w:val="auto"/>
              </w:rPr>
            </w:pPr>
            <w:r>
              <w:rPr>
                <w:rFonts w:ascii="Arial" w:cs="Arial" w:eastAsia="Arial" w:hAnsi="Arial"/>
                <w:sz w:val="15"/>
                <w:szCs w:val="15"/>
                <w:color w:val="58595B"/>
              </w:rPr>
              <w:t>immediately following a change of control:</w:t>
            </w:r>
            <w:r>
              <w:rPr>
                <w:rFonts w:ascii="Arial" w:cs="Arial" w:eastAsia="Arial" w:hAnsi="Arial"/>
                <w:sz w:val="24"/>
                <w:szCs w:val="24"/>
                <w:color w:val="58595B"/>
                <w:vertAlign w:val="superscript"/>
              </w:rPr>
              <w:t>3</w:t>
            </w:r>
          </w:p>
        </w:tc>
        <w:tc>
          <w:tcPr>
            <w:tcW w:w="680" w:type="dxa"/>
            <w:vAlign w:val="bottom"/>
            <w:tcBorders>
              <w:right w:val="single" w:sz="8" w:color="58595B"/>
            </w:tcBorders>
          </w:tcPr>
          <w:p>
            <w:pPr>
              <w:spacing w:after="0"/>
              <w:rPr>
                <w:sz w:val="18"/>
                <w:szCs w:val="18"/>
                <w:color w:val="auto"/>
              </w:rPr>
            </w:pPr>
          </w:p>
        </w:tc>
        <w:tc>
          <w:tcPr>
            <w:tcW w:w="680" w:type="dxa"/>
            <w:vAlign w:val="bottom"/>
            <w:tcBorders>
              <w:right w:val="single" w:sz="8" w:color="58595B"/>
            </w:tcBorders>
          </w:tcPr>
          <w:p>
            <w:pPr>
              <w:spacing w:after="0"/>
              <w:rPr>
                <w:sz w:val="18"/>
                <w:szCs w:val="18"/>
                <w:color w:val="auto"/>
              </w:rPr>
            </w:pPr>
          </w:p>
        </w:tc>
        <w:tc>
          <w:tcPr>
            <w:tcW w:w="660" w:type="dxa"/>
            <w:vAlign w:val="bottom"/>
            <w:tcBorders>
              <w:right w:val="single" w:sz="8" w:color="58595B"/>
            </w:tcBorders>
          </w:tcPr>
          <w:p>
            <w:pPr>
              <w:spacing w:after="0"/>
              <w:rPr>
                <w:sz w:val="18"/>
                <w:szCs w:val="18"/>
                <w:color w:val="auto"/>
              </w:rPr>
            </w:pPr>
          </w:p>
        </w:tc>
        <w:tc>
          <w:tcPr>
            <w:tcW w:w="840" w:type="dxa"/>
            <w:vAlign w:val="bottom"/>
            <w:tcBorders>
              <w:right w:val="single" w:sz="8" w:color="58595B"/>
            </w:tcBorders>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shd w:val="clear" w:color="auto" w:fill="58595B"/>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20" w:type="dxa"/>
            <w:vAlign w:val="bottom"/>
            <w:tcBorders>
              <w:left w:val="single" w:sz="8" w:color="58595B"/>
              <w:right w:val="single" w:sz="8" w:color="58595B"/>
            </w:tcBorders>
          </w:tcPr>
          <w:p>
            <w:pPr>
              <w:ind w:left="220"/>
              <w:spacing w:after="0"/>
              <w:rPr>
                <w:sz w:val="20"/>
                <w:szCs w:val="20"/>
                <w:color w:val="auto"/>
              </w:rPr>
            </w:pPr>
            <w:r>
              <w:rPr>
                <w:rFonts w:ascii="Arial" w:cs="Arial" w:eastAsia="Arial" w:hAnsi="Arial"/>
                <w:sz w:val="15"/>
                <w:szCs w:val="15"/>
                <w:color w:val="58595B"/>
              </w:rPr>
              <w:t>•       A material adverse change in the executive’s status, authority or</w:t>
            </w:r>
          </w:p>
        </w:tc>
        <w:tc>
          <w:tcPr>
            <w:tcW w:w="680" w:type="dxa"/>
            <w:vAlign w:val="bottom"/>
            <w:tcBorders>
              <w:right w:val="single" w:sz="8" w:color="58595B"/>
            </w:tcBorders>
          </w:tcPr>
          <w:p>
            <w:pPr>
              <w:spacing w:after="0"/>
              <w:rPr>
                <w:sz w:val="15"/>
                <w:szCs w:val="15"/>
                <w:color w:val="auto"/>
              </w:rPr>
            </w:pPr>
          </w:p>
        </w:tc>
        <w:tc>
          <w:tcPr>
            <w:tcW w:w="680" w:type="dxa"/>
            <w:vAlign w:val="bottom"/>
            <w:tcBorders>
              <w:right w:val="single" w:sz="8" w:color="58595B"/>
            </w:tcBorders>
          </w:tcPr>
          <w:p>
            <w:pPr>
              <w:spacing w:after="0"/>
              <w:rPr>
                <w:sz w:val="15"/>
                <w:szCs w:val="15"/>
                <w:color w:val="auto"/>
              </w:rPr>
            </w:pPr>
          </w:p>
        </w:tc>
        <w:tc>
          <w:tcPr>
            <w:tcW w:w="660" w:type="dxa"/>
            <w:vAlign w:val="bottom"/>
            <w:tcBorders>
              <w:right w:val="single" w:sz="8" w:color="58595B"/>
            </w:tcBorders>
          </w:tcPr>
          <w:p>
            <w:pPr>
              <w:spacing w:after="0"/>
              <w:rPr>
                <w:sz w:val="15"/>
                <w:szCs w:val="15"/>
                <w:color w:val="auto"/>
              </w:rPr>
            </w:pPr>
          </w:p>
        </w:tc>
        <w:tc>
          <w:tcPr>
            <w:tcW w:w="840" w:type="dxa"/>
            <w:vAlign w:val="bottom"/>
            <w:tcBorders>
              <w:right w:val="single" w:sz="8" w:color="58595B"/>
            </w:tcBorders>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shd w:val="clear" w:color="auto" w:fill="58595B"/>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responsibility;</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58595B"/>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20" w:type="dxa"/>
            <w:vAlign w:val="bottom"/>
            <w:tcBorders>
              <w:left w:val="single" w:sz="8" w:color="58595B"/>
              <w:right w:val="single" w:sz="8" w:color="58595B"/>
            </w:tcBorders>
          </w:tcPr>
          <w:p>
            <w:pPr>
              <w:ind w:left="220"/>
              <w:spacing w:after="0"/>
              <w:rPr>
                <w:sz w:val="20"/>
                <w:szCs w:val="20"/>
                <w:color w:val="auto"/>
              </w:rPr>
            </w:pPr>
            <w:r>
              <w:rPr>
                <w:rFonts w:ascii="Arial" w:cs="Arial" w:eastAsia="Arial" w:hAnsi="Arial"/>
                <w:sz w:val="15"/>
                <w:szCs w:val="15"/>
                <w:color w:val="58595B"/>
              </w:rPr>
              <w:t>•      A material adverse change in the position to whom the executive</w:t>
            </w:r>
          </w:p>
        </w:tc>
        <w:tc>
          <w:tcPr>
            <w:tcW w:w="680" w:type="dxa"/>
            <w:vAlign w:val="bottom"/>
            <w:tcBorders>
              <w:right w:val="single" w:sz="8" w:color="58595B"/>
            </w:tcBorders>
          </w:tcPr>
          <w:p>
            <w:pPr>
              <w:spacing w:after="0"/>
              <w:rPr>
                <w:sz w:val="24"/>
                <w:szCs w:val="24"/>
                <w:color w:val="auto"/>
              </w:rPr>
            </w:pPr>
          </w:p>
        </w:tc>
        <w:tc>
          <w:tcPr>
            <w:tcW w:w="680" w:type="dxa"/>
            <w:vAlign w:val="bottom"/>
            <w:tcBorders>
              <w:right w:val="single" w:sz="8" w:color="58595B"/>
            </w:tcBorders>
          </w:tcPr>
          <w:p>
            <w:pPr>
              <w:spacing w:after="0"/>
              <w:rPr>
                <w:sz w:val="24"/>
                <w:szCs w:val="24"/>
                <w:color w:val="auto"/>
              </w:rPr>
            </w:pPr>
          </w:p>
        </w:tc>
        <w:tc>
          <w:tcPr>
            <w:tcW w:w="660" w:type="dxa"/>
            <w:vAlign w:val="bottom"/>
            <w:tcBorders>
              <w:right w:val="single" w:sz="8" w:color="58595B"/>
            </w:tcBorders>
          </w:tcPr>
          <w:p>
            <w:pPr>
              <w:spacing w:after="0"/>
              <w:rPr>
                <w:sz w:val="24"/>
                <w:szCs w:val="24"/>
                <w:color w:val="auto"/>
              </w:rPr>
            </w:pPr>
          </w:p>
        </w:tc>
        <w:tc>
          <w:tcPr>
            <w:tcW w:w="840" w:type="dxa"/>
            <w:vAlign w:val="bottom"/>
            <w:tcBorders>
              <w:right w:val="single" w:sz="8" w:color="58595B"/>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reports or to the executive’s service relationship as a result of</w:t>
            </w:r>
          </w:p>
        </w:tc>
        <w:tc>
          <w:tcPr>
            <w:tcW w:w="680" w:type="dxa"/>
            <w:vAlign w:val="bottom"/>
            <w:tcBorders>
              <w:right w:val="single" w:sz="8" w:color="58595B"/>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80" w:type="dxa"/>
            <w:vAlign w:val="bottom"/>
            <w:tcBorders>
              <w:right w:val="single" w:sz="8" w:color="58595B"/>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660" w:type="dxa"/>
            <w:vAlign w:val="bottom"/>
            <w:tcBorders>
              <w:right w:val="single" w:sz="8" w:color="58595B"/>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840" w:type="dxa"/>
            <w:vAlign w:val="bottom"/>
            <w:tcBorders>
              <w:right w:val="single" w:sz="8" w:color="58595B"/>
            </w:tcBorders>
            <w:vMerge w:val="restart"/>
          </w:tcPr>
          <w:p>
            <w:pPr>
              <w:jc w:val="center"/>
              <w:spacing w:after="0" w:line="211" w:lineRule="exact"/>
              <w:rPr>
                <w:sz w:val="20"/>
                <w:szCs w:val="20"/>
                <w:color w:val="auto"/>
              </w:rPr>
            </w:pPr>
            <w:r>
              <w:rPr>
                <w:rFonts w:ascii="MS PGothic" w:cs="MS PGothic" w:eastAsia="MS PGothic" w:hAnsi="MS PGothic"/>
                <w:sz w:val="21"/>
                <w:szCs w:val="21"/>
                <w:color w:val="274F78"/>
                <w:w w:val="85"/>
              </w:rPr>
              <w:t>✓</w:t>
            </w:r>
          </w:p>
        </w:tc>
        <w:tc>
          <w:tcPr>
            <w:tcW w:w="740" w:type="dxa"/>
            <w:vAlign w:val="bottom"/>
          </w:tcPr>
          <w:p>
            <w:pPr>
              <w:spacing w:after="0"/>
              <w:rPr>
                <w:sz w:val="15"/>
                <w:szCs w:val="15"/>
                <w:color w:val="auto"/>
              </w:rPr>
            </w:pPr>
          </w:p>
        </w:tc>
        <w:tc>
          <w:tcPr>
            <w:tcW w:w="20" w:type="dxa"/>
            <w:vAlign w:val="bottom"/>
            <w:shd w:val="clear" w:color="auto" w:fill="58595B"/>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such reporting structure</w:t>
            </w:r>
          </w:p>
        </w:tc>
        <w:tc>
          <w:tcPr>
            <w:tcW w:w="680" w:type="dxa"/>
            <w:vAlign w:val="bottom"/>
            <w:tcBorders>
              <w:right w:val="single" w:sz="8" w:color="58595B"/>
            </w:tcBorders>
            <w:vMerge w:val="continue"/>
          </w:tcPr>
          <w:p>
            <w:pPr>
              <w:spacing w:after="0"/>
              <w:rPr>
                <w:sz w:val="15"/>
                <w:szCs w:val="15"/>
                <w:color w:val="auto"/>
              </w:rPr>
            </w:pPr>
          </w:p>
        </w:tc>
        <w:tc>
          <w:tcPr>
            <w:tcW w:w="680" w:type="dxa"/>
            <w:vAlign w:val="bottom"/>
            <w:tcBorders>
              <w:right w:val="single" w:sz="8" w:color="58595B"/>
            </w:tcBorders>
            <w:vMerge w:val="continue"/>
          </w:tcPr>
          <w:p>
            <w:pPr>
              <w:spacing w:after="0"/>
              <w:rPr>
                <w:sz w:val="15"/>
                <w:szCs w:val="15"/>
                <w:color w:val="auto"/>
              </w:rPr>
            </w:pPr>
          </w:p>
        </w:tc>
        <w:tc>
          <w:tcPr>
            <w:tcW w:w="660" w:type="dxa"/>
            <w:vAlign w:val="bottom"/>
            <w:tcBorders>
              <w:right w:val="single" w:sz="8" w:color="58595B"/>
            </w:tcBorders>
            <w:vMerge w:val="continue"/>
          </w:tcPr>
          <w:p>
            <w:pPr>
              <w:spacing w:after="0"/>
              <w:rPr>
                <w:sz w:val="15"/>
                <w:szCs w:val="15"/>
                <w:color w:val="auto"/>
              </w:rPr>
            </w:pPr>
          </w:p>
        </w:tc>
        <w:tc>
          <w:tcPr>
            <w:tcW w:w="840" w:type="dxa"/>
            <w:vAlign w:val="bottom"/>
            <w:tcBorders>
              <w:right w:val="single" w:sz="8" w:color="58595B"/>
            </w:tcBorders>
            <w:vMerge w:val="continue"/>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21"/>
                <w:szCs w:val="21"/>
                <w:color w:val="274F78"/>
                <w:w w:val="99"/>
              </w:rPr>
              <w:t>X</w:t>
            </w:r>
          </w:p>
        </w:tc>
        <w:tc>
          <w:tcPr>
            <w:tcW w:w="20" w:type="dxa"/>
            <w:vAlign w:val="bottom"/>
            <w:shd w:val="clear" w:color="auto" w:fill="58595B"/>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change, or a material diminution in the authority, duties or</w:t>
            </w:r>
          </w:p>
        </w:tc>
        <w:tc>
          <w:tcPr>
            <w:tcW w:w="680" w:type="dxa"/>
            <w:vAlign w:val="bottom"/>
            <w:tcBorders>
              <w:right w:val="single" w:sz="8" w:color="58595B"/>
            </w:tcBorders>
            <w:vMerge w:val="continue"/>
          </w:tcPr>
          <w:p>
            <w:pPr>
              <w:spacing w:after="0"/>
              <w:rPr>
                <w:sz w:val="15"/>
                <w:szCs w:val="15"/>
                <w:color w:val="auto"/>
              </w:rPr>
            </w:pPr>
          </w:p>
        </w:tc>
        <w:tc>
          <w:tcPr>
            <w:tcW w:w="680" w:type="dxa"/>
            <w:vAlign w:val="bottom"/>
            <w:tcBorders>
              <w:right w:val="single" w:sz="8" w:color="58595B"/>
            </w:tcBorders>
            <w:vMerge w:val="continue"/>
          </w:tcPr>
          <w:p>
            <w:pPr>
              <w:spacing w:after="0"/>
              <w:rPr>
                <w:sz w:val="15"/>
                <w:szCs w:val="15"/>
                <w:color w:val="auto"/>
              </w:rPr>
            </w:pPr>
          </w:p>
        </w:tc>
        <w:tc>
          <w:tcPr>
            <w:tcW w:w="660" w:type="dxa"/>
            <w:vAlign w:val="bottom"/>
            <w:tcBorders>
              <w:right w:val="single" w:sz="8" w:color="58595B"/>
            </w:tcBorders>
            <w:vMerge w:val="continue"/>
          </w:tcPr>
          <w:p>
            <w:pPr>
              <w:spacing w:after="0"/>
              <w:rPr>
                <w:sz w:val="15"/>
                <w:szCs w:val="15"/>
                <w:color w:val="auto"/>
              </w:rPr>
            </w:pPr>
          </w:p>
        </w:tc>
        <w:tc>
          <w:tcPr>
            <w:tcW w:w="840" w:type="dxa"/>
            <w:vAlign w:val="bottom"/>
            <w:tcBorders>
              <w:right w:val="single" w:sz="8" w:color="58595B"/>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shd w:val="clear" w:color="auto" w:fill="58595B"/>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responsibilities of the position to whom the executive reports;</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58595B"/>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20" w:type="dxa"/>
            <w:vAlign w:val="bottom"/>
            <w:tcBorders>
              <w:left w:val="single" w:sz="8" w:color="58595B"/>
              <w:right w:val="single" w:sz="8" w:color="58595B"/>
            </w:tcBorders>
          </w:tcPr>
          <w:p>
            <w:pPr>
              <w:ind w:left="220"/>
              <w:spacing w:after="0"/>
              <w:rPr>
                <w:sz w:val="20"/>
                <w:szCs w:val="20"/>
                <w:color w:val="auto"/>
              </w:rPr>
            </w:pPr>
            <w:r>
              <w:rPr>
                <w:rFonts w:ascii="Arial" w:cs="Arial" w:eastAsia="Arial" w:hAnsi="Arial"/>
                <w:sz w:val="15"/>
                <w:szCs w:val="15"/>
                <w:color w:val="58595B"/>
              </w:rPr>
              <w:t>•      A material diminution in the budget over which the executive has</w:t>
            </w:r>
          </w:p>
        </w:tc>
        <w:tc>
          <w:tcPr>
            <w:tcW w:w="680" w:type="dxa"/>
            <w:vAlign w:val="bottom"/>
            <w:tcBorders>
              <w:right w:val="single" w:sz="8" w:color="58595B"/>
            </w:tcBorders>
          </w:tcPr>
          <w:p>
            <w:pPr>
              <w:spacing w:after="0"/>
              <w:rPr>
                <w:sz w:val="24"/>
                <w:szCs w:val="24"/>
                <w:color w:val="auto"/>
              </w:rPr>
            </w:pPr>
          </w:p>
        </w:tc>
        <w:tc>
          <w:tcPr>
            <w:tcW w:w="680" w:type="dxa"/>
            <w:vAlign w:val="bottom"/>
            <w:tcBorders>
              <w:right w:val="single" w:sz="8" w:color="58595B"/>
            </w:tcBorders>
          </w:tcPr>
          <w:p>
            <w:pPr>
              <w:spacing w:after="0"/>
              <w:rPr>
                <w:sz w:val="24"/>
                <w:szCs w:val="24"/>
                <w:color w:val="auto"/>
              </w:rPr>
            </w:pPr>
          </w:p>
        </w:tc>
        <w:tc>
          <w:tcPr>
            <w:tcW w:w="660" w:type="dxa"/>
            <w:vAlign w:val="bottom"/>
            <w:tcBorders>
              <w:right w:val="single" w:sz="8" w:color="58595B"/>
            </w:tcBorders>
          </w:tcPr>
          <w:p>
            <w:pPr>
              <w:spacing w:after="0"/>
              <w:rPr>
                <w:sz w:val="24"/>
                <w:szCs w:val="24"/>
                <w:color w:val="auto"/>
              </w:rPr>
            </w:pPr>
          </w:p>
        </w:tc>
        <w:tc>
          <w:tcPr>
            <w:tcW w:w="840" w:type="dxa"/>
            <w:vAlign w:val="bottom"/>
            <w:tcBorders>
              <w:right w:val="single" w:sz="8" w:color="58595B"/>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managing authority; or</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58595B"/>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20" w:type="dxa"/>
            <w:vAlign w:val="bottom"/>
            <w:tcBorders>
              <w:left w:val="single" w:sz="8" w:color="58595B"/>
              <w:right w:val="single" w:sz="8" w:color="58595B"/>
            </w:tcBorders>
          </w:tcPr>
          <w:p>
            <w:pPr>
              <w:ind w:left="220"/>
              <w:spacing w:after="0"/>
              <w:rPr>
                <w:sz w:val="20"/>
                <w:szCs w:val="20"/>
                <w:color w:val="auto"/>
              </w:rPr>
            </w:pPr>
            <w:r>
              <w:rPr>
                <w:rFonts w:ascii="Arial" w:cs="Arial" w:eastAsia="Arial" w:hAnsi="Arial"/>
                <w:sz w:val="15"/>
                <w:szCs w:val="15"/>
                <w:color w:val="58595B"/>
              </w:rPr>
              <w:t>•      A material change in the geographic location of the executive’s</w:t>
            </w:r>
          </w:p>
        </w:tc>
        <w:tc>
          <w:tcPr>
            <w:tcW w:w="680" w:type="dxa"/>
            <w:vAlign w:val="bottom"/>
            <w:tcBorders>
              <w:right w:val="single" w:sz="8" w:color="58595B"/>
            </w:tcBorders>
          </w:tcPr>
          <w:p>
            <w:pPr>
              <w:spacing w:after="0"/>
              <w:rPr>
                <w:sz w:val="24"/>
                <w:szCs w:val="24"/>
                <w:color w:val="auto"/>
              </w:rPr>
            </w:pPr>
          </w:p>
        </w:tc>
        <w:tc>
          <w:tcPr>
            <w:tcW w:w="680" w:type="dxa"/>
            <w:vAlign w:val="bottom"/>
            <w:tcBorders>
              <w:right w:val="single" w:sz="8" w:color="58595B"/>
            </w:tcBorders>
          </w:tcPr>
          <w:p>
            <w:pPr>
              <w:spacing w:after="0"/>
              <w:rPr>
                <w:sz w:val="24"/>
                <w:szCs w:val="24"/>
                <w:color w:val="auto"/>
              </w:rPr>
            </w:pPr>
          </w:p>
        </w:tc>
        <w:tc>
          <w:tcPr>
            <w:tcW w:w="660" w:type="dxa"/>
            <w:vAlign w:val="bottom"/>
            <w:tcBorders>
              <w:right w:val="single" w:sz="8" w:color="58595B"/>
            </w:tcBorders>
          </w:tcPr>
          <w:p>
            <w:pPr>
              <w:spacing w:after="0"/>
              <w:rPr>
                <w:sz w:val="24"/>
                <w:szCs w:val="24"/>
                <w:color w:val="auto"/>
              </w:rPr>
            </w:pPr>
          </w:p>
        </w:tc>
        <w:tc>
          <w:tcPr>
            <w:tcW w:w="840" w:type="dxa"/>
            <w:vAlign w:val="bottom"/>
            <w:tcBorders>
              <w:right w:val="single" w:sz="8" w:color="58595B"/>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20" w:type="dxa"/>
            <w:vAlign w:val="bottom"/>
            <w:tcBorders>
              <w:left w:val="single" w:sz="8" w:color="58595B"/>
              <w:right w:val="single" w:sz="8" w:color="58595B"/>
            </w:tcBorders>
          </w:tcPr>
          <w:p>
            <w:pPr>
              <w:ind w:left="440"/>
              <w:spacing w:after="0"/>
              <w:rPr>
                <w:sz w:val="20"/>
                <w:szCs w:val="20"/>
                <w:color w:val="auto"/>
              </w:rPr>
            </w:pPr>
            <w:r>
              <w:rPr>
                <w:rFonts w:ascii="Arial" w:cs="Arial" w:eastAsia="Arial" w:hAnsi="Arial"/>
                <w:sz w:val="15"/>
                <w:szCs w:val="15"/>
                <w:color w:val="58595B"/>
              </w:rPr>
              <w:t>place of employment.</w:t>
            </w:r>
          </w:p>
        </w:tc>
        <w:tc>
          <w:tcPr>
            <w:tcW w:w="680" w:type="dxa"/>
            <w:vAlign w:val="bottom"/>
            <w:tcBorders>
              <w:right w:val="single" w:sz="8" w:color="58595B"/>
            </w:tcBorders>
          </w:tcPr>
          <w:p>
            <w:pPr>
              <w:spacing w:after="0"/>
              <w:rPr>
                <w:sz w:val="16"/>
                <w:szCs w:val="16"/>
                <w:color w:val="auto"/>
              </w:rPr>
            </w:pPr>
          </w:p>
        </w:tc>
        <w:tc>
          <w:tcPr>
            <w:tcW w:w="680" w:type="dxa"/>
            <w:vAlign w:val="bottom"/>
            <w:tcBorders>
              <w:right w:val="single" w:sz="8" w:color="58595B"/>
            </w:tcBorders>
          </w:tcPr>
          <w:p>
            <w:pPr>
              <w:spacing w:after="0"/>
              <w:rPr>
                <w:sz w:val="16"/>
                <w:szCs w:val="16"/>
                <w:color w:val="auto"/>
              </w:rPr>
            </w:pPr>
          </w:p>
        </w:tc>
        <w:tc>
          <w:tcPr>
            <w:tcW w:w="660" w:type="dxa"/>
            <w:vAlign w:val="bottom"/>
            <w:tcBorders>
              <w:right w:val="single" w:sz="8" w:color="58595B"/>
            </w:tcBorders>
          </w:tcPr>
          <w:p>
            <w:pPr>
              <w:spacing w:after="0"/>
              <w:rPr>
                <w:sz w:val="16"/>
                <w:szCs w:val="16"/>
                <w:color w:val="auto"/>
              </w:rPr>
            </w:pPr>
          </w:p>
        </w:tc>
        <w:tc>
          <w:tcPr>
            <w:tcW w:w="840" w:type="dxa"/>
            <w:vAlign w:val="bottom"/>
            <w:tcBorders>
              <w:right w:val="single" w:sz="8" w:color="58595B"/>
            </w:tcBorders>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shd w:val="clear" w:color="auto" w:fill="58595B"/>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820" w:type="dxa"/>
            <w:vAlign w:val="bottom"/>
            <w:tcBorders>
              <w:left w:val="single" w:sz="8" w:color="58595B"/>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80" w:type="dxa"/>
            <w:vAlign w:val="bottom"/>
            <w:tcBorders>
              <w:bottom w:val="single" w:sz="8" w:color="58595B"/>
              <w:right w:val="single" w:sz="8" w:color="58595B"/>
            </w:tcBorders>
          </w:tcPr>
          <w:p>
            <w:pPr>
              <w:spacing w:after="0"/>
              <w:rPr>
                <w:sz w:val="5"/>
                <w:szCs w:val="5"/>
                <w:color w:val="auto"/>
              </w:rPr>
            </w:pPr>
          </w:p>
        </w:tc>
        <w:tc>
          <w:tcPr>
            <w:tcW w:w="660" w:type="dxa"/>
            <w:vAlign w:val="bottom"/>
            <w:tcBorders>
              <w:bottom w:val="single" w:sz="8" w:color="58595B"/>
              <w:right w:val="single" w:sz="8" w:color="58595B"/>
            </w:tcBorders>
          </w:tcPr>
          <w:p>
            <w:pPr>
              <w:spacing w:after="0"/>
              <w:rPr>
                <w:sz w:val="5"/>
                <w:szCs w:val="5"/>
                <w:color w:val="auto"/>
              </w:rPr>
            </w:pPr>
          </w:p>
        </w:tc>
        <w:tc>
          <w:tcPr>
            <w:tcW w:w="840" w:type="dxa"/>
            <w:vAlign w:val="bottom"/>
            <w:tcBorders>
              <w:bottom w:val="single" w:sz="8" w:color="58595B"/>
              <w:right w:val="single" w:sz="8" w:color="58595B"/>
            </w:tcBorders>
          </w:tcPr>
          <w:p>
            <w:pPr>
              <w:spacing w:after="0"/>
              <w:rPr>
                <w:sz w:val="5"/>
                <w:szCs w:val="5"/>
                <w:color w:val="auto"/>
              </w:rPr>
            </w:pPr>
          </w:p>
        </w:tc>
        <w:tc>
          <w:tcPr>
            <w:tcW w:w="740" w:type="dxa"/>
            <w:vAlign w:val="bottom"/>
            <w:tcBorders>
              <w:bottom w:val="single" w:sz="8" w:color="58595B"/>
            </w:tcBorders>
          </w:tcPr>
          <w:p>
            <w:pPr>
              <w:spacing w:after="0"/>
              <w:rPr>
                <w:sz w:val="5"/>
                <w:szCs w:val="5"/>
                <w:color w:val="auto"/>
              </w:rPr>
            </w:pPr>
          </w:p>
        </w:tc>
        <w:tc>
          <w:tcPr>
            <w:tcW w:w="20" w:type="dxa"/>
            <w:vAlign w:val="bottom"/>
            <w:tcBorders>
              <w:bottom w:val="single" w:sz="8" w:color="58595B"/>
            </w:tcBorders>
            <w:shd w:val="clear" w:color="auto" w:fill="58595B"/>
          </w:tcPr>
          <w:p>
            <w:pPr>
              <w:spacing w:after="0"/>
              <w:rPr>
                <w:sz w:val="5"/>
                <w:szCs w:val="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480" w:right="400" w:hanging="298"/>
        <w:spacing w:after="0" w:line="276" w:lineRule="auto"/>
        <w:tabs>
          <w:tab w:leader="none" w:pos="1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For purposes of Messrs. Park’s, Sadowski’s and Gravelle’s employment agreements, this also includes a material diminution in the executive’s position or the assignment of duties to the executive that are materially inconsistent with the executive’s position or title.</w:t>
      </w:r>
    </w:p>
    <w:p>
      <w:pPr>
        <w:spacing w:after="0" w:line="89" w:lineRule="exact"/>
        <w:rPr>
          <w:rFonts w:ascii="Arial" w:cs="Arial" w:eastAsia="Arial" w:hAnsi="Arial"/>
          <w:sz w:val="12"/>
          <w:szCs w:val="12"/>
          <w:color w:val="333333"/>
        </w:rPr>
      </w:pPr>
    </w:p>
    <w:p>
      <w:pPr>
        <w:jc w:val="both"/>
        <w:ind w:left="1480" w:right="600" w:hanging="298"/>
        <w:spacing w:after="0"/>
        <w:tabs>
          <w:tab w:leader="none" w:pos="1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For purposes of our executives' employment agreements, a "change of control" includes (1) an acquisition by an individual, entity or group of more than 50% of our voting power; (2) a merger in which we are not the surviving entity, unless our shareholders immediately prior to the merger hold more than 50% of the combined voting power of the resulting corporation after the merger; (3) a reverse merger in which we are the surviving entity but in which more than 50% of the combined voting power is transferred to persons different from those holding the securities immediately prior to such merger; (4) during any period of two consecutive years during the employment term, a change in the majority of our board, unless the changes are approved by 2/3 of the directors then in office; (5) a sale, transfer or other disposition of our assets that have a total fair market value equal to or more than 1/3 of the total fair market value of all of our assets immediately before the sale, transfer or disposition, other than a sale, transfer or disposition to an entity (i) which immediately after the sale, transfer or disposition owns 50% of our voting stock or (ii) 50% of the voting stock of which is owned by us after the sale, transfer or disposition; or (6) our shareholders approve a plan or proposal for the liquidation or dissolution of our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64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54F79"/>
          </w:tcPr>
          <w:p>
            <w:pPr>
              <w:spacing w:after="0"/>
              <w:rPr>
                <w:sz w:val="23"/>
                <w:szCs w:val="23"/>
                <w:color w:val="auto"/>
              </w:rPr>
            </w:pPr>
          </w:p>
        </w:tc>
        <w:tc>
          <w:tcPr>
            <w:tcW w:w="4380" w:type="dxa"/>
            <w:vAlign w:val="bottom"/>
            <w:shd w:val="clear" w:color="auto" w:fill="254F79"/>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9" w:right="339" w:bottom="1440" w:gutter="0" w:footer="0" w:header="0"/>
        </w:sectPr>
      </w:pPr>
    </w:p>
    <w:bookmarkStart w:id="68" w:name="page69"/>
    <w:bookmarkEnd w:id="68"/>
    <w:p>
      <w:pPr>
        <w:jc w:val="both"/>
        <w:ind w:left="1120" w:right="200" w:hanging="298"/>
        <w:spacing w:after="0" w:line="276" w:lineRule="auto"/>
        <w:tabs>
          <w:tab w:leader="none" w:pos="1120" w:val="left"/>
        </w:tabs>
        <w:numPr>
          <w:ilvl w:val="0"/>
          <w:numId w:val="60"/>
        </w:numPr>
        <w:rPr>
          <w:rFonts w:ascii="Arial" w:cs="Arial" w:eastAsia="Arial" w:hAnsi="Arial"/>
          <w:sz w:val="12"/>
          <w:szCs w:val="12"/>
          <w:color w:val="333333"/>
        </w:rPr>
      </w:pPr>
      <w:r>
        <w:rPr>
          <w:rFonts w:ascii="Arial" w:cs="Arial" w:eastAsia="Arial" w:hAnsi="Arial"/>
          <w:sz w:val="12"/>
          <w:szCs w:val="12"/>
          <w:color w:val="333333"/>
        </w:rPr>
        <w:t>For Mr. Gravelle's employment agreement, "Good Reason" also includes (1) a material adverse change in the position to whom Mr. Gravelle reports or a material diminution in the authority, duties or responsibilities of the position to whom Mr. Gravelle reports, and (2) a material change in the geographic location of Mr. Gravelle's place of employment.</w:t>
      </w:r>
    </w:p>
    <w:p>
      <w:pPr>
        <w:spacing w:after="0" w:line="176" w:lineRule="exact"/>
        <w:rPr>
          <w:sz w:val="20"/>
          <w:szCs w:val="20"/>
          <w:color w:val="auto"/>
        </w:rPr>
      </w:pPr>
    </w:p>
    <w:p>
      <w:pPr>
        <w:ind w:left="820" w:right="140"/>
        <w:spacing w:after="0" w:line="249" w:lineRule="auto"/>
        <w:rPr>
          <w:sz w:val="20"/>
          <w:szCs w:val="20"/>
          <w:color w:val="auto"/>
        </w:rPr>
      </w:pPr>
      <w:r>
        <w:rPr>
          <w:rFonts w:ascii="Arial" w:cs="Arial" w:eastAsia="Arial" w:hAnsi="Arial"/>
          <w:sz w:val="17"/>
          <w:szCs w:val="17"/>
          <w:color w:val="333333"/>
        </w:rPr>
        <w:t>The agreements also contain provisions relating to the excess parachute payment excise tax under Sections 280G and 4999 of the Internal Revenue Code. The agreements provide that if any payments or benefits to be paid to the named executive officer would be subject to the excise tax on excess parachute payments, then the executive may elect for such payments to be reduced to one dollar less than the amount that would constitute a "parachute payment" under Section 280G of the Internal Revenue Code. If the executive does not elect to have such payments so reduced, the executive is responsible for payment of any excise tax resulting from such payments. None of the agreements provide for a gross-up payment for the excise tax.</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727898"/>
        </w:rPr>
        <w:t>POTENTIAL PAYMENTS UNDER THE OMNIBUS INCENTIVE PLAN</w:t>
      </w:r>
    </w:p>
    <w:p>
      <w:pPr>
        <w:spacing w:after="0" w:line="218" w:lineRule="exact"/>
        <w:rPr>
          <w:sz w:val="20"/>
          <w:szCs w:val="20"/>
          <w:color w:val="auto"/>
        </w:rPr>
      </w:pPr>
    </w:p>
    <w:p>
      <w:pPr>
        <w:ind w:left="820" w:right="120"/>
        <w:spacing w:after="0" w:line="235" w:lineRule="auto"/>
        <w:rPr>
          <w:sz w:val="20"/>
          <w:szCs w:val="20"/>
          <w:color w:val="auto"/>
        </w:rPr>
      </w:pPr>
      <w:r>
        <w:rPr>
          <w:rFonts w:ascii="Arial" w:cs="Arial" w:eastAsia="Arial" w:hAnsi="Arial"/>
          <w:sz w:val="18"/>
          <w:szCs w:val="18"/>
          <w:color w:val="333333"/>
        </w:rPr>
        <w:t>In addition to the post-termination rights and obligations set forth in the employment agreements of our named executive officers, our omnibus incentive plan provides for the potential acceleration of vesting and/or payment of equity awards in connection with a change in control. Under our omnibus incentive plan, except as otherwise provided in a participant's award agreement, upon the occurrence of a change in control, any and all outstanding options and stock appreciation rights will become immediately exercisable, any restriction imposed on restricted stock, restricted stock units and other awards will lapse, and any and all performance shares, performance units and other awards with performance conditions will be deemed earned at the target level, or, if no target level is specified, the maximum level.</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333333"/>
        </w:rPr>
        <w:t>For purposes of our omnibus plan, the term "change in control" means the occurrence of any of the following events:</w:t>
      </w:r>
    </w:p>
    <w:p>
      <w:pPr>
        <w:spacing w:after="0" w:line="212" w:lineRule="exact"/>
        <w:rPr>
          <w:sz w:val="20"/>
          <w:szCs w:val="20"/>
          <w:color w:val="auto"/>
        </w:rPr>
      </w:pPr>
    </w:p>
    <w:p>
      <w:pPr>
        <w:ind w:left="1100" w:right="100" w:hanging="168"/>
        <w:spacing w:after="0" w:line="266" w:lineRule="auto"/>
        <w:tabs>
          <w:tab w:leader="none" w:pos="1100" w:val="left"/>
        </w:tabs>
        <w:numPr>
          <w:ilvl w:val="0"/>
          <w:numId w:val="61"/>
        </w:numPr>
        <w:rPr>
          <w:rFonts w:ascii="Arial" w:cs="Arial" w:eastAsia="Arial" w:hAnsi="Arial"/>
          <w:sz w:val="18"/>
          <w:szCs w:val="18"/>
          <w:color w:val="58595B"/>
        </w:rPr>
      </w:pPr>
      <w:r>
        <w:rPr>
          <w:rFonts w:ascii="Arial" w:cs="Arial" w:eastAsia="Arial" w:hAnsi="Arial"/>
          <w:sz w:val="18"/>
          <w:szCs w:val="18"/>
          <w:color w:val="58595B"/>
        </w:rPr>
        <w:t>An acquisition by an individual, entity or group of 25% or more of our voting power (except for acquisitions by us or any of our employee benefit plans);</w:t>
      </w:r>
    </w:p>
    <w:p>
      <w:pPr>
        <w:spacing w:after="0" w:line="132" w:lineRule="exact"/>
        <w:rPr>
          <w:rFonts w:ascii="Arial" w:cs="Arial" w:eastAsia="Arial" w:hAnsi="Arial"/>
          <w:sz w:val="18"/>
          <w:szCs w:val="18"/>
          <w:color w:val="58595B"/>
        </w:rPr>
      </w:pPr>
    </w:p>
    <w:p>
      <w:pPr>
        <w:ind w:left="1100" w:hanging="168"/>
        <w:spacing w:after="0" w:line="266" w:lineRule="auto"/>
        <w:tabs>
          <w:tab w:leader="none" w:pos="1100" w:val="left"/>
        </w:tabs>
        <w:numPr>
          <w:ilvl w:val="0"/>
          <w:numId w:val="61"/>
        </w:numPr>
        <w:rPr>
          <w:rFonts w:ascii="Arial" w:cs="Arial" w:eastAsia="Arial" w:hAnsi="Arial"/>
          <w:sz w:val="18"/>
          <w:szCs w:val="18"/>
          <w:color w:val="58595B"/>
        </w:rPr>
      </w:pPr>
      <w:r>
        <w:rPr>
          <w:rFonts w:ascii="Arial" w:cs="Arial" w:eastAsia="Arial" w:hAnsi="Arial"/>
          <w:sz w:val="18"/>
          <w:szCs w:val="18"/>
          <w:color w:val="58595B"/>
        </w:rPr>
        <w:t>During any period of two consecutive years, a change in the majority of our board of directors, unless the change is approved by 2/3 of the directors then in office;</w:t>
      </w:r>
    </w:p>
    <w:p>
      <w:pPr>
        <w:spacing w:after="0" w:line="132" w:lineRule="exact"/>
        <w:rPr>
          <w:rFonts w:ascii="Arial" w:cs="Arial" w:eastAsia="Arial" w:hAnsi="Arial"/>
          <w:sz w:val="18"/>
          <w:szCs w:val="18"/>
          <w:color w:val="58595B"/>
        </w:rPr>
      </w:pPr>
    </w:p>
    <w:p>
      <w:pPr>
        <w:jc w:val="both"/>
        <w:ind w:left="1100" w:right="220" w:hanging="168"/>
        <w:spacing w:after="0" w:line="247" w:lineRule="auto"/>
        <w:tabs>
          <w:tab w:leader="none" w:pos="1100" w:val="left"/>
        </w:tabs>
        <w:numPr>
          <w:ilvl w:val="0"/>
          <w:numId w:val="61"/>
        </w:numPr>
        <w:rPr>
          <w:rFonts w:ascii="Arial" w:cs="Arial" w:eastAsia="Arial" w:hAnsi="Arial"/>
          <w:sz w:val="18"/>
          <w:szCs w:val="18"/>
          <w:color w:val="58595B"/>
        </w:rPr>
      </w:pPr>
      <w:r>
        <w:rPr>
          <w:rFonts w:ascii="Arial" w:cs="Arial" w:eastAsia="Arial" w:hAnsi="Arial"/>
          <w:sz w:val="18"/>
          <w:szCs w:val="18"/>
          <w:color w:val="58595B"/>
        </w:rPr>
        <w:t>A reorganization, merger, share exchange, consolidation or sale or other disposition of all or substantially all of our assets; excluding, however, a transaction pursuant to which we retain specified levels of stock ownership and board of directors seats; or</w:t>
      </w:r>
    </w:p>
    <w:p>
      <w:pPr>
        <w:spacing w:after="0" w:line="149" w:lineRule="exact"/>
        <w:rPr>
          <w:rFonts w:ascii="Arial" w:cs="Arial" w:eastAsia="Arial" w:hAnsi="Arial"/>
          <w:sz w:val="18"/>
          <w:szCs w:val="18"/>
          <w:color w:val="58595B"/>
        </w:rPr>
      </w:pPr>
    </w:p>
    <w:p>
      <w:pPr>
        <w:ind w:left="1100" w:hanging="168"/>
        <w:spacing w:after="0"/>
        <w:tabs>
          <w:tab w:leader="none" w:pos="1100" w:val="left"/>
        </w:tabs>
        <w:numPr>
          <w:ilvl w:val="0"/>
          <w:numId w:val="61"/>
        </w:numPr>
        <w:rPr>
          <w:rFonts w:ascii="Arial" w:cs="Arial" w:eastAsia="Arial" w:hAnsi="Arial"/>
          <w:sz w:val="18"/>
          <w:szCs w:val="18"/>
          <w:color w:val="58595B"/>
        </w:rPr>
      </w:pPr>
      <w:r>
        <w:rPr>
          <w:rFonts w:ascii="Arial" w:cs="Arial" w:eastAsia="Arial" w:hAnsi="Arial"/>
          <w:sz w:val="18"/>
          <w:szCs w:val="18"/>
          <w:color w:val="58595B"/>
        </w:rPr>
        <w:t>Our shareholders approve a plan or proposal for our liquidation or dissolution.</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727898"/>
        </w:rPr>
        <w:t>ESTIMATED CASH PAYMENTS UPON TERMINATION OF EMPLOYMENT</w:t>
      </w:r>
    </w:p>
    <w:p>
      <w:pPr>
        <w:spacing w:after="0" w:line="228" w:lineRule="exact"/>
        <w:rPr>
          <w:sz w:val="20"/>
          <w:szCs w:val="20"/>
          <w:color w:val="auto"/>
        </w:rPr>
      </w:pPr>
    </w:p>
    <w:p>
      <w:pPr>
        <w:ind w:left="820" w:right="100"/>
        <w:spacing w:after="0" w:line="248" w:lineRule="auto"/>
        <w:rPr>
          <w:sz w:val="20"/>
          <w:szCs w:val="20"/>
          <w:color w:val="auto"/>
        </w:rPr>
      </w:pPr>
      <w:r>
        <w:rPr>
          <w:rFonts w:ascii="Arial" w:cs="Arial" w:eastAsia="Arial" w:hAnsi="Arial"/>
          <w:sz w:val="17"/>
          <w:szCs w:val="17"/>
          <w:color w:val="333333"/>
        </w:rPr>
        <w:t>The table below includes the cash severance amounts that would have been payable to each executive in the event of a termination of employment by us not for cause or a termination by the executive for good reason. None of our executives would have received a termination payment if their employment had been terminated on December 31, 2025 for cause or without good reason by the executive, or due to death or disability. Our estimate of the cash severance amounts that would be provided to each executive assumes that their employment terminated on December 31, 2025. The severance amounts do not include a prorated 2025 annual incentive since the named executive officers would have been paid based on their service through the end of the year and therefore would have received the annual incentive whether or not the termination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127000</wp:posOffset>
            </wp:positionV>
            <wp:extent cx="7144385" cy="305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4385" cy="305435"/>
                    </a:xfrm>
                    <a:prstGeom prst="rect">
                      <a:avLst/>
                    </a:prstGeom>
                    <a:noFill/>
                  </pic:spPr>
                </pic:pic>
              </a:graphicData>
            </a:graphic>
          </wp:anchor>
        </w:drawing>
      </w:r>
    </w:p>
    <w:p>
      <w:pPr>
        <w:spacing w:after="0" w:line="282"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65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20"/>
          </w:cols>
          <w:pgMar w:left="680" w:top="755" w:right="399" w:bottom="1440" w:gutter="0" w:footer="0" w:header="0"/>
        </w:sectPr>
      </w:pPr>
    </w:p>
    <w:bookmarkStart w:id="69" w:name="page70"/>
    <w:bookmarkEnd w:id="69"/>
    <w:tbl>
      <w:tblPr>
        <w:tblLayout w:type="fixed"/>
        <w:tblInd w:w="1310" w:type="dxa"/>
        <w:tblCellMar>
          <w:top w:w="0" w:type="dxa"/>
          <w:left w:w="0" w:type="dxa"/>
          <w:bottom w:w="0" w:type="dxa"/>
          <w:right w:w="0" w:type="dxa"/>
        </w:tblCellMar>
      </w:tblPr>
      <w:tr>
        <w:trPr>
          <w:trHeight w:val="247"/>
        </w:trPr>
        <w:tc>
          <w:tcPr>
            <w:tcW w:w="2980" w:type="dxa"/>
            <w:vAlign w:val="bottom"/>
            <w:tcBorders>
              <w:top w:val="single" w:sz="8" w:color="274F78"/>
              <w:left w:val="single" w:sz="8" w:color="58595B"/>
              <w:right w:val="single" w:sz="8" w:color="274F78"/>
            </w:tcBorders>
            <w:shd w:val="clear" w:color="auto" w:fill="274F78"/>
          </w:tcPr>
          <w:p>
            <w:pPr>
              <w:ind w:left="100"/>
              <w:spacing w:after="0"/>
              <w:rPr>
                <w:sz w:val="20"/>
                <w:szCs w:val="20"/>
                <w:color w:val="auto"/>
              </w:rPr>
            </w:pPr>
            <w:r>
              <w:rPr>
                <w:rFonts w:ascii="Arial" w:cs="Arial" w:eastAsia="Arial" w:hAnsi="Arial"/>
                <w:sz w:val="15"/>
                <w:szCs w:val="15"/>
                <w:b w:val="1"/>
                <w:bCs w:val="1"/>
                <w:color w:val="FFFFFF"/>
              </w:rPr>
              <w:t>Reason for Termination</w:t>
            </w:r>
          </w:p>
        </w:tc>
        <w:tc>
          <w:tcPr>
            <w:tcW w:w="1100" w:type="dxa"/>
            <w:vAlign w:val="bottom"/>
            <w:tcBorders>
              <w:top w:val="single" w:sz="8" w:color="274F78"/>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5"/>
                <w:szCs w:val="15"/>
                <w:color w:val="FFFFFF"/>
                <w:w w:val="96"/>
              </w:rPr>
              <w:t>Nolan</w:t>
            </w:r>
          </w:p>
        </w:tc>
        <w:tc>
          <w:tcPr>
            <w:tcW w:w="1100" w:type="dxa"/>
            <w:vAlign w:val="bottom"/>
            <w:tcBorders>
              <w:top w:val="single" w:sz="8" w:color="274F78"/>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5"/>
                <w:szCs w:val="15"/>
                <w:color w:val="FFFFFF"/>
                <w:w w:val="94"/>
              </w:rPr>
              <w:t>Quirk</w:t>
            </w:r>
          </w:p>
        </w:tc>
        <w:tc>
          <w:tcPr>
            <w:tcW w:w="1100" w:type="dxa"/>
            <w:vAlign w:val="bottom"/>
            <w:tcBorders>
              <w:top w:val="single" w:sz="8" w:color="274F78"/>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5"/>
                <w:szCs w:val="15"/>
                <w:color w:val="FFFFFF"/>
                <w:w w:val="97"/>
              </w:rPr>
              <w:t>Park</w:t>
            </w:r>
          </w:p>
        </w:tc>
        <w:tc>
          <w:tcPr>
            <w:tcW w:w="1080" w:type="dxa"/>
            <w:vAlign w:val="bottom"/>
            <w:tcBorders>
              <w:top w:val="single" w:sz="8" w:color="274F78"/>
              <w:right w:val="single" w:sz="8" w:color="274F78"/>
            </w:tcBorders>
            <w:vMerge w:val="restart"/>
            <w:shd w:val="clear" w:color="auto" w:fill="274F78"/>
          </w:tcPr>
          <w:p>
            <w:pPr>
              <w:ind w:left="240"/>
              <w:spacing w:after="0"/>
              <w:rPr>
                <w:sz w:val="20"/>
                <w:szCs w:val="20"/>
                <w:color w:val="auto"/>
              </w:rPr>
            </w:pPr>
            <w:r>
              <w:rPr>
                <w:rFonts w:ascii="Arial" w:cs="Arial" w:eastAsia="Arial" w:hAnsi="Arial"/>
                <w:sz w:val="15"/>
                <w:szCs w:val="15"/>
                <w:color w:val="FFFFFF"/>
              </w:rPr>
              <w:t>Sadowski</w:t>
            </w:r>
          </w:p>
        </w:tc>
        <w:tc>
          <w:tcPr>
            <w:tcW w:w="1060" w:type="dxa"/>
            <w:vAlign w:val="bottom"/>
            <w:tcBorders>
              <w:top w:val="single" w:sz="8" w:color="274F78"/>
            </w:tcBorders>
            <w:vMerge w:val="restart"/>
            <w:shd w:val="clear" w:color="auto" w:fill="274F78"/>
          </w:tcPr>
          <w:p>
            <w:pPr>
              <w:jc w:val="center"/>
              <w:spacing w:after="0"/>
              <w:rPr>
                <w:sz w:val="20"/>
                <w:szCs w:val="20"/>
                <w:color w:val="auto"/>
              </w:rPr>
            </w:pPr>
            <w:r>
              <w:rPr>
                <w:rFonts w:ascii="Arial" w:cs="Arial" w:eastAsia="Arial" w:hAnsi="Arial"/>
                <w:sz w:val="15"/>
                <w:szCs w:val="15"/>
                <w:color w:val="FFFFFF"/>
              </w:rPr>
              <w:t>Gravelle</w:t>
            </w:r>
          </w:p>
        </w:tc>
        <w:tc>
          <w:tcPr>
            <w:tcW w:w="20" w:type="dxa"/>
            <w:vAlign w:val="bottom"/>
            <w:tcBorders>
              <w:top w:val="single" w:sz="8" w:color="58595B"/>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980" w:type="dxa"/>
            <w:vAlign w:val="bottom"/>
            <w:tcBorders>
              <w:left w:val="single" w:sz="8" w:color="58595B"/>
              <w:right w:val="single" w:sz="8" w:color="274F78"/>
            </w:tcBorders>
            <w:vMerge w:val="restart"/>
            <w:shd w:val="clear" w:color="auto" w:fill="274F78"/>
          </w:tcPr>
          <w:p>
            <w:pPr>
              <w:ind w:left="100"/>
              <w:spacing w:after="0"/>
              <w:rPr>
                <w:sz w:val="20"/>
                <w:szCs w:val="20"/>
                <w:color w:val="auto"/>
              </w:rPr>
            </w:pPr>
            <w:r>
              <w:rPr>
                <w:rFonts w:ascii="Arial" w:cs="Arial" w:eastAsia="Arial" w:hAnsi="Arial"/>
                <w:sz w:val="15"/>
                <w:szCs w:val="15"/>
                <w:b w:val="1"/>
                <w:bCs w:val="1"/>
                <w:color w:val="FFFFFF"/>
              </w:rPr>
              <w:t>Payment:</w:t>
            </w:r>
          </w:p>
        </w:tc>
        <w:tc>
          <w:tcPr>
            <w:tcW w:w="1100" w:type="dxa"/>
            <w:vAlign w:val="bottom"/>
            <w:tcBorders>
              <w:right w:val="single" w:sz="8" w:color="274F78"/>
            </w:tcBorders>
            <w:vMerge w:val="continue"/>
            <w:shd w:val="clear" w:color="auto" w:fill="274F78"/>
          </w:tcPr>
          <w:p>
            <w:pPr>
              <w:spacing w:after="0"/>
              <w:rPr>
                <w:sz w:val="9"/>
                <w:szCs w:val="9"/>
                <w:color w:val="auto"/>
              </w:rPr>
            </w:pPr>
          </w:p>
        </w:tc>
        <w:tc>
          <w:tcPr>
            <w:tcW w:w="1100" w:type="dxa"/>
            <w:vAlign w:val="bottom"/>
            <w:tcBorders>
              <w:right w:val="single" w:sz="8" w:color="274F78"/>
            </w:tcBorders>
            <w:vMerge w:val="continue"/>
            <w:shd w:val="clear" w:color="auto" w:fill="274F78"/>
          </w:tcPr>
          <w:p>
            <w:pPr>
              <w:spacing w:after="0"/>
              <w:rPr>
                <w:sz w:val="9"/>
                <w:szCs w:val="9"/>
                <w:color w:val="auto"/>
              </w:rPr>
            </w:pPr>
          </w:p>
        </w:tc>
        <w:tc>
          <w:tcPr>
            <w:tcW w:w="1100" w:type="dxa"/>
            <w:vAlign w:val="bottom"/>
            <w:tcBorders>
              <w:right w:val="single" w:sz="8" w:color="274F78"/>
            </w:tcBorders>
            <w:vMerge w:val="continue"/>
            <w:shd w:val="clear" w:color="auto" w:fill="274F78"/>
          </w:tcPr>
          <w:p>
            <w:pPr>
              <w:spacing w:after="0"/>
              <w:rPr>
                <w:sz w:val="9"/>
                <w:szCs w:val="9"/>
                <w:color w:val="auto"/>
              </w:rPr>
            </w:pPr>
          </w:p>
        </w:tc>
        <w:tc>
          <w:tcPr>
            <w:tcW w:w="1080" w:type="dxa"/>
            <w:vAlign w:val="bottom"/>
            <w:tcBorders>
              <w:right w:val="single" w:sz="8" w:color="274F78"/>
            </w:tcBorders>
            <w:vMerge w:val="continue"/>
            <w:shd w:val="clear" w:color="auto" w:fill="274F78"/>
          </w:tcPr>
          <w:p>
            <w:pPr>
              <w:spacing w:after="0"/>
              <w:rPr>
                <w:sz w:val="9"/>
                <w:szCs w:val="9"/>
                <w:color w:val="auto"/>
              </w:rPr>
            </w:pPr>
          </w:p>
        </w:tc>
        <w:tc>
          <w:tcPr>
            <w:tcW w:w="1060" w:type="dxa"/>
            <w:vAlign w:val="bottom"/>
            <w:vMerge w:val="continue"/>
            <w:shd w:val="clear" w:color="auto" w:fill="274F7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80" w:type="dxa"/>
            <w:vAlign w:val="bottom"/>
            <w:tcBorders>
              <w:left w:val="single" w:sz="8" w:color="58595B"/>
              <w:bottom w:val="single" w:sz="8" w:color="274F78"/>
              <w:right w:val="single" w:sz="8" w:color="274F78"/>
            </w:tcBorders>
            <w:vMerge w:val="continue"/>
            <w:shd w:val="clear" w:color="auto" w:fill="274F78"/>
          </w:tcPr>
          <w:p>
            <w:pPr>
              <w:spacing w:after="0"/>
              <w:rPr>
                <w:sz w:val="13"/>
                <w:szCs w:val="13"/>
                <w:color w:val="auto"/>
              </w:rPr>
            </w:pPr>
          </w:p>
        </w:tc>
        <w:tc>
          <w:tcPr>
            <w:tcW w:w="1100" w:type="dxa"/>
            <w:vAlign w:val="bottom"/>
            <w:tcBorders>
              <w:bottom w:val="single" w:sz="8" w:color="274F78"/>
              <w:right w:val="single" w:sz="8" w:color="274F78"/>
            </w:tcBorders>
            <w:shd w:val="clear" w:color="auto" w:fill="274F78"/>
          </w:tcPr>
          <w:p>
            <w:pPr>
              <w:spacing w:after="0"/>
              <w:rPr>
                <w:sz w:val="13"/>
                <w:szCs w:val="13"/>
                <w:color w:val="auto"/>
              </w:rPr>
            </w:pPr>
          </w:p>
        </w:tc>
        <w:tc>
          <w:tcPr>
            <w:tcW w:w="1100" w:type="dxa"/>
            <w:vAlign w:val="bottom"/>
            <w:tcBorders>
              <w:bottom w:val="single" w:sz="8" w:color="274F78"/>
              <w:right w:val="single" w:sz="8" w:color="274F78"/>
            </w:tcBorders>
            <w:shd w:val="clear" w:color="auto" w:fill="274F78"/>
          </w:tcPr>
          <w:p>
            <w:pPr>
              <w:spacing w:after="0"/>
              <w:rPr>
                <w:sz w:val="13"/>
                <w:szCs w:val="13"/>
                <w:color w:val="auto"/>
              </w:rPr>
            </w:pPr>
          </w:p>
        </w:tc>
        <w:tc>
          <w:tcPr>
            <w:tcW w:w="1100" w:type="dxa"/>
            <w:vAlign w:val="bottom"/>
            <w:tcBorders>
              <w:bottom w:val="single" w:sz="8" w:color="274F78"/>
              <w:right w:val="single" w:sz="8" w:color="274F78"/>
            </w:tcBorders>
            <w:shd w:val="clear" w:color="auto" w:fill="274F78"/>
          </w:tcPr>
          <w:p>
            <w:pPr>
              <w:spacing w:after="0"/>
              <w:rPr>
                <w:sz w:val="13"/>
                <w:szCs w:val="13"/>
                <w:color w:val="auto"/>
              </w:rPr>
            </w:pPr>
          </w:p>
        </w:tc>
        <w:tc>
          <w:tcPr>
            <w:tcW w:w="1080" w:type="dxa"/>
            <w:vAlign w:val="bottom"/>
            <w:tcBorders>
              <w:bottom w:val="single" w:sz="8" w:color="274F78"/>
              <w:right w:val="single" w:sz="8" w:color="274F78"/>
            </w:tcBorders>
            <w:shd w:val="clear" w:color="auto" w:fill="274F78"/>
          </w:tcPr>
          <w:p>
            <w:pPr>
              <w:spacing w:after="0"/>
              <w:rPr>
                <w:sz w:val="13"/>
                <w:szCs w:val="13"/>
                <w:color w:val="auto"/>
              </w:rPr>
            </w:pPr>
          </w:p>
        </w:tc>
        <w:tc>
          <w:tcPr>
            <w:tcW w:w="1060" w:type="dxa"/>
            <w:vAlign w:val="bottom"/>
            <w:tcBorders>
              <w:bottom w:val="single" w:sz="8" w:color="274F78"/>
            </w:tcBorders>
            <w:shd w:val="clear" w:color="auto" w:fill="274F7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980" w:type="dxa"/>
            <w:vAlign w:val="bottom"/>
            <w:tcBorders>
              <w:top w:val="single" w:sz="8" w:color="58595B"/>
              <w:left w:val="single" w:sz="8" w:color="58595B"/>
              <w:right w:val="single" w:sz="8" w:color="58595B"/>
            </w:tcBorders>
          </w:tcPr>
          <w:p>
            <w:pPr>
              <w:ind w:left="100"/>
              <w:spacing w:after="0"/>
              <w:rPr>
                <w:sz w:val="20"/>
                <w:szCs w:val="20"/>
                <w:color w:val="auto"/>
              </w:rPr>
            </w:pPr>
            <w:r>
              <w:rPr>
                <w:rFonts w:ascii="Arial" w:cs="Arial" w:eastAsia="Arial" w:hAnsi="Arial"/>
                <w:sz w:val="13"/>
                <w:szCs w:val="13"/>
                <w:color w:val="58595B"/>
              </w:rPr>
              <w:t>Termination by Company without Cause</w:t>
            </w:r>
          </w:p>
        </w:tc>
        <w:tc>
          <w:tcPr>
            <w:tcW w:w="11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3"/>
                <w:szCs w:val="13"/>
                <w:color w:val="58595B"/>
                <w:w w:val="99"/>
              </w:rPr>
              <w:t>$11,281,526</w:t>
            </w:r>
          </w:p>
        </w:tc>
        <w:tc>
          <w:tcPr>
            <w:tcW w:w="11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3"/>
                <w:szCs w:val="13"/>
                <w:color w:val="58595B"/>
              </w:rPr>
              <w:t>$4,638,230</w:t>
            </w:r>
          </w:p>
        </w:tc>
        <w:tc>
          <w:tcPr>
            <w:tcW w:w="11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3"/>
                <w:szCs w:val="13"/>
                <w:color w:val="58595B"/>
              </w:rPr>
              <w:t>$5,710,287</w:t>
            </w:r>
          </w:p>
        </w:tc>
        <w:tc>
          <w:tcPr>
            <w:tcW w:w="1080" w:type="dxa"/>
            <w:vAlign w:val="bottom"/>
            <w:tcBorders>
              <w:top w:val="single" w:sz="8" w:color="58595B"/>
              <w:right w:val="single" w:sz="8" w:color="58595B"/>
            </w:tcBorders>
          </w:tcPr>
          <w:p>
            <w:pPr>
              <w:ind w:left="220"/>
              <w:spacing w:after="0"/>
              <w:rPr>
                <w:sz w:val="20"/>
                <w:szCs w:val="20"/>
                <w:color w:val="auto"/>
              </w:rPr>
            </w:pPr>
            <w:r>
              <w:rPr>
                <w:rFonts w:ascii="Arial" w:cs="Arial" w:eastAsia="Arial" w:hAnsi="Arial"/>
                <w:sz w:val="13"/>
                <w:szCs w:val="13"/>
                <w:color w:val="58595B"/>
              </w:rPr>
              <w:t>$3,686,734</w:t>
            </w:r>
          </w:p>
        </w:tc>
        <w:tc>
          <w:tcPr>
            <w:tcW w:w="1060" w:type="dxa"/>
            <w:vAlign w:val="bottom"/>
            <w:tcBorders>
              <w:top w:val="single" w:sz="8" w:color="58595B"/>
            </w:tcBorders>
          </w:tcPr>
          <w:p>
            <w:pPr>
              <w:jc w:val="center"/>
              <w:spacing w:after="0"/>
              <w:rPr>
                <w:sz w:val="20"/>
                <w:szCs w:val="20"/>
                <w:color w:val="auto"/>
              </w:rPr>
            </w:pPr>
            <w:r>
              <w:rPr>
                <w:rFonts w:ascii="Arial" w:cs="Arial" w:eastAsia="Arial" w:hAnsi="Arial"/>
                <w:sz w:val="13"/>
                <w:szCs w:val="13"/>
                <w:color w:val="58595B"/>
                <w:w w:val="98"/>
              </w:rPr>
              <w:t>$1,983,344</w:t>
            </w:r>
          </w:p>
        </w:tc>
        <w:tc>
          <w:tcPr>
            <w:tcW w:w="20" w:type="dxa"/>
            <w:vAlign w:val="bottom"/>
            <w:tcBorders>
              <w:top w:val="single" w:sz="8" w:color="58595B"/>
            </w:tcBorders>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Borders>
              <w:left w:val="single" w:sz="8" w:color="58595B"/>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080" w:type="dxa"/>
            <w:vAlign w:val="bottom"/>
            <w:tcBorders>
              <w:bottom w:val="single" w:sz="8" w:color="58595B"/>
              <w:right w:val="single" w:sz="8" w:color="58595B"/>
            </w:tcBorders>
          </w:tcPr>
          <w:p>
            <w:pPr>
              <w:spacing w:after="0"/>
              <w:rPr>
                <w:sz w:val="12"/>
                <w:szCs w:val="12"/>
                <w:color w:val="auto"/>
              </w:rPr>
            </w:pPr>
          </w:p>
        </w:tc>
        <w:tc>
          <w:tcPr>
            <w:tcW w:w="1060" w:type="dxa"/>
            <w:vAlign w:val="bottom"/>
            <w:tcBorders>
              <w:bottom w:val="single" w:sz="8" w:color="58595B"/>
            </w:tcBorders>
          </w:tcPr>
          <w:p>
            <w:pPr>
              <w:spacing w:after="0"/>
              <w:rPr>
                <w:sz w:val="12"/>
                <w:szCs w:val="12"/>
                <w:color w:val="auto"/>
              </w:rPr>
            </w:pPr>
          </w:p>
        </w:tc>
        <w:tc>
          <w:tcPr>
            <w:tcW w:w="20" w:type="dxa"/>
            <w:vAlign w:val="bottom"/>
            <w:tcBorders>
              <w:bottom w:val="single" w:sz="8" w:color="58595B"/>
            </w:tcBorders>
            <w:shd w:val="clear" w:color="auto" w:fill="58595B"/>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98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3"/>
                <w:szCs w:val="13"/>
                <w:color w:val="58595B"/>
              </w:rPr>
              <w:t>Termination by Executive for Good Reason</w:t>
            </w:r>
          </w:p>
        </w:tc>
        <w:tc>
          <w:tcPr>
            <w:tcW w:w="11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9"/>
              </w:rPr>
              <w:t>$11,281,526</w:t>
            </w:r>
          </w:p>
        </w:tc>
        <w:tc>
          <w:tcPr>
            <w:tcW w:w="11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$4,638,230</w:t>
            </w:r>
          </w:p>
        </w:tc>
        <w:tc>
          <w:tcPr>
            <w:tcW w:w="11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$5,710,287</w:t>
            </w:r>
          </w:p>
        </w:tc>
        <w:tc>
          <w:tcPr>
            <w:tcW w:w="1080" w:type="dxa"/>
            <w:vAlign w:val="bottom"/>
            <w:tcBorders>
              <w:right w:val="single" w:sz="8" w:color="58595B"/>
            </w:tcBorders>
          </w:tcPr>
          <w:p>
            <w:pPr>
              <w:ind w:left="220"/>
              <w:spacing w:after="0"/>
              <w:rPr>
                <w:sz w:val="20"/>
                <w:szCs w:val="20"/>
                <w:color w:val="auto"/>
              </w:rPr>
            </w:pPr>
            <w:r>
              <w:rPr>
                <w:rFonts w:ascii="Arial" w:cs="Arial" w:eastAsia="Arial" w:hAnsi="Arial"/>
                <w:sz w:val="13"/>
                <w:szCs w:val="13"/>
                <w:color w:val="58595B"/>
              </w:rPr>
              <w:t>$3,686,734</w:t>
            </w: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$1,983,344</w:t>
            </w:r>
          </w:p>
        </w:tc>
        <w:tc>
          <w:tcPr>
            <w:tcW w:w="2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Borders>
              <w:left w:val="single" w:sz="8" w:color="58595B"/>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100" w:type="dxa"/>
            <w:vAlign w:val="bottom"/>
            <w:tcBorders>
              <w:bottom w:val="single" w:sz="8" w:color="58595B"/>
              <w:right w:val="single" w:sz="8" w:color="58595B"/>
            </w:tcBorders>
          </w:tcPr>
          <w:p>
            <w:pPr>
              <w:spacing w:after="0"/>
              <w:rPr>
                <w:sz w:val="12"/>
                <w:szCs w:val="12"/>
                <w:color w:val="auto"/>
              </w:rPr>
            </w:pPr>
          </w:p>
        </w:tc>
        <w:tc>
          <w:tcPr>
            <w:tcW w:w="1080" w:type="dxa"/>
            <w:vAlign w:val="bottom"/>
            <w:tcBorders>
              <w:bottom w:val="single" w:sz="8" w:color="58595B"/>
              <w:right w:val="single" w:sz="8" w:color="58595B"/>
            </w:tcBorders>
          </w:tcPr>
          <w:p>
            <w:pPr>
              <w:spacing w:after="0"/>
              <w:rPr>
                <w:sz w:val="12"/>
                <w:szCs w:val="12"/>
                <w:color w:val="auto"/>
              </w:rPr>
            </w:pPr>
          </w:p>
        </w:tc>
        <w:tc>
          <w:tcPr>
            <w:tcW w:w="1060" w:type="dxa"/>
            <w:vAlign w:val="bottom"/>
            <w:tcBorders>
              <w:bottom w:val="single" w:sz="8" w:color="58595B"/>
            </w:tcBorders>
          </w:tcPr>
          <w:p>
            <w:pPr>
              <w:spacing w:after="0"/>
              <w:rPr>
                <w:sz w:val="12"/>
                <w:szCs w:val="12"/>
                <w:color w:val="auto"/>
              </w:rPr>
            </w:pPr>
          </w:p>
        </w:tc>
        <w:tc>
          <w:tcPr>
            <w:tcW w:w="20" w:type="dxa"/>
            <w:vAlign w:val="bottom"/>
            <w:tcBorders>
              <w:bottom w:val="single" w:sz="8" w:color="58595B"/>
            </w:tcBorders>
            <w:shd w:val="clear" w:color="auto" w:fill="58595B"/>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6376035</wp:posOffset>
            </wp:positionH>
            <wp:positionV relativeFrom="page">
              <wp:posOffset>542925</wp:posOffset>
            </wp:positionV>
            <wp:extent cx="7620" cy="3289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20" cy="328930"/>
                    </a:xfrm>
                    <a:prstGeom prst="rect">
                      <a:avLst/>
                    </a:prstGeom>
                    <a:noFill/>
                  </pic:spPr>
                </pic:pic>
              </a:graphicData>
            </a:graphic>
          </wp:anchor>
        </w:drawing>
        <w:drawing>
          <wp:anchor simplePos="0" relativeHeight="251657728" behindDoc="1" locked="0" layoutInCell="0" allowOverlap="1">
            <wp:simplePos x="0" y="0"/>
            <wp:positionH relativeFrom="page">
              <wp:posOffset>5687695</wp:posOffset>
            </wp:positionH>
            <wp:positionV relativeFrom="page">
              <wp:posOffset>542925</wp:posOffset>
            </wp:positionV>
            <wp:extent cx="7620" cy="3289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20" cy="328930"/>
                    </a:xfrm>
                    <a:prstGeom prst="rect">
                      <a:avLst/>
                    </a:prstGeom>
                    <a:noFill/>
                  </pic:spPr>
                </pic:pic>
              </a:graphicData>
            </a:graphic>
          </wp:anchor>
        </w:drawing>
        <w:drawing>
          <wp:anchor simplePos="0" relativeHeight="251657728" behindDoc="1" locked="0" layoutInCell="0" allowOverlap="1">
            <wp:simplePos x="0" y="0"/>
            <wp:positionH relativeFrom="page">
              <wp:posOffset>4999355</wp:posOffset>
            </wp:positionH>
            <wp:positionV relativeFrom="page">
              <wp:posOffset>542925</wp:posOffset>
            </wp:positionV>
            <wp:extent cx="7620" cy="3289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 cy="328930"/>
                    </a:xfrm>
                    <a:prstGeom prst="rect">
                      <a:avLst/>
                    </a:prstGeom>
                    <a:noFill/>
                  </pic:spPr>
                </pic:pic>
              </a:graphicData>
            </a:graphic>
          </wp:anchor>
        </w:drawing>
        <w:drawing>
          <wp:anchor simplePos="0" relativeHeight="251657728" behindDoc="1" locked="0" layoutInCell="0" allowOverlap="1">
            <wp:simplePos x="0" y="0"/>
            <wp:positionH relativeFrom="page">
              <wp:posOffset>4302760</wp:posOffset>
            </wp:positionH>
            <wp:positionV relativeFrom="page">
              <wp:posOffset>542925</wp:posOffset>
            </wp:positionV>
            <wp:extent cx="7620" cy="3289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 cy="328930"/>
                    </a:xfrm>
                    <a:prstGeom prst="rect">
                      <a:avLst/>
                    </a:prstGeom>
                    <a:noFill/>
                  </pic:spPr>
                </pic:pic>
              </a:graphicData>
            </a:graphic>
          </wp:anchor>
        </w:drawing>
        <w:drawing>
          <wp:anchor simplePos="0" relativeHeight="251657728" behindDoc="1" locked="0" layoutInCell="0" allowOverlap="1">
            <wp:simplePos x="0" y="0"/>
            <wp:positionH relativeFrom="page">
              <wp:posOffset>3606165</wp:posOffset>
            </wp:positionH>
            <wp:positionV relativeFrom="page">
              <wp:posOffset>542925</wp:posOffset>
            </wp:positionV>
            <wp:extent cx="7620" cy="3289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20" cy="328930"/>
                    </a:xfrm>
                    <a:prstGeom prst="rect">
                      <a:avLst/>
                    </a:prstGeom>
                    <a:noFill/>
                  </pic:spPr>
                </pic:pic>
              </a:graphicData>
            </a:graphic>
          </wp:anchor>
        </w:drawing>
        <w:drawing>
          <wp:anchor simplePos="0" relativeHeight="251657728" behindDoc="1" locked="0" layoutInCell="0" allowOverlap="1">
            <wp:simplePos x="0" y="0"/>
            <wp:positionH relativeFrom="page">
              <wp:posOffset>2909570</wp:posOffset>
            </wp:positionH>
            <wp:positionV relativeFrom="page">
              <wp:posOffset>542925</wp:posOffset>
            </wp:positionV>
            <wp:extent cx="7620" cy="3289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 cy="32893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20"/>
          <w:szCs w:val="20"/>
          <w:b w:val="1"/>
          <w:bCs w:val="1"/>
          <w:color w:val="727898"/>
        </w:rPr>
        <w:t>ESTIMATED EQUITY PAYMENTS UPON TERMINATION OF EMPLOYMENT OR CHANGE IN CONTROL</w:t>
      </w:r>
    </w:p>
    <w:p>
      <w:pPr>
        <w:spacing w:after="0" w:line="228" w:lineRule="exact"/>
        <w:rPr>
          <w:sz w:val="20"/>
          <w:szCs w:val="20"/>
          <w:color w:val="auto"/>
        </w:rPr>
      </w:pPr>
    </w:p>
    <w:p>
      <w:pPr>
        <w:ind w:left="1180" w:right="180"/>
        <w:spacing w:after="0" w:line="246" w:lineRule="auto"/>
        <w:rPr>
          <w:sz w:val="20"/>
          <w:szCs w:val="20"/>
          <w:color w:val="auto"/>
        </w:rPr>
      </w:pPr>
      <w:r>
        <w:rPr>
          <w:rFonts w:ascii="Arial" w:cs="Arial" w:eastAsia="Arial" w:hAnsi="Arial"/>
          <w:sz w:val="17"/>
          <w:szCs w:val="17"/>
          <w:color w:val="333333"/>
        </w:rPr>
        <w:t>The table below includes the estimated values of the FNF restricted stock awards held by the named executive officers that would vest upon the executive's termination of employment by reason of death, disability, a change of control of FNF, or upon the termination of their employment with FNF without cause or by the executive for good reason, in each case assuming such event occurred on December 31, 2025. None of our executives' restricted stock awards would have vested in the event of their termination with cause or by the executive without good reason. The amounts below were determined based upon the number of unvested shares of FNF restricted stock held by each executive as of December 31, 2025 (as set forth in the "Outstanding Equity Awards at Fiscal Year End" table above), multiplied by $54.59 per share, which was the closing price of our common stock on December 31, 2025. None of our named executive officers held any unvested stock options as of December 31, 2025 and we have not included any amounts related to termination of Messrs. Nolan's, Quirk's or Gravelle's service with F&amp;G.</w:t>
      </w:r>
    </w:p>
    <w:p>
      <w:pPr>
        <w:spacing w:after="0" w:line="185" w:lineRule="exact"/>
        <w:rPr>
          <w:sz w:val="20"/>
          <w:szCs w:val="20"/>
          <w:color w:val="auto"/>
        </w:rPr>
      </w:pPr>
    </w:p>
    <w:tbl>
      <w:tblPr>
        <w:tblLayout w:type="fixed"/>
        <w:tblInd w:w="1310" w:type="dxa"/>
        <w:tblCellMar>
          <w:top w:w="0" w:type="dxa"/>
          <w:left w:w="0" w:type="dxa"/>
          <w:bottom w:w="0" w:type="dxa"/>
          <w:right w:w="0" w:type="dxa"/>
        </w:tblCellMar>
      </w:tblPr>
      <w:tr>
        <w:trPr>
          <w:trHeight w:val="333"/>
        </w:trPr>
        <w:tc>
          <w:tcPr>
            <w:tcW w:w="2980" w:type="dxa"/>
            <w:vAlign w:val="bottom"/>
            <w:tcBorders>
              <w:top w:val="single" w:sz="8" w:color="333333"/>
              <w:left w:val="single" w:sz="8" w:color="333333"/>
              <w:bottom w:val="single" w:sz="8" w:color="254F79"/>
              <w:right w:val="single" w:sz="8" w:color="254F79"/>
            </w:tcBorders>
            <w:shd w:val="clear" w:color="auto" w:fill="254F79"/>
          </w:tcPr>
          <w:p>
            <w:pPr>
              <w:ind w:left="160"/>
              <w:spacing w:after="0"/>
              <w:rPr>
                <w:sz w:val="20"/>
                <w:szCs w:val="20"/>
                <w:color w:val="auto"/>
              </w:rPr>
            </w:pPr>
            <w:r>
              <w:rPr>
                <w:rFonts w:ascii="Arial" w:cs="Arial" w:eastAsia="Arial" w:hAnsi="Arial"/>
                <w:sz w:val="15"/>
                <w:szCs w:val="15"/>
                <w:b w:val="1"/>
                <w:bCs w:val="1"/>
                <w:color w:val="FFFFFF"/>
              </w:rPr>
              <w:t>Reason for Payment:</w:t>
            </w:r>
          </w:p>
        </w:tc>
        <w:tc>
          <w:tcPr>
            <w:tcW w:w="1100" w:type="dxa"/>
            <w:vAlign w:val="bottom"/>
            <w:tcBorders>
              <w:top w:val="single" w:sz="8" w:color="333333"/>
              <w:bottom w:val="single" w:sz="8" w:color="254F79"/>
              <w:right w:val="single" w:sz="8" w:color="254F79"/>
            </w:tcBorders>
            <w:shd w:val="clear" w:color="auto" w:fill="254F79"/>
          </w:tcPr>
          <w:p>
            <w:pPr>
              <w:ind w:left="300"/>
              <w:spacing w:after="0"/>
              <w:rPr>
                <w:sz w:val="20"/>
                <w:szCs w:val="20"/>
                <w:color w:val="auto"/>
              </w:rPr>
            </w:pPr>
            <w:r>
              <w:rPr>
                <w:rFonts w:ascii="Arial" w:cs="Arial" w:eastAsia="Arial" w:hAnsi="Arial"/>
                <w:sz w:val="15"/>
                <w:szCs w:val="15"/>
                <w:b w:val="1"/>
                <w:bCs w:val="1"/>
                <w:color w:val="FFFFFF"/>
              </w:rPr>
              <w:t>Nolan</w:t>
            </w:r>
          </w:p>
        </w:tc>
        <w:tc>
          <w:tcPr>
            <w:tcW w:w="1100" w:type="dxa"/>
            <w:vAlign w:val="bottom"/>
            <w:tcBorders>
              <w:top w:val="single" w:sz="8" w:color="333333"/>
              <w:bottom w:val="single" w:sz="8" w:color="254F79"/>
              <w:right w:val="single" w:sz="8" w:color="254F79"/>
            </w:tcBorders>
            <w:shd w:val="clear" w:color="auto" w:fill="254F79"/>
          </w:tcPr>
          <w:p>
            <w:pPr>
              <w:ind w:left="360"/>
              <w:spacing w:after="0"/>
              <w:rPr>
                <w:sz w:val="20"/>
                <w:szCs w:val="20"/>
                <w:color w:val="auto"/>
              </w:rPr>
            </w:pPr>
            <w:r>
              <w:rPr>
                <w:rFonts w:ascii="Arial" w:cs="Arial" w:eastAsia="Arial" w:hAnsi="Arial"/>
                <w:sz w:val="15"/>
                <w:szCs w:val="15"/>
                <w:b w:val="1"/>
                <w:bCs w:val="1"/>
                <w:color w:val="FFFFFF"/>
              </w:rPr>
              <w:t>Quirk</w:t>
            </w:r>
          </w:p>
        </w:tc>
        <w:tc>
          <w:tcPr>
            <w:tcW w:w="1100" w:type="dxa"/>
            <w:vAlign w:val="bottom"/>
            <w:tcBorders>
              <w:top w:val="single" w:sz="8" w:color="333333"/>
              <w:bottom w:val="single" w:sz="8" w:color="254F79"/>
              <w:right w:val="single" w:sz="8" w:color="254F79"/>
            </w:tcBorders>
            <w:shd w:val="clear" w:color="auto" w:fill="254F79"/>
          </w:tcPr>
          <w:p>
            <w:pPr>
              <w:ind w:left="380"/>
              <w:spacing w:after="0"/>
              <w:rPr>
                <w:sz w:val="20"/>
                <w:szCs w:val="20"/>
                <w:color w:val="auto"/>
              </w:rPr>
            </w:pPr>
            <w:r>
              <w:rPr>
                <w:rFonts w:ascii="Arial" w:cs="Arial" w:eastAsia="Arial" w:hAnsi="Arial"/>
                <w:sz w:val="15"/>
                <w:szCs w:val="15"/>
                <w:b w:val="1"/>
                <w:bCs w:val="1"/>
                <w:color w:val="FFFFFF"/>
              </w:rPr>
              <w:t>Park</w:t>
            </w:r>
          </w:p>
        </w:tc>
        <w:tc>
          <w:tcPr>
            <w:tcW w:w="1080" w:type="dxa"/>
            <w:vAlign w:val="bottom"/>
            <w:tcBorders>
              <w:top w:val="single" w:sz="8" w:color="333333"/>
              <w:bottom w:val="single" w:sz="8" w:color="254F79"/>
              <w:right w:val="single" w:sz="8" w:color="254F79"/>
            </w:tcBorders>
            <w:shd w:val="clear" w:color="auto" w:fill="254F79"/>
          </w:tcPr>
          <w:p>
            <w:pPr>
              <w:ind w:left="160"/>
              <w:spacing w:after="0"/>
              <w:rPr>
                <w:sz w:val="20"/>
                <w:szCs w:val="20"/>
                <w:color w:val="auto"/>
              </w:rPr>
            </w:pPr>
            <w:r>
              <w:rPr>
                <w:rFonts w:ascii="Arial" w:cs="Arial" w:eastAsia="Arial" w:hAnsi="Arial"/>
                <w:sz w:val="15"/>
                <w:szCs w:val="15"/>
                <w:b w:val="1"/>
                <w:bCs w:val="1"/>
                <w:color w:val="FFFFFF"/>
              </w:rPr>
              <w:t>Sadowski</w:t>
            </w:r>
          </w:p>
        </w:tc>
        <w:tc>
          <w:tcPr>
            <w:tcW w:w="1080" w:type="dxa"/>
            <w:vAlign w:val="bottom"/>
            <w:tcBorders>
              <w:top w:val="single" w:sz="8" w:color="333333"/>
              <w:bottom w:val="single" w:sz="8" w:color="254F79"/>
            </w:tcBorders>
            <w:shd w:val="clear" w:color="auto" w:fill="254F79"/>
          </w:tcPr>
          <w:p>
            <w:pPr>
              <w:ind w:left="240"/>
              <w:spacing w:after="0"/>
              <w:rPr>
                <w:sz w:val="20"/>
                <w:szCs w:val="20"/>
                <w:color w:val="auto"/>
              </w:rPr>
            </w:pPr>
            <w:r>
              <w:rPr>
                <w:rFonts w:ascii="Arial" w:cs="Arial" w:eastAsia="Arial" w:hAnsi="Arial"/>
                <w:sz w:val="15"/>
                <w:szCs w:val="15"/>
                <w:b w:val="1"/>
                <w:bCs w:val="1"/>
                <w:color w:val="FFFFFF"/>
              </w:rPr>
              <w:t>Gravelle</w:t>
            </w:r>
          </w:p>
        </w:tc>
        <w:tc>
          <w:tcPr>
            <w:tcW w:w="20" w:type="dxa"/>
            <w:vAlign w:val="bottom"/>
          </w:tcPr>
          <w:p>
            <w:pPr>
              <w:spacing w:after="0"/>
              <w:rPr>
                <w:sz w:val="24"/>
                <w:szCs w:val="24"/>
                <w:color w:val="auto"/>
              </w:rPr>
            </w:pPr>
          </w:p>
        </w:tc>
      </w:tr>
      <w:tr>
        <w:trPr>
          <w:trHeight w:val="227"/>
        </w:trPr>
        <w:tc>
          <w:tcPr>
            <w:tcW w:w="2980" w:type="dxa"/>
            <w:vAlign w:val="bottom"/>
            <w:tcBorders>
              <w:top w:val="single" w:sz="8" w:color="auto"/>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Termination without Cause</w:t>
            </w:r>
          </w:p>
        </w:tc>
        <w:tc>
          <w:tcPr>
            <w:tcW w:w="1100" w:type="dxa"/>
            <w:vAlign w:val="bottom"/>
            <w:tcBorders>
              <w:top w:val="single" w:sz="8" w:color="auto"/>
              <w:right w:val="single" w:sz="8" w:color="333333"/>
            </w:tcBorders>
          </w:tcPr>
          <w:p>
            <w:pPr>
              <w:spacing w:after="0"/>
              <w:rPr>
                <w:sz w:val="19"/>
                <w:szCs w:val="19"/>
                <w:color w:val="auto"/>
              </w:rPr>
            </w:pPr>
          </w:p>
        </w:tc>
        <w:tc>
          <w:tcPr>
            <w:tcW w:w="1100" w:type="dxa"/>
            <w:vAlign w:val="bottom"/>
            <w:tcBorders>
              <w:top w:val="single" w:sz="8" w:color="auto"/>
              <w:right w:val="single" w:sz="8" w:color="333333"/>
            </w:tcBorders>
          </w:tcPr>
          <w:p>
            <w:pPr>
              <w:spacing w:after="0"/>
              <w:rPr>
                <w:sz w:val="19"/>
                <w:szCs w:val="19"/>
                <w:color w:val="auto"/>
              </w:rPr>
            </w:pPr>
          </w:p>
        </w:tc>
        <w:tc>
          <w:tcPr>
            <w:tcW w:w="1100" w:type="dxa"/>
            <w:vAlign w:val="bottom"/>
            <w:tcBorders>
              <w:top w:val="single" w:sz="8" w:color="auto"/>
              <w:right w:val="single" w:sz="8" w:color="333333"/>
            </w:tcBorders>
          </w:tcPr>
          <w:p>
            <w:pPr>
              <w:spacing w:after="0"/>
              <w:rPr>
                <w:sz w:val="19"/>
                <w:szCs w:val="19"/>
                <w:color w:val="auto"/>
              </w:rPr>
            </w:pPr>
          </w:p>
        </w:tc>
        <w:tc>
          <w:tcPr>
            <w:tcW w:w="1080" w:type="dxa"/>
            <w:vAlign w:val="bottom"/>
            <w:tcBorders>
              <w:top w:val="single" w:sz="8" w:color="auto"/>
              <w:right w:val="single" w:sz="8" w:color="333333"/>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shd w:val="clear" w:color="auto" w:fill="333333"/>
          </w:tcPr>
          <w:p>
            <w:pPr>
              <w:spacing w:after="0"/>
              <w:rPr>
                <w:sz w:val="19"/>
                <w:szCs w:val="19"/>
                <w:color w:val="auto"/>
              </w:rPr>
            </w:pPr>
          </w:p>
        </w:tc>
      </w:tr>
      <w:tr>
        <w:trPr>
          <w:trHeight w:val="173"/>
        </w:trPr>
        <w:tc>
          <w:tcPr>
            <w:tcW w:w="2980" w:type="dxa"/>
            <w:vAlign w:val="bottom"/>
            <w:tcBorders>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or by Executive for Good</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$5,719,093</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$4,232,174</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$1,766,335</w:t>
            </w:r>
          </w:p>
        </w:tc>
        <w:tc>
          <w:tcPr>
            <w:tcW w:w="10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$1,665,088</w:t>
            </w:r>
          </w:p>
        </w:tc>
        <w:tc>
          <w:tcPr>
            <w:tcW w:w="1080" w:type="dxa"/>
            <w:vAlign w:val="bottom"/>
          </w:tcPr>
          <w:p>
            <w:pPr>
              <w:jc w:val="center"/>
              <w:spacing w:after="0"/>
              <w:rPr>
                <w:sz w:val="20"/>
                <w:szCs w:val="20"/>
                <w:color w:val="auto"/>
              </w:rPr>
            </w:pPr>
            <w:r>
              <w:rPr>
                <w:rFonts w:ascii="Arial" w:cs="Arial" w:eastAsia="Arial" w:hAnsi="Arial"/>
                <w:sz w:val="15"/>
                <w:szCs w:val="15"/>
                <w:color w:val="333333"/>
                <w:w w:val="98"/>
              </w:rPr>
              <w:t>$1,665,811</w:t>
            </w:r>
          </w:p>
        </w:tc>
        <w:tc>
          <w:tcPr>
            <w:tcW w:w="20" w:type="dxa"/>
            <w:vAlign w:val="bottom"/>
            <w:shd w:val="clear" w:color="auto" w:fill="333333"/>
          </w:tcPr>
          <w:p>
            <w:pPr>
              <w:spacing w:after="0"/>
              <w:rPr>
                <w:sz w:val="15"/>
                <w:szCs w:val="15"/>
                <w:color w:val="auto"/>
              </w:rPr>
            </w:pPr>
          </w:p>
        </w:tc>
      </w:tr>
      <w:tr>
        <w:trPr>
          <w:trHeight w:val="194"/>
        </w:trPr>
        <w:tc>
          <w:tcPr>
            <w:tcW w:w="2980" w:type="dxa"/>
            <w:vAlign w:val="bottom"/>
            <w:tcBorders>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Reason</w:t>
            </w:r>
          </w:p>
        </w:tc>
        <w:tc>
          <w:tcPr>
            <w:tcW w:w="1100" w:type="dxa"/>
            <w:vAlign w:val="bottom"/>
            <w:tcBorders>
              <w:right w:val="single" w:sz="8" w:color="333333"/>
            </w:tcBorders>
          </w:tcPr>
          <w:p>
            <w:pPr>
              <w:spacing w:after="0"/>
              <w:rPr>
                <w:sz w:val="16"/>
                <w:szCs w:val="16"/>
                <w:color w:val="auto"/>
              </w:rPr>
            </w:pPr>
          </w:p>
        </w:tc>
        <w:tc>
          <w:tcPr>
            <w:tcW w:w="1100" w:type="dxa"/>
            <w:vAlign w:val="bottom"/>
            <w:tcBorders>
              <w:right w:val="single" w:sz="8" w:color="333333"/>
            </w:tcBorders>
          </w:tcPr>
          <w:p>
            <w:pPr>
              <w:spacing w:after="0"/>
              <w:rPr>
                <w:sz w:val="16"/>
                <w:szCs w:val="16"/>
                <w:color w:val="auto"/>
              </w:rPr>
            </w:pPr>
          </w:p>
        </w:tc>
        <w:tc>
          <w:tcPr>
            <w:tcW w:w="1100" w:type="dxa"/>
            <w:vAlign w:val="bottom"/>
            <w:tcBorders>
              <w:right w:val="single" w:sz="8" w:color="333333"/>
            </w:tcBorders>
          </w:tcPr>
          <w:p>
            <w:pPr>
              <w:spacing w:after="0"/>
              <w:rPr>
                <w:sz w:val="16"/>
                <w:szCs w:val="16"/>
                <w:color w:val="auto"/>
              </w:rPr>
            </w:pPr>
          </w:p>
        </w:tc>
        <w:tc>
          <w:tcPr>
            <w:tcW w:w="1080" w:type="dxa"/>
            <w:vAlign w:val="bottom"/>
            <w:tcBorders>
              <w:right w:val="single" w:sz="8" w:color="333333"/>
            </w:tcBorders>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shd w:val="clear" w:color="auto" w:fill="333333"/>
          </w:tcPr>
          <w:p>
            <w:pPr>
              <w:spacing w:after="0"/>
              <w:rPr>
                <w:sz w:val="16"/>
                <w:szCs w:val="16"/>
                <w:color w:val="auto"/>
              </w:rPr>
            </w:pPr>
          </w:p>
        </w:tc>
      </w:tr>
      <w:tr>
        <w:trPr>
          <w:trHeight w:val="65"/>
        </w:trPr>
        <w:tc>
          <w:tcPr>
            <w:tcW w:w="2980" w:type="dxa"/>
            <w:vAlign w:val="bottom"/>
            <w:tcBorders>
              <w:left w:val="single" w:sz="8" w:color="333333"/>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333333"/>
            </w:tcBorders>
            <w:shd w:val="clear" w:color="auto" w:fill="333333"/>
          </w:tcPr>
          <w:p>
            <w:pPr>
              <w:spacing w:after="0"/>
              <w:rPr>
                <w:sz w:val="5"/>
                <w:szCs w:val="5"/>
                <w:color w:val="auto"/>
              </w:rPr>
            </w:pPr>
          </w:p>
        </w:tc>
      </w:tr>
      <w:tr>
        <w:trPr>
          <w:trHeight w:val="248"/>
        </w:trPr>
        <w:tc>
          <w:tcPr>
            <w:tcW w:w="2980" w:type="dxa"/>
            <w:vAlign w:val="bottom"/>
            <w:tcBorders>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Death</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$852,879</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$595,395</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$263,720</w:t>
            </w:r>
          </w:p>
        </w:tc>
        <w:tc>
          <w:tcPr>
            <w:tcW w:w="10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$248,603</w:t>
            </w:r>
          </w:p>
        </w:tc>
        <w:tc>
          <w:tcPr>
            <w:tcW w:w="1080" w:type="dxa"/>
            <w:vAlign w:val="bottom"/>
          </w:tcPr>
          <w:p>
            <w:pPr>
              <w:jc w:val="center"/>
              <w:spacing w:after="0"/>
              <w:rPr>
                <w:sz w:val="20"/>
                <w:szCs w:val="20"/>
                <w:color w:val="auto"/>
              </w:rPr>
            </w:pPr>
            <w:r>
              <w:rPr>
                <w:rFonts w:ascii="Arial" w:cs="Arial" w:eastAsia="Arial" w:hAnsi="Arial"/>
                <w:sz w:val="15"/>
                <w:szCs w:val="15"/>
                <w:color w:val="333333"/>
                <w:w w:val="99"/>
              </w:rPr>
              <w:t>$245,771</w:t>
            </w:r>
          </w:p>
        </w:tc>
        <w:tc>
          <w:tcPr>
            <w:tcW w:w="20" w:type="dxa"/>
            <w:vAlign w:val="bottom"/>
            <w:shd w:val="clear" w:color="auto" w:fill="333333"/>
          </w:tcPr>
          <w:p>
            <w:pPr>
              <w:spacing w:after="0"/>
              <w:rPr>
                <w:sz w:val="21"/>
                <w:szCs w:val="21"/>
                <w:color w:val="auto"/>
              </w:rPr>
            </w:pPr>
          </w:p>
        </w:tc>
      </w:tr>
      <w:tr>
        <w:trPr>
          <w:trHeight w:val="65"/>
        </w:trPr>
        <w:tc>
          <w:tcPr>
            <w:tcW w:w="2980" w:type="dxa"/>
            <w:vAlign w:val="bottom"/>
            <w:tcBorders>
              <w:left w:val="single" w:sz="8" w:color="333333"/>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333333"/>
            </w:tcBorders>
            <w:shd w:val="clear" w:color="auto" w:fill="333333"/>
          </w:tcPr>
          <w:p>
            <w:pPr>
              <w:spacing w:after="0"/>
              <w:rPr>
                <w:sz w:val="5"/>
                <w:szCs w:val="5"/>
                <w:color w:val="auto"/>
              </w:rPr>
            </w:pPr>
          </w:p>
        </w:tc>
      </w:tr>
      <w:tr>
        <w:trPr>
          <w:trHeight w:val="248"/>
        </w:trPr>
        <w:tc>
          <w:tcPr>
            <w:tcW w:w="2980" w:type="dxa"/>
            <w:vAlign w:val="bottom"/>
            <w:tcBorders>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Disability</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$852,879</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$595,395</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$263,720</w:t>
            </w:r>
          </w:p>
        </w:tc>
        <w:tc>
          <w:tcPr>
            <w:tcW w:w="10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9"/>
              </w:rPr>
              <w:t>$248,603</w:t>
            </w:r>
          </w:p>
        </w:tc>
        <w:tc>
          <w:tcPr>
            <w:tcW w:w="1080" w:type="dxa"/>
            <w:vAlign w:val="bottom"/>
          </w:tcPr>
          <w:p>
            <w:pPr>
              <w:jc w:val="center"/>
              <w:spacing w:after="0"/>
              <w:rPr>
                <w:sz w:val="20"/>
                <w:szCs w:val="20"/>
                <w:color w:val="auto"/>
              </w:rPr>
            </w:pPr>
            <w:r>
              <w:rPr>
                <w:rFonts w:ascii="Arial" w:cs="Arial" w:eastAsia="Arial" w:hAnsi="Arial"/>
                <w:sz w:val="15"/>
                <w:szCs w:val="15"/>
                <w:color w:val="333333"/>
                <w:w w:val="99"/>
              </w:rPr>
              <w:t>$245,771</w:t>
            </w:r>
          </w:p>
        </w:tc>
        <w:tc>
          <w:tcPr>
            <w:tcW w:w="20" w:type="dxa"/>
            <w:vAlign w:val="bottom"/>
            <w:shd w:val="clear" w:color="auto" w:fill="333333"/>
          </w:tcPr>
          <w:p>
            <w:pPr>
              <w:spacing w:after="0"/>
              <w:rPr>
                <w:sz w:val="21"/>
                <w:szCs w:val="21"/>
                <w:color w:val="auto"/>
              </w:rPr>
            </w:pPr>
          </w:p>
        </w:tc>
      </w:tr>
      <w:tr>
        <w:trPr>
          <w:trHeight w:val="65"/>
        </w:trPr>
        <w:tc>
          <w:tcPr>
            <w:tcW w:w="2980" w:type="dxa"/>
            <w:vAlign w:val="bottom"/>
            <w:tcBorders>
              <w:left w:val="single" w:sz="8" w:color="333333"/>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333333"/>
            </w:tcBorders>
            <w:shd w:val="clear" w:color="auto" w:fill="333333"/>
          </w:tcPr>
          <w:p>
            <w:pPr>
              <w:spacing w:after="0"/>
              <w:rPr>
                <w:sz w:val="5"/>
                <w:szCs w:val="5"/>
                <w:color w:val="auto"/>
              </w:rPr>
            </w:pPr>
          </w:p>
        </w:tc>
      </w:tr>
      <w:tr>
        <w:trPr>
          <w:trHeight w:val="248"/>
        </w:trPr>
        <w:tc>
          <w:tcPr>
            <w:tcW w:w="2980" w:type="dxa"/>
            <w:vAlign w:val="bottom"/>
            <w:tcBorders>
              <w:left w:val="single" w:sz="8" w:color="333333"/>
              <w:right w:val="single" w:sz="8" w:color="333333"/>
            </w:tcBorders>
          </w:tcPr>
          <w:p>
            <w:pPr>
              <w:ind w:left="160"/>
              <w:spacing w:after="0"/>
              <w:rPr>
                <w:sz w:val="20"/>
                <w:szCs w:val="20"/>
                <w:color w:val="auto"/>
              </w:rPr>
            </w:pPr>
            <w:r>
              <w:rPr>
                <w:rFonts w:ascii="Arial" w:cs="Arial" w:eastAsia="Arial" w:hAnsi="Arial"/>
                <w:sz w:val="15"/>
                <w:szCs w:val="15"/>
                <w:color w:val="333333"/>
              </w:rPr>
              <w:t>Change in Control</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$11,230,093</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$7,299,211</w:t>
            </w:r>
          </w:p>
        </w:tc>
        <w:tc>
          <w:tcPr>
            <w:tcW w:w="110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$3,477,169</w:t>
            </w:r>
          </w:p>
        </w:tc>
        <w:tc>
          <w:tcPr>
            <w:tcW w:w="1080" w:type="dxa"/>
            <w:vAlign w:val="bottom"/>
            <w:tcBorders>
              <w:right w:val="single" w:sz="8" w:color="333333"/>
            </w:tcBorders>
          </w:tcPr>
          <w:p>
            <w:pPr>
              <w:jc w:val="center"/>
              <w:spacing w:after="0"/>
              <w:rPr>
                <w:sz w:val="20"/>
                <w:szCs w:val="20"/>
                <w:color w:val="auto"/>
              </w:rPr>
            </w:pPr>
            <w:r>
              <w:rPr>
                <w:rFonts w:ascii="Arial" w:cs="Arial" w:eastAsia="Arial" w:hAnsi="Arial"/>
                <w:sz w:val="15"/>
                <w:szCs w:val="15"/>
                <w:color w:val="333333"/>
                <w:w w:val="98"/>
              </w:rPr>
              <w:t>$3,275,292</w:t>
            </w:r>
          </w:p>
        </w:tc>
        <w:tc>
          <w:tcPr>
            <w:tcW w:w="1080" w:type="dxa"/>
            <w:vAlign w:val="bottom"/>
          </w:tcPr>
          <w:p>
            <w:pPr>
              <w:jc w:val="center"/>
              <w:spacing w:after="0"/>
              <w:rPr>
                <w:sz w:val="20"/>
                <w:szCs w:val="20"/>
                <w:color w:val="auto"/>
              </w:rPr>
            </w:pPr>
            <w:r>
              <w:rPr>
                <w:rFonts w:ascii="Arial" w:cs="Arial" w:eastAsia="Arial" w:hAnsi="Arial"/>
                <w:sz w:val="15"/>
                <w:szCs w:val="15"/>
                <w:color w:val="333333"/>
                <w:w w:val="98"/>
              </w:rPr>
              <w:t>$3,199,357</w:t>
            </w:r>
          </w:p>
        </w:tc>
        <w:tc>
          <w:tcPr>
            <w:tcW w:w="20" w:type="dxa"/>
            <w:vAlign w:val="bottom"/>
            <w:shd w:val="clear" w:color="auto" w:fill="333333"/>
          </w:tcPr>
          <w:p>
            <w:pPr>
              <w:spacing w:after="0"/>
              <w:rPr>
                <w:sz w:val="21"/>
                <w:szCs w:val="21"/>
                <w:color w:val="auto"/>
              </w:rPr>
            </w:pPr>
          </w:p>
        </w:tc>
      </w:tr>
      <w:tr>
        <w:trPr>
          <w:trHeight w:val="65"/>
        </w:trPr>
        <w:tc>
          <w:tcPr>
            <w:tcW w:w="2980" w:type="dxa"/>
            <w:vAlign w:val="bottom"/>
            <w:tcBorders>
              <w:left w:val="single" w:sz="8" w:color="333333"/>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10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right w:val="single" w:sz="8" w:color="333333"/>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333333"/>
            </w:tcBorders>
            <w:shd w:val="clear" w:color="auto" w:fill="333333"/>
          </w:tcPr>
          <w:p>
            <w:pPr>
              <w:spacing w:after="0"/>
              <w:rPr>
                <w:sz w:val="5"/>
                <w:szCs w:val="5"/>
                <w:color w:val="auto"/>
              </w:rPr>
            </w:pPr>
          </w:p>
        </w:tc>
      </w:tr>
    </w:tbl>
    <w:p>
      <w:pPr>
        <w:spacing w:after="0" w:line="201" w:lineRule="exact"/>
        <w:rPr>
          <w:sz w:val="20"/>
          <w:szCs w:val="20"/>
          <w:color w:val="auto"/>
        </w:rPr>
      </w:pPr>
    </w:p>
    <w:p>
      <w:pPr>
        <w:ind w:left="1180" w:right="180"/>
        <w:spacing w:after="0" w:line="266" w:lineRule="auto"/>
        <w:rPr>
          <w:sz w:val="20"/>
          <w:szCs w:val="20"/>
          <w:color w:val="auto"/>
        </w:rPr>
      </w:pPr>
      <w:r>
        <w:rPr>
          <w:rFonts w:ascii="Arial" w:cs="Arial" w:eastAsia="Arial" w:hAnsi="Arial"/>
          <w:sz w:val="18"/>
          <w:szCs w:val="18"/>
          <w:color w:val="333333"/>
        </w:rPr>
        <w:t>In connection with certain change in control transactions, our named executive officers may require ServiceLink to purchase their ServiceLink profits interest awards for an amount equal to the fair market value of the interests.</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COMPENSATION COMMITTEE INTERLOCKS AND INSIDER PARTICIPATION</w:t>
      </w:r>
    </w:p>
    <w:p>
      <w:pPr>
        <w:spacing w:after="0" w:line="228" w:lineRule="exact"/>
        <w:rPr>
          <w:sz w:val="20"/>
          <w:szCs w:val="20"/>
          <w:color w:val="auto"/>
        </w:rPr>
      </w:pPr>
    </w:p>
    <w:p>
      <w:pPr>
        <w:ind w:left="1180" w:right="300"/>
        <w:spacing w:after="0" w:line="251" w:lineRule="auto"/>
        <w:rPr>
          <w:sz w:val="20"/>
          <w:szCs w:val="20"/>
          <w:color w:val="auto"/>
        </w:rPr>
      </w:pPr>
      <w:r>
        <w:rPr>
          <w:rFonts w:ascii="Arial" w:cs="Arial" w:eastAsia="Arial" w:hAnsi="Arial"/>
          <w:sz w:val="17"/>
          <w:szCs w:val="17"/>
          <w:color w:val="333333"/>
        </w:rPr>
        <w:t>The compensation committee is composed of Thomas M. Hagerty (Chair), Daniel D. (Ron) Lane and Cary H. Thompson. During fiscal year 2025, no member of the compensation committee was a former or current officer or employee of FNF or any of its subsidiaries. In addition, during fiscal year 2025,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66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54F79"/>
          </w:tcPr>
          <w:p>
            <w:pPr>
              <w:spacing w:after="0"/>
              <w:rPr>
                <w:sz w:val="23"/>
                <w:szCs w:val="23"/>
                <w:color w:val="auto"/>
              </w:rPr>
            </w:pPr>
          </w:p>
        </w:tc>
        <w:tc>
          <w:tcPr>
            <w:tcW w:w="4380" w:type="dxa"/>
            <w:vAlign w:val="bottom"/>
            <w:shd w:val="clear" w:color="auto" w:fill="254F79"/>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4" w:right="339" w:bottom="1440" w:gutter="0" w:footer="0" w:header="0"/>
        </w:sectPr>
      </w:pPr>
    </w:p>
    <w:bookmarkStart w:id="70" w:name="page71"/>
    <w:bookmarkEnd w:id="70"/>
    <w:p>
      <w:pPr>
        <w:ind w:left="820" w:right="960"/>
        <w:spacing w:after="0" w:line="273" w:lineRule="auto"/>
        <w:rPr>
          <w:sz w:val="20"/>
          <w:szCs w:val="20"/>
          <w:color w:val="auto"/>
        </w:rPr>
      </w:pPr>
      <w:r>
        <w:rPr>
          <w:rFonts w:ascii="Arial" w:cs="Arial" w:eastAsia="Arial" w:hAnsi="Arial"/>
          <w:sz w:val="20"/>
          <w:szCs w:val="20"/>
          <w:b w:val="1"/>
          <w:bCs w:val="1"/>
          <w:color w:val="727898"/>
        </w:rPr>
        <w:t>DISCUSSION OF OUR COMPENSATION POLICIES AND PRACTICES AS THEY RELATE TO RISK MANAGEMENT</w:t>
      </w:r>
    </w:p>
    <w:p>
      <w:pPr>
        <w:spacing w:after="0" w:line="147" w:lineRule="exact"/>
        <w:rPr>
          <w:sz w:val="20"/>
          <w:szCs w:val="20"/>
          <w:color w:val="auto"/>
        </w:rPr>
      </w:pPr>
    </w:p>
    <w:p>
      <w:pPr>
        <w:ind w:left="820" w:right="60"/>
        <w:spacing w:after="0" w:line="235" w:lineRule="auto"/>
        <w:rPr>
          <w:sz w:val="20"/>
          <w:szCs w:val="20"/>
          <w:color w:val="auto"/>
        </w:rPr>
      </w:pPr>
      <w:r>
        <w:rPr>
          <w:rFonts w:ascii="Arial" w:cs="Arial" w:eastAsia="Arial" w:hAnsi="Arial"/>
          <w:sz w:val="18"/>
          <w:szCs w:val="18"/>
          <w:color w:val="333333"/>
        </w:rPr>
        <w:t>We reviewed our compensation policies and programs for all employees, including our named executive officers, and determined that our compensation programs are not reasonably likely to have a material adverse effect on our company. In conducting the analysis, we reviewed the structure of our executive, non-officer and sales commission incentive programs and the internal controls and risk abatement processes that are in place for each program. We also reviewed data compiled across our direct title operations, agency title operations, ServiceLink, F&amp;G and corporate operations relative to total revenue, total pre-tax profits, total compensation expenses and incentive program expenses (including as a percentage of both revenue and total compensation expenses).</w:t>
      </w:r>
    </w:p>
    <w:p>
      <w:pPr>
        <w:spacing w:after="0" w:line="159" w:lineRule="exact"/>
        <w:rPr>
          <w:sz w:val="20"/>
          <w:szCs w:val="20"/>
          <w:color w:val="auto"/>
        </w:rPr>
      </w:pPr>
    </w:p>
    <w:p>
      <w:pPr>
        <w:ind w:left="820" w:right="20"/>
        <w:spacing w:after="0" w:line="241" w:lineRule="auto"/>
        <w:rPr>
          <w:sz w:val="20"/>
          <w:szCs w:val="20"/>
          <w:color w:val="auto"/>
        </w:rPr>
      </w:pPr>
      <w:r>
        <w:rPr>
          <w:rFonts w:ascii="Arial" w:cs="Arial" w:eastAsia="Arial" w:hAnsi="Arial"/>
          <w:sz w:val="18"/>
          <w:szCs w:val="18"/>
          <w:color w:val="333333"/>
        </w:rPr>
        <w:t>We believe that several design features of our executive compensation program mitigate risk. We set base salaries at levels that provide our employees with assured cash compensation that is appropriate to their job duties and level of responsibility and that, when taken together with incentive awards, motivate them to perform at a high level without encouraging inappropriate risk-taking to achieve a reasonable level of secure compensation.</w:t>
      </w:r>
    </w:p>
    <w:p>
      <w:pPr>
        <w:spacing w:after="0" w:line="154" w:lineRule="exact"/>
        <w:rPr>
          <w:sz w:val="20"/>
          <w:szCs w:val="20"/>
          <w:color w:val="auto"/>
        </w:rPr>
      </w:pPr>
    </w:p>
    <w:p>
      <w:pPr>
        <w:ind w:left="820" w:right="20"/>
        <w:spacing w:after="0" w:line="233" w:lineRule="auto"/>
        <w:rPr>
          <w:sz w:val="20"/>
          <w:szCs w:val="20"/>
          <w:color w:val="auto"/>
        </w:rPr>
      </w:pPr>
      <w:r>
        <w:rPr>
          <w:rFonts w:ascii="Arial" w:cs="Arial" w:eastAsia="Arial" w:hAnsi="Arial"/>
          <w:sz w:val="18"/>
          <w:szCs w:val="18"/>
          <w:color w:val="333333"/>
        </w:rPr>
        <w:t>With respect to our executives' incentive opportunities, we believe that our use of measurable corporate financial performance goals, multiple performance levels and minimum, target and maximum achievable payouts, together with the compensation committee's discretion to reduce awards, serve to mitigate excessive risk-taking. The risk of overstatement of financial figures to which incentives are tied is mitigated by the compensation committee's review and approval of the awards and payments under the awards, our ability to recover any incentive-based compensation pursuant to our clawback policy and the internal and external review of our financials. We also believe that our use of restricted stock and multi-year vesting schedules in our long-term incentive awards encourages recipients to deliver incremental value to our shareholders and aligns their interests with our sustainable long-term performance, thereby mitigating risk. In addition, we have market competitive stock ownership requirements for some executives and we include stock retention requirements in our executives' restricted stock awards, both of which help to align our executives' interests with our long-term performance and mitigate risk.</w:t>
      </w:r>
    </w:p>
    <w:p>
      <w:pPr>
        <w:spacing w:after="0" w:line="156" w:lineRule="exact"/>
        <w:rPr>
          <w:sz w:val="20"/>
          <w:szCs w:val="20"/>
          <w:color w:val="auto"/>
        </w:rPr>
      </w:pPr>
    </w:p>
    <w:p>
      <w:pPr>
        <w:ind w:left="820"/>
        <w:spacing w:after="0" w:line="236" w:lineRule="auto"/>
        <w:rPr>
          <w:sz w:val="20"/>
          <w:szCs w:val="20"/>
          <w:color w:val="auto"/>
        </w:rPr>
      </w:pPr>
      <w:r>
        <w:rPr>
          <w:rFonts w:ascii="Arial" w:cs="Arial" w:eastAsia="Arial" w:hAnsi="Arial"/>
          <w:sz w:val="18"/>
          <w:szCs w:val="18"/>
          <w:color w:val="333333"/>
        </w:rPr>
        <w:t>With respect to our non-officer incentive program, we believe that our use of clearly communicated performance goals and close monitoring by our corporate accounting group, corporate underwriting group and senior management serve to mitigate excessive risk-taking. Our sales commission incentive program is based on revenue generation, which is critical to our performance. We have controls in place that mitigate the risk that transactions might be recommended or executed to earn short-term, commission-based incentive compensation, including operational management oversight and approval, management reporting, and detailed underwriting guidelines and approval escalation.</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586D94"/>
        </w:rPr>
        <w:t>CEO PAY RATIO</w:t>
      </w:r>
    </w:p>
    <w:p>
      <w:pPr>
        <w:spacing w:after="0" w:line="230" w:lineRule="exact"/>
        <w:rPr>
          <w:sz w:val="20"/>
          <w:szCs w:val="20"/>
          <w:color w:val="auto"/>
        </w:rPr>
      </w:pPr>
    </w:p>
    <w:p>
      <w:pPr>
        <w:jc w:val="both"/>
        <w:ind w:left="820" w:right="20"/>
        <w:spacing w:after="0" w:line="241" w:lineRule="auto"/>
        <w:rPr>
          <w:sz w:val="20"/>
          <w:szCs w:val="20"/>
          <w:color w:val="auto"/>
        </w:rPr>
      </w:pPr>
      <w:r>
        <w:rPr>
          <w:rFonts w:ascii="Arial" w:cs="Arial" w:eastAsia="Arial" w:hAnsi="Arial"/>
          <w:sz w:val="18"/>
          <w:szCs w:val="18"/>
          <w:color w:val="333333"/>
        </w:rPr>
        <w:t>As required by the Dodd-Frank Wall Street Reform and Consumer Protection Act, we are providing the following information about the relationship of the annual total compensation of our CEO and the annual total compensation of our employees for 2025, which we refer to as the CEO pay ratio. Our CEO pay ratio information is a reasonable good faith estimate calculated in a manner consistent with Item 402(u) of Regulation S-K.</w:t>
      </w:r>
    </w:p>
    <w:p>
      <w:pPr>
        <w:spacing w:after="0" w:line="179" w:lineRule="exact"/>
        <w:rPr>
          <w:sz w:val="20"/>
          <w:szCs w:val="20"/>
          <w:color w:val="auto"/>
        </w:rPr>
      </w:pPr>
    </w:p>
    <w:p>
      <w:pPr>
        <w:ind w:left="820" w:right="360"/>
        <w:spacing w:after="0" w:line="266" w:lineRule="auto"/>
        <w:rPr>
          <w:sz w:val="20"/>
          <w:szCs w:val="20"/>
          <w:color w:val="auto"/>
        </w:rPr>
      </w:pPr>
      <w:r>
        <w:rPr>
          <w:rFonts w:ascii="Arial" w:cs="Arial" w:eastAsia="Arial" w:hAnsi="Arial"/>
          <w:sz w:val="18"/>
          <w:szCs w:val="18"/>
          <w:color w:val="333333"/>
        </w:rPr>
        <w:t>The ratio of the annual total compensation of our CEO, calculated as described above, to the median of the annual total compensation of all employees for 2025 was 137 to 1. This ratio was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113665</wp:posOffset>
            </wp:positionV>
            <wp:extent cx="7144385" cy="305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4385" cy="305435"/>
                    </a:xfrm>
                    <a:prstGeom prst="rect">
                      <a:avLst/>
                    </a:prstGeom>
                    <a:noFill/>
                  </pic:spPr>
                </pic:pic>
              </a:graphicData>
            </a:graphic>
          </wp:anchor>
        </w:drawing>
      </w:r>
    </w:p>
    <w:p>
      <w:pPr>
        <w:spacing w:after="0" w:line="261"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FFFFFF"/>
        </w:rPr>
        <w:t>67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132715</wp:posOffset>
            </wp:positionV>
            <wp:extent cx="7144385" cy="172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554990</wp:posOffset>
            </wp:positionV>
            <wp:extent cx="71443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720"/>
          </w:cols>
          <w:pgMar w:left="680" w:top="828" w:right="499" w:bottom="1440" w:gutter="0" w:footer="0" w:header="0"/>
        </w:sectPr>
      </w:pPr>
    </w:p>
    <w:bookmarkStart w:id="71" w:name="page72"/>
    <w:bookmarkEnd w:id="71"/>
    <w:p>
      <w:pPr>
        <w:ind w:left="1820" w:hanging="293"/>
        <w:spacing w:after="0"/>
        <w:tabs>
          <w:tab w:leader="none" w:pos="1820" w:val="left"/>
        </w:tabs>
        <w:numPr>
          <w:ilvl w:val="0"/>
          <w:numId w:val="62"/>
        </w:numPr>
        <w:rPr>
          <w:rFonts w:ascii="Arial" w:cs="Arial" w:eastAsia="Arial" w:hAnsi="Arial"/>
          <w:sz w:val="18"/>
          <w:szCs w:val="18"/>
          <w:color w:val="58595B"/>
        </w:rPr>
      </w:pPr>
      <w:r>
        <w:rPr>
          <w:rFonts w:ascii="Arial" w:cs="Arial" w:eastAsia="Arial" w:hAnsi="Arial"/>
          <w:sz w:val="18"/>
          <w:szCs w:val="18"/>
          <w:color w:val="58595B"/>
        </w:rPr>
        <w:t>The annual total compensation of our CEO, determined as described above, was $11,646,893; and</w:t>
      </w:r>
    </w:p>
    <w:p>
      <w:pPr>
        <w:spacing w:after="0" w:line="187" w:lineRule="exact"/>
        <w:rPr>
          <w:rFonts w:ascii="Arial" w:cs="Arial" w:eastAsia="Arial" w:hAnsi="Arial"/>
          <w:sz w:val="18"/>
          <w:szCs w:val="18"/>
          <w:color w:val="58595B"/>
        </w:rPr>
      </w:pPr>
    </w:p>
    <w:p>
      <w:pPr>
        <w:ind w:left="1820" w:right="100" w:hanging="293"/>
        <w:spacing w:after="0" w:line="266" w:lineRule="auto"/>
        <w:tabs>
          <w:tab w:leader="none" w:pos="1820" w:val="left"/>
        </w:tabs>
        <w:numPr>
          <w:ilvl w:val="0"/>
          <w:numId w:val="62"/>
        </w:numPr>
        <w:rPr>
          <w:rFonts w:ascii="Arial" w:cs="Arial" w:eastAsia="Arial" w:hAnsi="Arial"/>
          <w:sz w:val="18"/>
          <w:szCs w:val="18"/>
          <w:color w:val="58595B"/>
        </w:rPr>
      </w:pPr>
      <w:r>
        <w:rPr>
          <w:rFonts w:ascii="Arial" w:cs="Arial" w:eastAsia="Arial" w:hAnsi="Arial"/>
          <w:sz w:val="18"/>
          <w:szCs w:val="18"/>
          <w:color w:val="58595B"/>
        </w:rPr>
        <w:t>The median of the annual total compensation of all employees (other than our CEO), determined in accordance with SEC rules, was $84,796.</w:t>
      </w:r>
    </w:p>
    <w:p>
      <w:pPr>
        <w:spacing w:after="0" w:line="165" w:lineRule="exact"/>
        <w:rPr>
          <w:sz w:val="20"/>
          <w:szCs w:val="20"/>
          <w:color w:val="auto"/>
        </w:rPr>
      </w:pPr>
    </w:p>
    <w:p>
      <w:pPr>
        <w:ind w:left="1180" w:right="240"/>
        <w:spacing w:after="0" w:line="250" w:lineRule="auto"/>
        <w:rPr>
          <w:sz w:val="20"/>
          <w:szCs w:val="20"/>
          <w:color w:val="auto"/>
        </w:rPr>
      </w:pPr>
      <w:r>
        <w:rPr>
          <w:rFonts w:ascii="Arial" w:cs="Arial" w:eastAsia="Arial" w:hAnsi="Arial"/>
          <w:sz w:val="17"/>
          <w:szCs w:val="17"/>
          <w:b w:val="1"/>
          <w:bCs w:val="1"/>
          <w:color w:val="062A5D"/>
        </w:rPr>
        <w:t xml:space="preserve">Methodology for Determining Our Median Employee. </w:t>
      </w:r>
      <w:r>
        <w:rPr>
          <w:rFonts w:ascii="Arial" w:cs="Arial" w:eastAsia="Arial" w:hAnsi="Arial"/>
          <w:sz w:val="17"/>
          <w:szCs w:val="17"/>
          <w:color w:val="58595B"/>
        </w:rPr>
        <w:t>For purposes of the above CEO pay ratio disclosure, we are required to</w:t>
      </w:r>
      <w:r>
        <w:rPr>
          <w:rFonts w:ascii="Arial" w:cs="Arial" w:eastAsia="Arial" w:hAnsi="Arial"/>
          <w:sz w:val="17"/>
          <w:szCs w:val="17"/>
          <w:b w:val="1"/>
          <w:bCs w:val="1"/>
          <w:color w:val="062A5D"/>
        </w:rPr>
        <w:t xml:space="preserve"> </w:t>
      </w:r>
      <w:r>
        <w:rPr>
          <w:rFonts w:ascii="Arial" w:cs="Arial" w:eastAsia="Arial" w:hAnsi="Arial"/>
          <w:sz w:val="17"/>
          <w:szCs w:val="17"/>
          <w:color w:val="58595B"/>
        </w:rPr>
        <w:t>identify a median employee based on our worldwide workforce, without regard to their location, compensation arrangements, or employment status (full-time versus part-time). The median employee is determined by identifying the employee whose compensation is at the median of the compensation of our employee population (other than our CEO). Accordingly, to identify the median of the compensation of our employee population, the methodology and the material assumptions and estimates that we used were as follows:</w:t>
      </w:r>
    </w:p>
    <w:p>
      <w:pPr>
        <w:spacing w:after="0" w:line="176" w:lineRule="exact"/>
        <w:rPr>
          <w:sz w:val="20"/>
          <w:szCs w:val="20"/>
          <w:color w:val="auto"/>
        </w:rPr>
      </w:pPr>
    </w:p>
    <w:p>
      <w:pPr>
        <w:ind w:left="1180" w:right="20"/>
        <w:spacing w:after="0" w:line="266" w:lineRule="auto"/>
        <w:rPr>
          <w:sz w:val="20"/>
          <w:szCs w:val="20"/>
          <w:color w:val="auto"/>
        </w:rPr>
      </w:pPr>
      <w:r>
        <w:rPr>
          <w:rFonts w:ascii="Arial" w:cs="Arial" w:eastAsia="Arial" w:hAnsi="Arial"/>
          <w:sz w:val="18"/>
          <w:szCs w:val="18"/>
          <w:b w:val="1"/>
          <w:bCs w:val="1"/>
          <w:color w:val="062A5D"/>
        </w:rPr>
        <w:t xml:space="preserve">Employee Population. </w:t>
      </w:r>
      <w:r>
        <w:rPr>
          <w:rFonts w:ascii="Arial" w:cs="Arial" w:eastAsia="Arial" w:hAnsi="Arial"/>
          <w:sz w:val="18"/>
          <w:szCs w:val="18"/>
          <w:color w:val="58595B"/>
        </w:rPr>
        <w:t>We determined that, as of December 31, 2023, the date we selected to identify the median employee,</w:t>
      </w:r>
      <w:r>
        <w:rPr>
          <w:rFonts w:ascii="Arial" w:cs="Arial" w:eastAsia="Arial" w:hAnsi="Arial"/>
          <w:sz w:val="18"/>
          <w:szCs w:val="18"/>
          <w:b w:val="1"/>
          <w:bCs w:val="1"/>
          <w:color w:val="062A5D"/>
        </w:rPr>
        <w:t xml:space="preserve"> </w:t>
      </w:r>
      <w:r>
        <w:rPr>
          <w:rFonts w:ascii="Arial" w:cs="Arial" w:eastAsia="Arial" w:hAnsi="Arial"/>
          <w:sz w:val="18"/>
          <w:szCs w:val="18"/>
          <w:color w:val="58595B"/>
        </w:rPr>
        <w:t>our total global employee population consisted of approximately 22,000 individuals working for FNF.</w:t>
      </w:r>
    </w:p>
    <w:p>
      <w:pPr>
        <w:spacing w:after="0" w:line="157" w:lineRule="exact"/>
        <w:rPr>
          <w:sz w:val="20"/>
          <w:szCs w:val="20"/>
          <w:color w:val="auto"/>
        </w:rPr>
      </w:pPr>
    </w:p>
    <w:p>
      <w:pPr>
        <w:ind w:left="1180"/>
        <w:spacing w:after="0" w:line="238" w:lineRule="auto"/>
        <w:rPr>
          <w:sz w:val="20"/>
          <w:szCs w:val="20"/>
          <w:color w:val="auto"/>
        </w:rPr>
      </w:pPr>
      <w:r>
        <w:rPr>
          <w:rFonts w:ascii="Arial" w:cs="Arial" w:eastAsia="Arial" w:hAnsi="Arial"/>
          <w:sz w:val="18"/>
          <w:szCs w:val="18"/>
          <w:b w:val="1"/>
          <w:bCs w:val="1"/>
          <w:color w:val="062A5D"/>
        </w:rPr>
        <w:t xml:space="preserve">Compensation Measure Used to Identify the Median Employee. </w:t>
      </w:r>
      <w:r>
        <w:rPr>
          <w:rFonts w:ascii="Arial" w:cs="Arial" w:eastAsia="Arial" w:hAnsi="Arial"/>
          <w:sz w:val="18"/>
          <w:szCs w:val="18"/>
          <w:color w:val="58595B"/>
        </w:rPr>
        <w:t>Given the geographical distribution of our employee</w:t>
      </w:r>
      <w:r>
        <w:rPr>
          <w:rFonts w:ascii="Arial" w:cs="Arial" w:eastAsia="Arial" w:hAnsi="Arial"/>
          <w:sz w:val="18"/>
          <w:szCs w:val="18"/>
          <w:b w:val="1"/>
          <w:bCs w:val="1"/>
          <w:color w:val="062A5D"/>
        </w:rPr>
        <w:t xml:space="preserve"> </w:t>
      </w:r>
      <w:r>
        <w:rPr>
          <w:rFonts w:ascii="Arial" w:cs="Arial" w:eastAsia="Arial" w:hAnsi="Arial"/>
          <w:sz w:val="18"/>
          <w:szCs w:val="18"/>
          <w:color w:val="58595B"/>
        </w:rPr>
        <w:t>population, we use a variety of pay elements to structure the compensation arrangements of our employees. Consequently, for purposes of measuring the compensation of our employees to identify the median employee, rather than using annual total compensation, we selected base salary/wages and overtime pay, plus paid incentive bonus through December 31, 2023 as the compensation measure.</w:t>
      </w:r>
    </w:p>
    <w:p>
      <w:pPr>
        <w:spacing w:after="0" w:line="181" w:lineRule="exact"/>
        <w:rPr>
          <w:sz w:val="20"/>
          <w:szCs w:val="20"/>
          <w:color w:val="auto"/>
        </w:rPr>
      </w:pPr>
    </w:p>
    <w:p>
      <w:pPr>
        <w:jc w:val="both"/>
        <w:ind w:left="1820" w:right="120" w:hanging="293"/>
        <w:spacing w:after="0" w:line="247" w:lineRule="auto"/>
        <w:tabs>
          <w:tab w:leader="none" w:pos="1820" w:val="left"/>
        </w:tabs>
        <w:numPr>
          <w:ilvl w:val="0"/>
          <w:numId w:val="63"/>
        </w:numPr>
        <w:rPr>
          <w:rFonts w:ascii="Arial" w:cs="Arial" w:eastAsia="Arial" w:hAnsi="Arial"/>
          <w:sz w:val="18"/>
          <w:szCs w:val="18"/>
          <w:color w:val="58595B"/>
        </w:rPr>
      </w:pPr>
      <w:r>
        <w:rPr>
          <w:rFonts w:ascii="Arial" w:cs="Arial" w:eastAsia="Arial" w:hAnsi="Arial"/>
          <w:sz w:val="18"/>
          <w:szCs w:val="18"/>
          <w:color w:val="58595B"/>
        </w:rPr>
        <w:t>We annualized the compensation of employees to cover the full calendar year and annualized any new hires in 2023 as if they were hired at the beginning of the fiscal year, as permitted by SEC rules, in identifying the median employee.</w:t>
      </w:r>
    </w:p>
    <w:p>
      <w:pPr>
        <w:spacing w:after="0" w:line="149" w:lineRule="exact"/>
        <w:rPr>
          <w:rFonts w:ascii="Arial" w:cs="Arial" w:eastAsia="Arial" w:hAnsi="Arial"/>
          <w:sz w:val="18"/>
          <w:szCs w:val="18"/>
          <w:color w:val="58595B"/>
        </w:rPr>
      </w:pPr>
    </w:p>
    <w:p>
      <w:pPr>
        <w:ind w:left="1820" w:hanging="293"/>
        <w:spacing w:after="0"/>
        <w:tabs>
          <w:tab w:leader="none" w:pos="1820" w:val="left"/>
        </w:tabs>
        <w:numPr>
          <w:ilvl w:val="0"/>
          <w:numId w:val="63"/>
        </w:numPr>
        <w:rPr>
          <w:rFonts w:ascii="Arial" w:cs="Arial" w:eastAsia="Arial" w:hAnsi="Arial"/>
          <w:sz w:val="18"/>
          <w:szCs w:val="18"/>
          <w:color w:val="58595B"/>
        </w:rPr>
      </w:pPr>
      <w:r>
        <w:rPr>
          <w:rFonts w:ascii="Arial" w:cs="Arial" w:eastAsia="Arial" w:hAnsi="Arial"/>
          <w:sz w:val="18"/>
          <w:szCs w:val="18"/>
          <w:color w:val="58595B"/>
        </w:rPr>
        <w:t>We did not make any cost-of-living adjustments in identifying the median employee.</w:t>
      </w:r>
    </w:p>
    <w:p>
      <w:pPr>
        <w:spacing w:after="0" w:line="212" w:lineRule="exact"/>
        <w:rPr>
          <w:sz w:val="20"/>
          <w:szCs w:val="20"/>
          <w:color w:val="auto"/>
        </w:rPr>
      </w:pPr>
    </w:p>
    <w:p>
      <w:pPr>
        <w:jc w:val="both"/>
        <w:ind w:left="1180" w:right="200"/>
        <w:spacing w:after="0" w:line="247" w:lineRule="auto"/>
        <w:rPr>
          <w:sz w:val="20"/>
          <w:szCs w:val="20"/>
          <w:color w:val="auto"/>
        </w:rPr>
      </w:pPr>
      <w:r>
        <w:rPr>
          <w:rFonts w:ascii="Arial" w:cs="Arial" w:eastAsia="Arial" w:hAnsi="Arial"/>
          <w:sz w:val="18"/>
          <w:szCs w:val="18"/>
          <w:b w:val="1"/>
          <w:bCs w:val="1"/>
          <w:color w:val="062A5D"/>
        </w:rPr>
        <w:t xml:space="preserve">Annual Total Compensation of Median Employee. </w:t>
      </w:r>
      <w:r>
        <w:rPr>
          <w:rFonts w:ascii="Arial" w:cs="Arial" w:eastAsia="Arial" w:hAnsi="Arial"/>
          <w:sz w:val="18"/>
          <w:szCs w:val="18"/>
          <w:color w:val="58595B"/>
        </w:rPr>
        <w:t>To determine the annual total compensation of the median employee,</w:t>
      </w:r>
      <w:r>
        <w:rPr>
          <w:rFonts w:ascii="Arial" w:cs="Arial" w:eastAsia="Arial" w:hAnsi="Arial"/>
          <w:sz w:val="18"/>
          <w:szCs w:val="18"/>
          <w:b w:val="1"/>
          <w:bCs w:val="1"/>
          <w:color w:val="062A5D"/>
        </w:rPr>
        <w:t xml:space="preserve"> </w:t>
      </w:r>
      <w:r>
        <w:rPr>
          <w:rFonts w:ascii="Arial" w:cs="Arial" w:eastAsia="Arial" w:hAnsi="Arial"/>
          <w:sz w:val="18"/>
          <w:szCs w:val="18"/>
          <w:color w:val="58595B"/>
        </w:rPr>
        <w:t>we identified and calculated the elements of that employee's compensation for 2025 in accordance with the requirements of Item 402(c)(2)(x) of Regulation S-K, resulting in annual total compensation in the amount of $84,796.</w:t>
      </w:r>
    </w:p>
    <w:p>
      <w:pPr>
        <w:spacing w:after="0" w:line="174" w:lineRule="exact"/>
        <w:rPr>
          <w:sz w:val="20"/>
          <w:szCs w:val="20"/>
          <w:color w:val="auto"/>
        </w:rPr>
      </w:pPr>
    </w:p>
    <w:p>
      <w:pPr>
        <w:ind w:left="1180" w:right="360"/>
        <w:spacing w:after="0" w:line="247" w:lineRule="auto"/>
        <w:rPr>
          <w:sz w:val="20"/>
          <w:szCs w:val="20"/>
          <w:color w:val="auto"/>
        </w:rPr>
      </w:pPr>
      <w:r>
        <w:rPr>
          <w:rFonts w:ascii="Arial" w:cs="Arial" w:eastAsia="Arial" w:hAnsi="Arial"/>
          <w:sz w:val="18"/>
          <w:szCs w:val="18"/>
          <w:b w:val="1"/>
          <w:bCs w:val="1"/>
          <w:color w:val="062A5D"/>
        </w:rPr>
        <w:t xml:space="preserve">Annual Total Compensation of Chief Executive Officer. </w:t>
      </w:r>
      <w:r>
        <w:rPr>
          <w:rFonts w:ascii="Arial" w:cs="Arial" w:eastAsia="Arial" w:hAnsi="Arial"/>
          <w:sz w:val="18"/>
          <w:szCs w:val="18"/>
          <w:color w:val="58595B"/>
        </w:rPr>
        <w:t>With respect to the annual total compensation of our CEO, in</w:t>
      </w:r>
      <w:r>
        <w:rPr>
          <w:rFonts w:ascii="Arial" w:cs="Arial" w:eastAsia="Arial" w:hAnsi="Arial"/>
          <w:sz w:val="18"/>
          <w:szCs w:val="18"/>
          <w:b w:val="1"/>
          <w:bCs w:val="1"/>
          <w:color w:val="062A5D"/>
        </w:rPr>
        <w:t xml:space="preserve"> </w:t>
      </w:r>
      <w:r>
        <w:rPr>
          <w:rFonts w:ascii="Arial" w:cs="Arial" w:eastAsia="Arial" w:hAnsi="Arial"/>
          <w:sz w:val="18"/>
          <w:szCs w:val="18"/>
          <w:color w:val="58595B"/>
        </w:rPr>
        <w:t>accordance with SEC rules, we included the amount reported for Mr. Nolan in the "Total" column for 2025 in the Summary Compensation Table included in this proxy statement.</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PAY VERSUS PERFORMANCE</w:t>
      </w:r>
    </w:p>
    <w:p>
      <w:pPr>
        <w:spacing w:after="0" w:line="228" w:lineRule="exact"/>
        <w:rPr>
          <w:sz w:val="20"/>
          <w:szCs w:val="20"/>
          <w:color w:val="auto"/>
        </w:rPr>
      </w:pPr>
    </w:p>
    <w:p>
      <w:pPr>
        <w:jc w:val="both"/>
        <w:ind w:left="1180" w:right="180"/>
        <w:spacing w:after="0" w:line="254" w:lineRule="auto"/>
        <w:rPr>
          <w:sz w:val="20"/>
          <w:szCs w:val="20"/>
          <w:color w:val="auto"/>
        </w:rPr>
      </w:pPr>
      <w:r>
        <w:rPr>
          <w:rFonts w:ascii="Arial" w:cs="Arial" w:eastAsia="Arial" w:hAnsi="Arial"/>
          <w:sz w:val="17"/>
          <w:szCs w:val="17"/>
          <w:color w:val="58595B"/>
        </w:rPr>
        <w:t>As required by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"Executive Compensation – Compensation Discussion and Analysis."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68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5" w:right="3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6728460</wp:posOffset>
            </wp:positionH>
            <wp:positionV relativeFrom="page">
              <wp:posOffset>542925</wp:posOffset>
            </wp:positionV>
            <wp:extent cx="7620" cy="16275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6227445</wp:posOffset>
            </wp:positionH>
            <wp:positionV relativeFrom="page">
              <wp:posOffset>542925</wp:posOffset>
            </wp:positionV>
            <wp:extent cx="7620" cy="16275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542925</wp:posOffset>
            </wp:positionV>
            <wp:extent cx="7620" cy="1627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4662805</wp:posOffset>
            </wp:positionH>
            <wp:positionV relativeFrom="page">
              <wp:posOffset>542925</wp:posOffset>
            </wp:positionV>
            <wp:extent cx="7620" cy="16275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4161790</wp:posOffset>
            </wp:positionH>
            <wp:positionV relativeFrom="page">
              <wp:posOffset>542925</wp:posOffset>
            </wp:positionV>
            <wp:extent cx="7620" cy="16275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3535680</wp:posOffset>
            </wp:positionH>
            <wp:positionV relativeFrom="page">
              <wp:posOffset>542925</wp:posOffset>
            </wp:positionV>
            <wp:extent cx="7620" cy="16275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3034665</wp:posOffset>
            </wp:positionH>
            <wp:positionV relativeFrom="page">
              <wp:posOffset>542925</wp:posOffset>
            </wp:positionV>
            <wp:extent cx="7620" cy="16275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2534285</wp:posOffset>
            </wp:positionH>
            <wp:positionV relativeFrom="page">
              <wp:posOffset>542925</wp:posOffset>
            </wp:positionV>
            <wp:extent cx="7620" cy="16275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20" cy="1627505"/>
                    </a:xfrm>
                    <a:prstGeom prst="rect">
                      <a:avLst/>
                    </a:prstGeom>
                    <a:noFill/>
                  </pic:spPr>
                </pic:pic>
              </a:graphicData>
            </a:graphic>
          </wp:anchor>
        </w:drawing>
        <w:drawing>
          <wp:anchor simplePos="0" relativeHeight="251657728" behindDoc="1" locked="0" layoutInCell="0" allowOverlap="1">
            <wp:simplePos x="0" y="0"/>
            <wp:positionH relativeFrom="page">
              <wp:posOffset>1274445</wp:posOffset>
            </wp:positionH>
            <wp:positionV relativeFrom="page">
              <wp:posOffset>542925</wp:posOffset>
            </wp:positionV>
            <wp:extent cx="7620" cy="16275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 cy="1627505"/>
                    </a:xfrm>
                    <a:prstGeom prst="rect">
                      <a:avLst/>
                    </a:prstGeom>
                    <a:noFill/>
                  </pic:spPr>
                </pic:pic>
              </a:graphicData>
            </a:graphic>
          </wp:anchor>
        </w:drawing>
      </w:r>
    </w:p>
    <w:tbl>
      <w:tblPr>
        <w:tblLayout w:type="fixed"/>
        <w:tblInd w:w="630" w:type="dxa"/>
        <w:tblCellMar>
          <w:top w:w="0" w:type="dxa"/>
          <w:left w:w="0" w:type="dxa"/>
          <w:bottom w:w="0" w:type="dxa"/>
          <w:right w:w="0" w:type="dxa"/>
        </w:tblCellMar>
      </w:tblPr>
      <w:tr>
        <w:trPr>
          <w:trHeight w:val="234"/>
        </w:trPr>
        <w:tc>
          <w:tcPr>
            <w:tcW w:w="520" w:type="dxa"/>
            <w:vAlign w:val="bottom"/>
            <w:tcBorders>
              <w:left w:val="single" w:sz="8" w:color="58595B"/>
              <w:right w:val="single" w:sz="8" w:color="254F79"/>
            </w:tcBorders>
            <w:shd w:val="clear" w:color="auto" w:fill="254F79"/>
          </w:tcPr>
          <w:p>
            <w:pPr>
              <w:spacing w:after="0"/>
              <w:rPr>
                <w:sz w:val="20"/>
                <w:szCs w:val="20"/>
                <w:color w:val="auto"/>
              </w:rPr>
            </w:pPr>
          </w:p>
        </w:tc>
        <w:tc>
          <w:tcPr>
            <w:tcW w:w="2000" w:type="dxa"/>
            <w:vAlign w:val="bottom"/>
            <w:tcBorders>
              <w:right w:val="single" w:sz="8" w:color="254F79"/>
            </w:tcBorders>
            <w:shd w:val="clear" w:color="auto" w:fill="254F79"/>
          </w:tcPr>
          <w:p>
            <w:pPr>
              <w:spacing w:after="0"/>
              <w:rPr>
                <w:sz w:val="20"/>
                <w:szCs w:val="20"/>
                <w:color w:val="auto"/>
              </w:rPr>
            </w:pPr>
          </w:p>
        </w:tc>
        <w:tc>
          <w:tcPr>
            <w:tcW w:w="780" w:type="dxa"/>
            <w:vAlign w:val="bottom"/>
            <w:tcBorders>
              <w:right w:val="single" w:sz="8" w:color="254F79"/>
            </w:tcBorders>
            <w:shd w:val="clear" w:color="auto" w:fill="254F79"/>
          </w:tcPr>
          <w:p>
            <w:pPr>
              <w:spacing w:after="0"/>
              <w:rPr>
                <w:sz w:val="20"/>
                <w:szCs w:val="20"/>
                <w:color w:val="auto"/>
              </w:rPr>
            </w:pPr>
          </w:p>
        </w:tc>
        <w:tc>
          <w:tcPr>
            <w:tcW w:w="780" w:type="dxa"/>
            <w:vAlign w:val="bottom"/>
            <w:tcBorders>
              <w:right w:val="single" w:sz="8" w:color="254F79"/>
            </w:tcBorders>
            <w:shd w:val="clear" w:color="auto" w:fill="254F79"/>
          </w:tcPr>
          <w:p>
            <w:pPr>
              <w:spacing w:after="0"/>
              <w:rPr>
                <w:sz w:val="20"/>
                <w:szCs w:val="20"/>
                <w:color w:val="auto"/>
              </w:rPr>
            </w:pPr>
          </w:p>
        </w:tc>
        <w:tc>
          <w:tcPr>
            <w:tcW w:w="1000" w:type="dxa"/>
            <w:vAlign w:val="bottom"/>
            <w:tcBorders>
              <w:right w:val="single" w:sz="8" w:color="254F79"/>
            </w:tcBorders>
            <w:shd w:val="clear" w:color="auto" w:fill="254F79"/>
          </w:tcPr>
          <w:p>
            <w:pPr>
              <w:spacing w:after="0"/>
              <w:rPr>
                <w:sz w:val="20"/>
                <w:szCs w:val="20"/>
                <w:color w:val="auto"/>
              </w:rPr>
            </w:pPr>
          </w:p>
        </w:tc>
        <w:tc>
          <w:tcPr>
            <w:tcW w:w="780" w:type="dxa"/>
            <w:vAlign w:val="bottom"/>
            <w:tcBorders>
              <w:right w:val="single" w:sz="8" w:color="254F79"/>
            </w:tcBorders>
            <w:shd w:val="clear" w:color="auto" w:fill="254F79"/>
          </w:tcPr>
          <w:p>
            <w:pPr>
              <w:spacing w:after="0"/>
              <w:rPr>
                <w:sz w:val="20"/>
                <w:szCs w:val="20"/>
                <w:color w:val="auto"/>
              </w:rPr>
            </w:pPr>
          </w:p>
        </w:tc>
        <w:tc>
          <w:tcPr>
            <w:tcW w:w="800" w:type="dxa"/>
            <w:vAlign w:val="bottom"/>
            <w:tcBorders>
              <w:right w:val="single" w:sz="8" w:color="254F79"/>
            </w:tcBorders>
            <w:shd w:val="clear" w:color="auto" w:fill="254F79"/>
          </w:tcPr>
          <w:p>
            <w:pPr>
              <w:spacing w:after="0"/>
              <w:rPr>
                <w:sz w:val="20"/>
                <w:szCs w:val="20"/>
                <w:color w:val="auto"/>
              </w:rPr>
            </w:pPr>
          </w:p>
        </w:tc>
        <w:tc>
          <w:tcPr>
            <w:tcW w:w="60" w:type="dxa"/>
            <w:vAlign w:val="bottom"/>
            <w:shd w:val="clear" w:color="auto" w:fill="254F79"/>
          </w:tcPr>
          <w:p>
            <w:pPr>
              <w:spacing w:after="0"/>
              <w:rPr>
                <w:sz w:val="20"/>
                <w:szCs w:val="20"/>
                <w:color w:val="auto"/>
              </w:rPr>
            </w:pPr>
          </w:p>
        </w:tc>
        <w:tc>
          <w:tcPr>
            <w:tcW w:w="1600" w:type="dxa"/>
            <w:vAlign w:val="bottom"/>
            <w:tcBorders>
              <w:right w:val="single" w:sz="8" w:color="254F79"/>
            </w:tcBorders>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Value of Initial Fixed</w:t>
            </w:r>
          </w:p>
        </w:tc>
        <w:tc>
          <w:tcPr>
            <w:tcW w:w="800" w:type="dxa"/>
            <w:vAlign w:val="bottom"/>
            <w:tcBorders>
              <w:right w:val="single" w:sz="8" w:color="254F79"/>
            </w:tcBorders>
            <w:shd w:val="clear" w:color="auto" w:fill="254F79"/>
          </w:tcPr>
          <w:p>
            <w:pPr>
              <w:spacing w:after="0"/>
              <w:rPr>
                <w:sz w:val="20"/>
                <w:szCs w:val="20"/>
                <w:color w:val="auto"/>
              </w:rPr>
            </w:pPr>
          </w:p>
        </w:tc>
        <w:tc>
          <w:tcPr>
            <w:tcW w:w="780" w:type="dxa"/>
            <w:vAlign w:val="bottom"/>
            <w:tcBorders>
              <w:right w:val="single" w:sz="8" w:color="58595B"/>
            </w:tcBorders>
            <w:shd w:val="clear" w:color="auto" w:fill="254F79"/>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10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800" w:type="dxa"/>
            <w:vAlign w:val="bottom"/>
            <w:tcBorders>
              <w:right w:val="single" w:sz="8" w:color="254F79"/>
            </w:tcBorders>
            <w:shd w:val="clear" w:color="auto" w:fill="254F79"/>
          </w:tcPr>
          <w:p>
            <w:pPr>
              <w:spacing w:after="0"/>
              <w:rPr>
                <w:sz w:val="19"/>
                <w:szCs w:val="19"/>
                <w:color w:val="auto"/>
              </w:rPr>
            </w:pPr>
          </w:p>
        </w:tc>
        <w:tc>
          <w:tcPr>
            <w:tcW w:w="60" w:type="dxa"/>
            <w:vAlign w:val="bottom"/>
            <w:shd w:val="clear" w:color="auto" w:fill="254F79"/>
          </w:tcPr>
          <w:p>
            <w:pPr>
              <w:spacing w:after="0"/>
              <w:rPr>
                <w:sz w:val="19"/>
                <w:szCs w:val="19"/>
                <w:color w:val="auto"/>
              </w:rPr>
            </w:pPr>
          </w:p>
        </w:tc>
        <w:tc>
          <w:tcPr>
            <w:tcW w:w="1600" w:type="dxa"/>
            <w:vAlign w:val="bottom"/>
            <w:tcBorders>
              <w:right w:val="single" w:sz="8" w:color="254F79"/>
            </w:tcBorders>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$100 Investment</w:t>
            </w: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0" w:type="dxa"/>
            <w:vAlign w:val="bottom"/>
            <w:tcBorders>
              <w:left w:val="single" w:sz="8" w:color="58595B"/>
              <w:right w:val="single" w:sz="8" w:color="254F79"/>
            </w:tcBorders>
            <w:shd w:val="clear" w:color="auto" w:fill="254F79"/>
          </w:tcPr>
          <w:p>
            <w:pPr>
              <w:spacing w:after="0"/>
              <w:rPr>
                <w:sz w:val="21"/>
                <w:szCs w:val="21"/>
                <w:color w:val="auto"/>
              </w:rPr>
            </w:pPr>
          </w:p>
        </w:tc>
        <w:tc>
          <w:tcPr>
            <w:tcW w:w="2000" w:type="dxa"/>
            <w:vAlign w:val="bottom"/>
            <w:tcBorders>
              <w:right w:val="single" w:sz="8" w:color="254F79"/>
            </w:tcBorders>
            <w:shd w:val="clear" w:color="auto" w:fill="254F79"/>
          </w:tcPr>
          <w:p>
            <w:pPr>
              <w:spacing w:after="0"/>
              <w:rPr>
                <w:sz w:val="21"/>
                <w:szCs w:val="21"/>
                <w:color w:val="auto"/>
              </w:rPr>
            </w:pPr>
          </w:p>
        </w:tc>
        <w:tc>
          <w:tcPr>
            <w:tcW w:w="780" w:type="dxa"/>
            <w:vAlign w:val="bottom"/>
            <w:tcBorders>
              <w:right w:val="single" w:sz="8" w:color="254F79"/>
            </w:tcBorders>
            <w:shd w:val="clear" w:color="auto" w:fill="254F79"/>
          </w:tcPr>
          <w:p>
            <w:pPr>
              <w:spacing w:after="0"/>
              <w:rPr>
                <w:sz w:val="21"/>
                <w:szCs w:val="21"/>
                <w:color w:val="auto"/>
              </w:rPr>
            </w:pPr>
          </w:p>
        </w:tc>
        <w:tc>
          <w:tcPr>
            <w:tcW w:w="780" w:type="dxa"/>
            <w:vAlign w:val="bottom"/>
            <w:tcBorders>
              <w:right w:val="single" w:sz="8" w:color="254F79"/>
            </w:tcBorders>
            <w:shd w:val="clear" w:color="auto" w:fill="254F79"/>
          </w:tcPr>
          <w:p>
            <w:pPr>
              <w:spacing w:after="0"/>
              <w:rPr>
                <w:sz w:val="21"/>
                <w:szCs w:val="21"/>
                <w:color w:val="auto"/>
              </w:rPr>
            </w:pPr>
          </w:p>
        </w:tc>
        <w:tc>
          <w:tcPr>
            <w:tcW w:w="1000" w:type="dxa"/>
            <w:vAlign w:val="bottom"/>
            <w:tcBorders>
              <w:right w:val="single" w:sz="8" w:color="254F79"/>
            </w:tcBorders>
            <w:shd w:val="clear" w:color="auto" w:fill="254F79"/>
          </w:tcPr>
          <w:p>
            <w:pPr>
              <w:spacing w:after="0"/>
              <w:rPr>
                <w:sz w:val="21"/>
                <w:szCs w:val="21"/>
                <w:color w:val="auto"/>
              </w:rPr>
            </w:pPr>
          </w:p>
        </w:tc>
        <w:tc>
          <w:tcPr>
            <w:tcW w:w="780" w:type="dxa"/>
            <w:vAlign w:val="bottom"/>
            <w:tcBorders>
              <w:right w:val="single" w:sz="8" w:color="254F79"/>
            </w:tcBorders>
            <w:shd w:val="clear" w:color="auto" w:fill="254F79"/>
          </w:tcPr>
          <w:p>
            <w:pPr>
              <w:spacing w:after="0"/>
              <w:rPr>
                <w:sz w:val="21"/>
                <w:szCs w:val="21"/>
                <w:color w:val="auto"/>
              </w:rPr>
            </w:pPr>
          </w:p>
        </w:tc>
        <w:tc>
          <w:tcPr>
            <w:tcW w:w="800" w:type="dxa"/>
            <w:vAlign w:val="bottom"/>
            <w:tcBorders>
              <w:right w:val="single" w:sz="8" w:color="254F79"/>
            </w:tcBorders>
            <w:shd w:val="clear" w:color="auto" w:fill="254F79"/>
          </w:tcPr>
          <w:p>
            <w:pPr>
              <w:spacing w:after="0"/>
              <w:rPr>
                <w:sz w:val="21"/>
                <w:szCs w:val="21"/>
                <w:color w:val="auto"/>
              </w:rPr>
            </w:pPr>
          </w:p>
        </w:tc>
        <w:tc>
          <w:tcPr>
            <w:tcW w:w="60" w:type="dxa"/>
            <w:vAlign w:val="bottom"/>
            <w:shd w:val="clear" w:color="auto" w:fill="254F79"/>
          </w:tcPr>
          <w:p>
            <w:pPr>
              <w:spacing w:after="0"/>
              <w:rPr>
                <w:sz w:val="21"/>
                <w:szCs w:val="21"/>
                <w:color w:val="auto"/>
              </w:rPr>
            </w:pPr>
          </w:p>
        </w:tc>
        <w:tc>
          <w:tcPr>
            <w:tcW w:w="1600" w:type="dxa"/>
            <w:vAlign w:val="bottom"/>
            <w:tcBorders>
              <w:right w:val="single" w:sz="8" w:color="254F79"/>
            </w:tcBorders>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Based On:</w:t>
            </w:r>
          </w:p>
        </w:tc>
        <w:tc>
          <w:tcPr>
            <w:tcW w:w="800" w:type="dxa"/>
            <w:vAlign w:val="bottom"/>
            <w:tcBorders>
              <w:right w:val="single" w:sz="8" w:color="254F79"/>
            </w:tcBorders>
            <w:shd w:val="clear" w:color="auto" w:fill="254F79"/>
          </w:tcPr>
          <w:p>
            <w:pPr>
              <w:spacing w:after="0"/>
              <w:rPr>
                <w:sz w:val="21"/>
                <w:szCs w:val="21"/>
                <w:color w:val="auto"/>
              </w:rPr>
            </w:pPr>
          </w:p>
        </w:tc>
        <w:tc>
          <w:tcPr>
            <w:tcW w:w="780" w:type="dxa"/>
            <w:vAlign w:val="bottom"/>
            <w:tcBorders>
              <w:right w:val="single" w:sz="8" w:color="58595B"/>
            </w:tcBorders>
            <w:shd w:val="clear" w:color="auto" w:fill="254F79"/>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520" w:type="dxa"/>
            <w:vAlign w:val="bottom"/>
            <w:tcBorders>
              <w:left w:val="single" w:sz="8" w:color="58595B"/>
              <w:right w:val="single" w:sz="8" w:color="254F79"/>
            </w:tcBorders>
            <w:shd w:val="clear" w:color="auto" w:fill="254F79"/>
          </w:tcPr>
          <w:p>
            <w:pPr>
              <w:spacing w:after="0"/>
              <w:rPr>
                <w:sz w:val="2"/>
                <w:szCs w:val="2"/>
                <w:color w:val="auto"/>
              </w:rPr>
            </w:pPr>
          </w:p>
        </w:tc>
        <w:tc>
          <w:tcPr>
            <w:tcW w:w="2000" w:type="dxa"/>
            <w:vAlign w:val="bottom"/>
            <w:tcBorders>
              <w:right w:val="single" w:sz="8" w:color="254F79"/>
            </w:tcBorders>
            <w:shd w:val="clear" w:color="auto" w:fill="254F79"/>
          </w:tcPr>
          <w:p>
            <w:pPr>
              <w:spacing w:after="0"/>
              <w:rPr>
                <w:sz w:val="2"/>
                <w:szCs w:val="2"/>
                <w:color w:val="auto"/>
              </w:rPr>
            </w:pPr>
          </w:p>
        </w:tc>
        <w:tc>
          <w:tcPr>
            <w:tcW w:w="780" w:type="dxa"/>
            <w:vAlign w:val="bottom"/>
            <w:tcBorders>
              <w:right w:val="single" w:sz="8" w:color="254F79"/>
            </w:tcBorders>
            <w:shd w:val="clear" w:color="auto" w:fill="254F79"/>
          </w:tcPr>
          <w:p>
            <w:pPr>
              <w:spacing w:after="0"/>
              <w:rPr>
                <w:sz w:val="2"/>
                <w:szCs w:val="2"/>
                <w:color w:val="auto"/>
              </w:rPr>
            </w:pPr>
          </w:p>
        </w:tc>
        <w:tc>
          <w:tcPr>
            <w:tcW w:w="780" w:type="dxa"/>
            <w:vAlign w:val="bottom"/>
            <w:tcBorders>
              <w:right w:val="single" w:sz="8" w:color="254F79"/>
            </w:tcBorders>
            <w:vMerge w:val="restart"/>
            <w:shd w:val="clear" w:color="auto" w:fill="254F79"/>
          </w:tcPr>
          <w:p>
            <w:pPr>
              <w:jc w:val="center"/>
              <w:spacing w:after="0"/>
              <w:rPr>
                <w:sz w:val="20"/>
                <w:szCs w:val="20"/>
                <w:color w:val="auto"/>
              </w:rPr>
            </w:pPr>
            <w:r>
              <w:rPr>
                <w:rFonts w:ascii="Arial" w:cs="Arial" w:eastAsia="Arial" w:hAnsi="Arial"/>
                <w:sz w:val="14"/>
                <w:szCs w:val="14"/>
                <w:b w:val="1"/>
                <w:bCs w:val="1"/>
                <w:color w:val="FFFFFF"/>
              </w:rPr>
              <w:t>Summary</w:t>
            </w:r>
          </w:p>
        </w:tc>
        <w:tc>
          <w:tcPr>
            <w:tcW w:w="1000" w:type="dxa"/>
            <w:vAlign w:val="bottom"/>
            <w:tcBorders>
              <w:right w:val="single" w:sz="8" w:color="254F79"/>
            </w:tcBorders>
            <w:shd w:val="clear" w:color="auto" w:fill="254F79"/>
          </w:tcPr>
          <w:p>
            <w:pPr>
              <w:spacing w:after="0"/>
              <w:rPr>
                <w:sz w:val="2"/>
                <w:szCs w:val="2"/>
                <w:color w:val="auto"/>
              </w:rPr>
            </w:pPr>
          </w:p>
        </w:tc>
        <w:tc>
          <w:tcPr>
            <w:tcW w:w="780" w:type="dxa"/>
            <w:vAlign w:val="bottom"/>
            <w:tcBorders>
              <w:right w:val="single" w:sz="8" w:color="254F79"/>
            </w:tcBorders>
            <w:vMerge w:val="restart"/>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800" w:type="dxa"/>
            <w:vAlign w:val="bottom"/>
            <w:tcBorders>
              <w:right w:val="single" w:sz="8" w:color="254F79"/>
            </w:tcBorders>
            <w:shd w:val="clear" w:color="auto" w:fill="254F79"/>
          </w:tcPr>
          <w:p>
            <w:pPr>
              <w:spacing w:after="0"/>
              <w:rPr>
                <w:sz w:val="2"/>
                <w:szCs w:val="2"/>
                <w:color w:val="auto"/>
              </w:rPr>
            </w:pPr>
          </w:p>
        </w:tc>
        <w:tc>
          <w:tcPr>
            <w:tcW w:w="60" w:type="dxa"/>
            <w:vAlign w:val="bottom"/>
            <w:shd w:val="clear" w:color="auto" w:fill="254F79"/>
          </w:tcPr>
          <w:p>
            <w:pPr>
              <w:spacing w:after="0"/>
              <w:rPr>
                <w:sz w:val="2"/>
                <w:szCs w:val="2"/>
                <w:color w:val="auto"/>
              </w:rPr>
            </w:pPr>
          </w:p>
        </w:tc>
        <w:tc>
          <w:tcPr>
            <w:tcW w:w="820" w:type="dxa"/>
            <w:vAlign w:val="bottom"/>
            <w:tcBorders>
              <w:right w:val="single" w:sz="8" w:color="254F79"/>
            </w:tcBorders>
            <w:shd w:val="clear" w:color="auto" w:fill="254F79"/>
          </w:tcPr>
          <w:p>
            <w:pPr>
              <w:spacing w:after="0"/>
              <w:rPr>
                <w:sz w:val="2"/>
                <w:szCs w:val="2"/>
                <w:color w:val="auto"/>
              </w:rPr>
            </w:pPr>
          </w:p>
        </w:tc>
        <w:tc>
          <w:tcPr>
            <w:tcW w:w="780" w:type="dxa"/>
            <w:vAlign w:val="bottom"/>
            <w:tcBorders>
              <w:right w:val="single" w:sz="8" w:color="254F79"/>
            </w:tcBorders>
            <w:shd w:val="clear" w:color="auto" w:fill="254F79"/>
          </w:tcPr>
          <w:p>
            <w:pPr>
              <w:spacing w:after="0"/>
              <w:rPr>
                <w:sz w:val="2"/>
                <w:szCs w:val="2"/>
                <w:color w:val="auto"/>
              </w:rPr>
            </w:pPr>
          </w:p>
        </w:tc>
        <w:tc>
          <w:tcPr>
            <w:tcW w:w="800" w:type="dxa"/>
            <w:vAlign w:val="bottom"/>
            <w:tcBorders>
              <w:right w:val="single" w:sz="8" w:color="254F79"/>
            </w:tcBorders>
            <w:shd w:val="clear" w:color="auto" w:fill="254F79"/>
          </w:tcPr>
          <w:p>
            <w:pPr>
              <w:spacing w:after="0"/>
              <w:rPr>
                <w:sz w:val="2"/>
                <w:szCs w:val="2"/>
                <w:color w:val="auto"/>
              </w:rPr>
            </w:pPr>
          </w:p>
        </w:tc>
        <w:tc>
          <w:tcPr>
            <w:tcW w:w="780" w:type="dxa"/>
            <w:vAlign w:val="bottom"/>
            <w:tcBorders>
              <w:right w:val="single" w:sz="8" w:color="58595B"/>
            </w:tcBorders>
            <w:shd w:val="clear" w:color="auto" w:fill="254F7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vMerge w:val="continue"/>
            <w:shd w:val="clear" w:color="auto" w:fill="254F79"/>
          </w:tcPr>
          <w:p>
            <w:pPr>
              <w:spacing w:after="0"/>
              <w:rPr>
                <w:sz w:val="19"/>
                <w:szCs w:val="19"/>
                <w:color w:val="auto"/>
              </w:rPr>
            </w:pPr>
          </w:p>
        </w:tc>
        <w:tc>
          <w:tcPr>
            <w:tcW w:w="10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vMerge w:val="continue"/>
            <w:shd w:val="clear" w:color="auto" w:fill="254F79"/>
          </w:tcPr>
          <w:p>
            <w:pPr>
              <w:spacing w:after="0"/>
              <w:rPr>
                <w:sz w:val="19"/>
                <w:szCs w:val="19"/>
                <w:color w:val="auto"/>
              </w:rPr>
            </w:pPr>
          </w:p>
        </w:tc>
        <w:tc>
          <w:tcPr>
            <w:tcW w:w="800" w:type="dxa"/>
            <w:vAlign w:val="bottom"/>
            <w:tcBorders>
              <w:right w:val="single" w:sz="8" w:color="254F79"/>
            </w:tcBorders>
            <w:shd w:val="clear" w:color="auto" w:fill="254F79"/>
          </w:tcPr>
          <w:p>
            <w:pPr>
              <w:spacing w:after="0"/>
              <w:rPr>
                <w:sz w:val="19"/>
                <w:szCs w:val="19"/>
                <w:color w:val="auto"/>
              </w:rPr>
            </w:pPr>
          </w:p>
        </w:tc>
        <w:tc>
          <w:tcPr>
            <w:tcW w:w="60" w:type="dxa"/>
            <w:vAlign w:val="bottom"/>
            <w:shd w:val="clear" w:color="auto" w:fill="254F79"/>
          </w:tcPr>
          <w:p>
            <w:pPr>
              <w:spacing w:after="0"/>
              <w:rPr>
                <w:sz w:val="19"/>
                <w:szCs w:val="19"/>
                <w:color w:val="auto"/>
              </w:rPr>
            </w:pPr>
          </w:p>
        </w:tc>
        <w:tc>
          <w:tcPr>
            <w:tcW w:w="82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Summary</w:t>
            </w:r>
          </w:p>
        </w:tc>
        <w:tc>
          <w:tcPr>
            <w:tcW w:w="78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Compen-</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Compen-</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Summary</w:t>
            </w:r>
          </w:p>
        </w:tc>
        <w:tc>
          <w:tcPr>
            <w:tcW w:w="800" w:type="dxa"/>
            <w:vAlign w:val="bottom"/>
            <w:tcBorders>
              <w:right w:val="single" w:sz="8" w:color="254F79"/>
            </w:tcBorders>
            <w:shd w:val="clear" w:color="auto" w:fill="254F79"/>
          </w:tcPr>
          <w:p>
            <w:pPr>
              <w:spacing w:after="0"/>
              <w:rPr>
                <w:sz w:val="19"/>
                <w:szCs w:val="19"/>
                <w:color w:val="auto"/>
              </w:rPr>
            </w:pPr>
          </w:p>
        </w:tc>
        <w:tc>
          <w:tcPr>
            <w:tcW w:w="60" w:type="dxa"/>
            <w:vAlign w:val="bottom"/>
            <w:shd w:val="clear" w:color="auto" w:fill="254F79"/>
          </w:tcPr>
          <w:p>
            <w:pPr>
              <w:spacing w:after="0"/>
              <w:rPr>
                <w:sz w:val="19"/>
                <w:szCs w:val="19"/>
                <w:color w:val="auto"/>
              </w:rPr>
            </w:pPr>
          </w:p>
        </w:tc>
        <w:tc>
          <w:tcPr>
            <w:tcW w:w="82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spacing w:after="0"/>
              <w:rPr>
                <w:sz w:val="19"/>
                <w:szCs w:val="19"/>
                <w:color w:val="auto"/>
              </w:rPr>
            </w:pP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Compen-</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Compen-</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6"/>
              </w:rPr>
              <w:t>sation Ta-</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sation Ac-</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Compen-</w:t>
            </w:r>
          </w:p>
        </w:tc>
        <w:tc>
          <w:tcPr>
            <w:tcW w:w="860" w:type="dxa"/>
            <w:vAlign w:val="bottom"/>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82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Peer</w:t>
            </w: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sation</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sation Ac-</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ble Total</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tually Paid</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sation</w:t>
            </w:r>
          </w:p>
        </w:tc>
        <w:tc>
          <w:tcPr>
            <w:tcW w:w="860" w:type="dxa"/>
            <w:vAlign w:val="bottom"/>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Compensa-</w:t>
            </w:r>
          </w:p>
        </w:tc>
        <w:tc>
          <w:tcPr>
            <w:tcW w:w="82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Group</w:t>
            </w: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Table Total</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tually Paid</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for Former</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to Former</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Table</w:t>
            </w:r>
          </w:p>
        </w:tc>
        <w:tc>
          <w:tcPr>
            <w:tcW w:w="860" w:type="dxa"/>
            <w:vAlign w:val="bottom"/>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rPr>
              <w:t>tion Actu-</w:t>
            </w:r>
          </w:p>
        </w:tc>
        <w:tc>
          <w:tcPr>
            <w:tcW w:w="8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Total</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800" w:type="dxa"/>
            <w:vAlign w:val="bottom"/>
            <w:tcBorders>
              <w:right w:val="single" w:sz="8" w:color="254F79"/>
            </w:tcBorders>
            <w:shd w:val="clear" w:color="auto" w:fill="254F79"/>
          </w:tcPr>
          <w:p>
            <w:pPr>
              <w:spacing w:after="0"/>
              <w:rPr>
                <w:sz w:val="19"/>
                <w:szCs w:val="19"/>
                <w:color w:val="auto"/>
              </w:rPr>
            </w:pPr>
          </w:p>
        </w:tc>
        <w:tc>
          <w:tcPr>
            <w:tcW w:w="780" w:type="dxa"/>
            <w:vAlign w:val="bottom"/>
            <w:tcBorders>
              <w:right w:val="single" w:sz="8" w:color="58595B"/>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for PEO</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to PEO</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PEO (Ray-</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PEO (Ray-</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6"/>
              </w:rPr>
              <w:t>Total for</w:t>
            </w:r>
          </w:p>
        </w:tc>
        <w:tc>
          <w:tcPr>
            <w:tcW w:w="860" w:type="dxa"/>
            <w:vAlign w:val="bottom"/>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rPr>
              <w:t>ally Paid to</w:t>
            </w:r>
          </w:p>
        </w:tc>
        <w:tc>
          <w:tcPr>
            <w:tcW w:w="8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6"/>
              </w:rPr>
              <w:t>Share-</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Share-</w:t>
            </w:r>
          </w:p>
        </w:tc>
        <w:tc>
          <w:tcPr>
            <w:tcW w:w="8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Net</w:t>
            </w:r>
          </w:p>
        </w:tc>
        <w:tc>
          <w:tcPr>
            <w:tcW w:w="780" w:type="dxa"/>
            <w:vAlign w:val="bottom"/>
            <w:tcBorders>
              <w:right w:val="single" w:sz="8" w:color="58595B"/>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7"/>
              </w:rPr>
              <w:t>Pre-Tax</w:t>
            </w:r>
          </w:p>
        </w:tc>
        <w:tc>
          <w:tcPr>
            <w:tcW w:w="0" w:type="dxa"/>
            <w:vAlign w:val="bottom"/>
          </w:tcPr>
          <w:p>
            <w:pPr>
              <w:spacing w:after="0"/>
              <w:rPr>
                <w:sz w:val="1"/>
                <w:szCs w:val="1"/>
                <w:color w:val="auto"/>
              </w:rPr>
            </w:pPr>
          </w:p>
        </w:tc>
      </w:tr>
      <w:tr>
        <w:trPr>
          <w:trHeight w:val="222"/>
        </w:trPr>
        <w:tc>
          <w:tcPr>
            <w:tcW w:w="520" w:type="dxa"/>
            <w:vAlign w:val="bottom"/>
            <w:tcBorders>
              <w:left w:val="single" w:sz="8" w:color="58595B"/>
              <w:right w:val="single" w:sz="8" w:color="254F79"/>
            </w:tcBorders>
            <w:shd w:val="clear" w:color="auto" w:fill="254F79"/>
          </w:tcPr>
          <w:p>
            <w:pPr>
              <w:spacing w:after="0"/>
              <w:rPr>
                <w:sz w:val="19"/>
                <w:szCs w:val="19"/>
                <w:color w:val="auto"/>
              </w:rPr>
            </w:pPr>
          </w:p>
        </w:tc>
        <w:tc>
          <w:tcPr>
            <w:tcW w:w="2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(Michael J.</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(Michael</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mond R.</w:t>
            </w:r>
          </w:p>
        </w:tc>
        <w:tc>
          <w:tcPr>
            <w:tcW w:w="10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mond R.</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Non-PEO</w:t>
            </w:r>
          </w:p>
        </w:tc>
        <w:tc>
          <w:tcPr>
            <w:tcW w:w="860" w:type="dxa"/>
            <w:vAlign w:val="bottom"/>
            <w:gridSpan w:val="2"/>
            <w:shd w:val="clear" w:color="auto" w:fill="254F79"/>
          </w:tcPr>
          <w:p>
            <w:pPr>
              <w:jc w:val="center"/>
              <w:spacing w:after="0"/>
              <w:rPr>
                <w:sz w:val="20"/>
                <w:szCs w:val="20"/>
                <w:color w:val="auto"/>
              </w:rPr>
            </w:pPr>
            <w:r>
              <w:rPr>
                <w:rFonts w:ascii="Arial" w:cs="Arial" w:eastAsia="Arial" w:hAnsi="Arial"/>
                <w:sz w:val="14"/>
                <w:szCs w:val="14"/>
                <w:b w:val="1"/>
                <w:bCs w:val="1"/>
                <w:color w:val="FFFFFF"/>
              </w:rPr>
              <w:t>Non-PEO</w:t>
            </w:r>
          </w:p>
        </w:tc>
        <w:tc>
          <w:tcPr>
            <w:tcW w:w="82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8"/>
              </w:rPr>
              <w:t>holder</w:t>
            </w:r>
          </w:p>
        </w:tc>
        <w:tc>
          <w:tcPr>
            <w:tcW w:w="78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holder</w:t>
            </w:r>
          </w:p>
        </w:tc>
        <w:tc>
          <w:tcPr>
            <w:tcW w:w="80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rPr>
              <w:t>Income</w:t>
            </w:r>
          </w:p>
        </w:tc>
        <w:tc>
          <w:tcPr>
            <w:tcW w:w="780" w:type="dxa"/>
            <w:vAlign w:val="bottom"/>
            <w:tcBorders>
              <w:right w:val="single" w:sz="8" w:color="58595B"/>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9"/>
              </w:rPr>
              <w:t>Title Mar-</w:t>
            </w:r>
          </w:p>
        </w:tc>
        <w:tc>
          <w:tcPr>
            <w:tcW w:w="0" w:type="dxa"/>
            <w:vAlign w:val="bottom"/>
          </w:tcPr>
          <w:p>
            <w:pPr>
              <w:spacing w:after="0"/>
              <w:rPr>
                <w:sz w:val="1"/>
                <w:szCs w:val="1"/>
                <w:color w:val="auto"/>
              </w:rPr>
            </w:pPr>
          </w:p>
        </w:tc>
      </w:tr>
      <w:tr>
        <w:trPr>
          <w:trHeight w:val="271"/>
        </w:trPr>
        <w:tc>
          <w:tcPr>
            <w:tcW w:w="520" w:type="dxa"/>
            <w:vAlign w:val="bottom"/>
            <w:tcBorders>
              <w:left w:val="single" w:sz="8" w:color="58595B"/>
              <w:right w:val="single" w:sz="8" w:color="254F79"/>
            </w:tcBorders>
            <w:shd w:val="clear" w:color="auto" w:fill="254F79"/>
          </w:tcPr>
          <w:p>
            <w:pPr>
              <w:jc w:val="center"/>
              <w:spacing w:after="0"/>
              <w:rPr>
                <w:sz w:val="20"/>
                <w:szCs w:val="20"/>
                <w:color w:val="auto"/>
              </w:rPr>
            </w:pPr>
            <w:r>
              <w:rPr>
                <w:rFonts w:ascii="Arial" w:cs="Arial" w:eastAsia="Arial" w:hAnsi="Arial"/>
                <w:sz w:val="14"/>
                <w:szCs w:val="14"/>
                <w:b w:val="1"/>
                <w:bCs w:val="1"/>
                <w:color w:val="FFFFFF"/>
                <w:w w:val="92"/>
              </w:rPr>
              <w:t>Year</w:t>
            </w:r>
          </w:p>
        </w:tc>
        <w:tc>
          <w:tcPr>
            <w:tcW w:w="200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3"/>
              </w:rPr>
              <w:t>Nolan)</w:t>
            </w:r>
            <w:r>
              <w:rPr>
                <w:rFonts w:ascii="Arial" w:cs="Arial" w:eastAsia="Arial" w:hAnsi="Arial"/>
                <w:sz w:val="26"/>
                <w:szCs w:val="26"/>
                <w:b w:val="1"/>
                <w:bCs w:val="1"/>
                <w:color w:val="FFFFFF"/>
                <w:w w:val="93"/>
                <w:vertAlign w:val="superscript"/>
              </w:rPr>
              <w:t>1</w:t>
            </w:r>
          </w:p>
        </w:tc>
        <w:tc>
          <w:tcPr>
            <w:tcW w:w="78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5"/>
              </w:rPr>
              <w:t>J. Nolan)</w:t>
            </w:r>
            <w:r>
              <w:rPr>
                <w:rFonts w:ascii="Arial" w:cs="Arial" w:eastAsia="Arial" w:hAnsi="Arial"/>
                <w:sz w:val="26"/>
                <w:szCs w:val="26"/>
                <w:b w:val="1"/>
                <w:bCs w:val="1"/>
                <w:color w:val="FFFFFF"/>
                <w:w w:val="95"/>
                <w:vertAlign w:val="superscript"/>
              </w:rPr>
              <w:t>2</w:t>
            </w:r>
          </w:p>
        </w:tc>
        <w:tc>
          <w:tcPr>
            <w:tcW w:w="78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4"/>
              </w:rPr>
              <w:t>Quirk)</w:t>
            </w:r>
            <w:r>
              <w:rPr>
                <w:rFonts w:ascii="Arial" w:cs="Arial" w:eastAsia="Arial" w:hAnsi="Arial"/>
                <w:sz w:val="26"/>
                <w:szCs w:val="26"/>
                <w:b w:val="1"/>
                <w:bCs w:val="1"/>
                <w:color w:val="FFFFFF"/>
                <w:w w:val="94"/>
                <w:vertAlign w:val="superscript"/>
              </w:rPr>
              <w:t>3</w:t>
            </w:r>
          </w:p>
        </w:tc>
        <w:tc>
          <w:tcPr>
            <w:tcW w:w="100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4"/>
              </w:rPr>
              <w:t>Quirk)</w:t>
            </w:r>
            <w:r>
              <w:rPr>
                <w:rFonts w:ascii="Arial" w:cs="Arial" w:eastAsia="Arial" w:hAnsi="Arial"/>
                <w:sz w:val="26"/>
                <w:szCs w:val="26"/>
                <w:b w:val="1"/>
                <w:bCs w:val="1"/>
                <w:color w:val="FFFFFF"/>
                <w:w w:val="94"/>
                <w:vertAlign w:val="superscript"/>
              </w:rPr>
              <w:t>4</w:t>
            </w:r>
          </w:p>
        </w:tc>
        <w:tc>
          <w:tcPr>
            <w:tcW w:w="78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26"/>
                <w:szCs w:val="26"/>
                <w:b w:val="1"/>
                <w:bCs w:val="1"/>
                <w:color w:val="FFFFFF"/>
                <w:w w:val="96"/>
                <w:vertAlign w:val="superscript"/>
              </w:rPr>
              <w:t>5</w:t>
            </w:r>
          </w:p>
        </w:tc>
        <w:tc>
          <w:tcPr>
            <w:tcW w:w="860" w:type="dxa"/>
            <w:vAlign w:val="bottom"/>
            <w:gridSpan w:val="2"/>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26"/>
                <w:szCs w:val="26"/>
                <w:b w:val="1"/>
                <w:bCs w:val="1"/>
                <w:color w:val="FFFFFF"/>
                <w:w w:val="96"/>
                <w:vertAlign w:val="superscript"/>
              </w:rPr>
              <w:t>6</w:t>
            </w:r>
          </w:p>
        </w:tc>
        <w:tc>
          <w:tcPr>
            <w:tcW w:w="82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26"/>
                <w:szCs w:val="26"/>
                <w:b w:val="1"/>
                <w:bCs w:val="1"/>
                <w:color w:val="FFFFFF"/>
                <w:w w:val="98"/>
                <w:vertAlign w:val="superscript"/>
              </w:rPr>
              <w:t>7</w:t>
            </w:r>
          </w:p>
        </w:tc>
        <w:tc>
          <w:tcPr>
            <w:tcW w:w="78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26"/>
                <w:szCs w:val="26"/>
                <w:b w:val="1"/>
                <w:bCs w:val="1"/>
                <w:color w:val="FFFFFF"/>
                <w:w w:val="94"/>
                <w:vertAlign w:val="superscript"/>
              </w:rPr>
              <w:t>8</w:t>
            </w:r>
          </w:p>
        </w:tc>
        <w:tc>
          <w:tcPr>
            <w:tcW w:w="800" w:type="dxa"/>
            <w:vAlign w:val="bottom"/>
            <w:tcBorders>
              <w:right w:val="single" w:sz="8" w:color="254F79"/>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97"/>
              </w:rPr>
              <w:t>(millions)</w:t>
            </w:r>
            <w:r>
              <w:rPr>
                <w:rFonts w:ascii="Arial" w:cs="Arial" w:eastAsia="Arial" w:hAnsi="Arial"/>
                <w:sz w:val="26"/>
                <w:szCs w:val="26"/>
                <w:b w:val="1"/>
                <w:bCs w:val="1"/>
                <w:color w:val="FFFFFF"/>
                <w:w w:val="97"/>
                <w:vertAlign w:val="superscript"/>
              </w:rPr>
              <w:t>9</w:t>
            </w:r>
          </w:p>
        </w:tc>
        <w:tc>
          <w:tcPr>
            <w:tcW w:w="780" w:type="dxa"/>
            <w:vAlign w:val="bottom"/>
            <w:tcBorders>
              <w:right w:val="single" w:sz="8" w:color="58595B"/>
            </w:tcBorders>
            <w:shd w:val="clear" w:color="auto" w:fill="254F79"/>
          </w:tcPr>
          <w:p>
            <w:pPr>
              <w:jc w:val="center"/>
              <w:spacing w:after="0" w:line="258" w:lineRule="exact"/>
              <w:rPr>
                <w:sz w:val="20"/>
                <w:szCs w:val="20"/>
                <w:color w:val="auto"/>
              </w:rPr>
            </w:pPr>
            <w:r>
              <w:rPr>
                <w:rFonts w:ascii="Arial" w:cs="Arial" w:eastAsia="Arial" w:hAnsi="Arial"/>
                <w:sz w:val="14"/>
                <w:szCs w:val="14"/>
                <w:b w:val="1"/>
                <w:bCs w:val="1"/>
                <w:color w:val="FFFFFF"/>
                <w:w w:val="89"/>
              </w:rPr>
              <w:t>gin</w:t>
            </w:r>
            <w:r>
              <w:rPr>
                <w:rFonts w:ascii="Arial" w:cs="Arial" w:eastAsia="Arial" w:hAnsi="Arial"/>
                <w:sz w:val="26"/>
                <w:szCs w:val="26"/>
                <w:b w:val="1"/>
                <w:bCs w:val="1"/>
                <w:color w:val="FFFFFF"/>
                <w:w w:val="89"/>
                <w:vertAlign w:val="superscript"/>
              </w:rPr>
              <w:t>10</w:t>
            </w:r>
          </w:p>
        </w:tc>
        <w:tc>
          <w:tcPr>
            <w:tcW w:w="0" w:type="dxa"/>
            <w:vAlign w:val="bottom"/>
          </w:tcPr>
          <w:p>
            <w:pPr>
              <w:spacing w:after="0"/>
              <w:rPr>
                <w:sz w:val="1"/>
                <w:szCs w:val="1"/>
                <w:color w:val="auto"/>
              </w:rPr>
            </w:pPr>
          </w:p>
        </w:tc>
      </w:tr>
      <w:tr>
        <w:trPr>
          <w:trHeight w:val="241"/>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w w:val="93"/>
              </w:rPr>
              <w:t>(a)</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(b)</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(c)</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3"/>
              </w:rPr>
              <w:t>(d)</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(e)</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(f)</w:t>
            </w:r>
          </w:p>
        </w:tc>
        <w:tc>
          <w:tcPr>
            <w:tcW w:w="800" w:type="dxa"/>
            <w:vAlign w:val="bottom"/>
            <w:tcBorders>
              <w:right w:val="single" w:sz="8" w:color="58595B"/>
            </w:tcBorders>
          </w:tcPr>
          <w:p>
            <w:pPr>
              <w:ind w:left="300"/>
              <w:spacing w:after="0"/>
              <w:rPr>
                <w:sz w:val="20"/>
                <w:szCs w:val="20"/>
                <w:color w:val="auto"/>
              </w:rPr>
            </w:pPr>
            <w:r>
              <w:rPr>
                <w:rFonts w:ascii="Arial" w:cs="Arial" w:eastAsia="Arial" w:hAnsi="Arial"/>
                <w:sz w:val="14"/>
                <w:szCs w:val="14"/>
                <w:color w:val="58595B"/>
              </w:rPr>
              <w:t>(g)</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3"/>
              </w:rPr>
              <w:t>(h)</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2"/>
                <w:szCs w:val="12"/>
                <w:color w:val="58595B"/>
              </w:rPr>
              <w:t>(i)</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(j)</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7"/>
              </w:rPr>
              <w:t>(k)</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rPr>
              <w:t>2025</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11,646,893</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11,352,063</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85"/>
              </w:rPr>
              <w:t>—</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4,595,694</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4,485,581</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184.84</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147.32</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602</w:t>
            </w:r>
          </w:p>
        </w:tc>
        <w:tc>
          <w:tcPr>
            <w:tcW w:w="780" w:type="dxa"/>
            <w:vAlign w:val="bottom"/>
            <w:tcBorders>
              <w:right w:val="single" w:sz="8" w:color="58595B"/>
            </w:tcBorders>
          </w:tcPr>
          <w:p>
            <w:pPr>
              <w:jc w:val="right"/>
              <w:ind w:right="129"/>
              <w:spacing w:after="0"/>
              <w:rPr>
                <w:sz w:val="20"/>
                <w:szCs w:val="20"/>
                <w:color w:val="auto"/>
              </w:rPr>
            </w:pPr>
            <w:r>
              <w:rPr>
                <w:rFonts w:ascii="Arial" w:cs="Arial" w:eastAsia="Arial" w:hAnsi="Arial"/>
                <w:sz w:val="15"/>
                <w:szCs w:val="15"/>
                <w:color w:val="58595B"/>
              </w:rPr>
              <w:t>15.9%</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rPr>
              <w:t>2024</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10,567,753</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11,535,648</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85"/>
              </w:rPr>
              <w:t>—</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4,433,149</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4,983,964</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158.17</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136.36</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1,270</w:t>
            </w:r>
          </w:p>
        </w:tc>
        <w:tc>
          <w:tcPr>
            <w:tcW w:w="780" w:type="dxa"/>
            <w:vAlign w:val="bottom"/>
            <w:tcBorders>
              <w:right w:val="single" w:sz="8" w:color="58595B"/>
            </w:tcBorders>
          </w:tcPr>
          <w:p>
            <w:pPr>
              <w:jc w:val="right"/>
              <w:ind w:right="129"/>
              <w:spacing w:after="0"/>
              <w:rPr>
                <w:sz w:val="20"/>
                <w:szCs w:val="20"/>
                <w:color w:val="auto"/>
              </w:rPr>
            </w:pPr>
            <w:r>
              <w:rPr>
                <w:rFonts w:ascii="Arial" w:cs="Arial" w:eastAsia="Arial" w:hAnsi="Arial"/>
                <w:sz w:val="15"/>
                <w:szCs w:val="15"/>
                <w:color w:val="58595B"/>
              </w:rPr>
              <w:t>15.1%</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rPr>
              <w:t>2023</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9,891,585</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12,671,960</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85"/>
              </w:rPr>
              <w:t>—</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4,237,374</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5,796,869</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7"/>
              </w:rPr>
              <w:t>138.67</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131.27</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4"/>
              </w:rPr>
              <w:t>517</w:t>
            </w:r>
          </w:p>
        </w:tc>
        <w:tc>
          <w:tcPr>
            <w:tcW w:w="780" w:type="dxa"/>
            <w:vAlign w:val="bottom"/>
            <w:tcBorders>
              <w:right w:val="single" w:sz="8" w:color="58595B"/>
            </w:tcBorders>
          </w:tcPr>
          <w:p>
            <w:pPr>
              <w:jc w:val="right"/>
              <w:ind w:right="129"/>
              <w:spacing w:after="0"/>
              <w:rPr>
                <w:sz w:val="20"/>
                <w:szCs w:val="20"/>
                <w:color w:val="auto"/>
              </w:rPr>
            </w:pPr>
            <w:r>
              <w:rPr>
                <w:rFonts w:ascii="Arial" w:cs="Arial" w:eastAsia="Arial" w:hAnsi="Arial"/>
                <w:sz w:val="14"/>
                <w:szCs w:val="14"/>
                <w:color w:val="58595B"/>
              </w:rPr>
              <w:t>13.7%</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rPr>
              <w:t>2022</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7,721,602</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6,469,384</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8,060,911</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5,039,215</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2,720,737</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1,895,590</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97.57</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100.69</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1,294</w:t>
            </w:r>
          </w:p>
        </w:tc>
        <w:tc>
          <w:tcPr>
            <w:tcW w:w="780" w:type="dxa"/>
            <w:vAlign w:val="bottom"/>
            <w:tcBorders>
              <w:right w:val="single" w:sz="8" w:color="58595B"/>
            </w:tcBorders>
          </w:tcPr>
          <w:p>
            <w:pPr>
              <w:jc w:val="right"/>
              <w:ind w:right="129"/>
              <w:spacing w:after="0"/>
              <w:rPr>
                <w:sz w:val="20"/>
                <w:szCs w:val="20"/>
                <w:color w:val="auto"/>
              </w:rPr>
            </w:pPr>
            <w:r>
              <w:rPr>
                <w:rFonts w:ascii="Arial" w:cs="Arial" w:eastAsia="Arial" w:hAnsi="Arial"/>
                <w:sz w:val="14"/>
                <w:szCs w:val="14"/>
                <w:color w:val="58595B"/>
              </w:rPr>
              <w:t>16.7%</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 w:type="dxa"/>
            <w:vAlign w:val="bottom"/>
            <w:tcBorders>
              <w:left w:val="single" w:sz="8" w:color="58595B"/>
              <w:right w:val="single" w:sz="8" w:color="58595B"/>
            </w:tcBorders>
          </w:tcPr>
          <w:p>
            <w:pPr>
              <w:jc w:val="center"/>
              <w:spacing w:after="0"/>
              <w:rPr>
                <w:sz w:val="20"/>
                <w:szCs w:val="20"/>
                <w:color w:val="auto"/>
              </w:rPr>
            </w:pPr>
            <w:r>
              <w:rPr>
                <w:rFonts w:ascii="Arial" w:cs="Arial" w:eastAsia="Arial" w:hAnsi="Arial"/>
                <w:sz w:val="14"/>
                <w:szCs w:val="14"/>
                <w:color w:val="58595B"/>
              </w:rPr>
              <w:t>2021</w:t>
            </w:r>
          </w:p>
        </w:tc>
        <w:tc>
          <w:tcPr>
            <w:tcW w:w="2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10,457,921</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13,611,443</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4,113,156</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9"/>
              </w:rPr>
              <w:t>5,087,504</w:t>
            </w:r>
          </w:p>
        </w:tc>
        <w:tc>
          <w:tcPr>
            <w:tcW w:w="60" w:type="dxa"/>
            <w:vAlign w:val="bottom"/>
          </w:tcPr>
          <w:p>
            <w:pPr>
              <w:spacing w:after="0"/>
              <w:rPr>
                <w:sz w:val="20"/>
                <w:szCs w:val="20"/>
                <w:color w:val="auto"/>
              </w:rPr>
            </w:pPr>
          </w:p>
        </w:tc>
        <w:tc>
          <w:tcPr>
            <w:tcW w:w="82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7"/>
              </w:rPr>
              <w:t>124.34</w:t>
            </w:r>
          </w:p>
        </w:tc>
        <w:tc>
          <w:tcPr>
            <w:tcW w:w="78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rPr>
              <w:t>151.24</w:t>
            </w:r>
          </w:p>
        </w:tc>
        <w:tc>
          <w:tcPr>
            <w:tcW w:w="800" w:type="dxa"/>
            <w:vAlign w:val="bottom"/>
            <w:tcBorders>
              <w:right w:val="single" w:sz="8" w:color="58595B"/>
            </w:tcBorders>
          </w:tcPr>
          <w:p>
            <w:pPr>
              <w:jc w:val="center"/>
              <w:spacing w:after="0"/>
              <w:rPr>
                <w:sz w:val="20"/>
                <w:szCs w:val="20"/>
                <w:color w:val="auto"/>
              </w:rPr>
            </w:pPr>
            <w:r>
              <w:rPr>
                <w:rFonts w:ascii="Arial" w:cs="Arial" w:eastAsia="Arial" w:hAnsi="Arial"/>
                <w:sz w:val="14"/>
                <w:szCs w:val="14"/>
                <w:color w:val="58595B"/>
                <w:w w:val="96"/>
              </w:rPr>
              <w:t>2,797</w:t>
            </w:r>
          </w:p>
        </w:tc>
        <w:tc>
          <w:tcPr>
            <w:tcW w:w="780" w:type="dxa"/>
            <w:vAlign w:val="bottom"/>
            <w:tcBorders>
              <w:right w:val="single" w:sz="8" w:color="58595B"/>
            </w:tcBorders>
          </w:tcPr>
          <w:p>
            <w:pPr>
              <w:jc w:val="right"/>
              <w:ind w:right="129"/>
              <w:spacing w:after="0"/>
              <w:rPr>
                <w:sz w:val="20"/>
                <w:szCs w:val="20"/>
                <w:color w:val="auto"/>
              </w:rPr>
            </w:pPr>
            <w:r>
              <w:rPr>
                <w:rFonts w:ascii="Arial" w:cs="Arial" w:eastAsia="Arial" w:hAnsi="Arial"/>
                <w:sz w:val="14"/>
                <w:szCs w:val="14"/>
                <w:color w:val="58595B"/>
              </w:rPr>
              <w:t>21.7%</w:t>
            </w:r>
          </w:p>
        </w:tc>
        <w:tc>
          <w:tcPr>
            <w:tcW w:w="0" w:type="dxa"/>
            <w:vAlign w:val="bottom"/>
          </w:tcPr>
          <w:p>
            <w:pPr>
              <w:spacing w:after="0"/>
              <w:rPr>
                <w:sz w:val="1"/>
                <w:szCs w:val="1"/>
                <w:color w:val="auto"/>
              </w:rPr>
            </w:pPr>
          </w:p>
        </w:tc>
      </w:tr>
      <w:tr>
        <w:trPr>
          <w:trHeight w:val="30"/>
        </w:trPr>
        <w:tc>
          <w:tcPr>
            <w:tcW w:w="520" w:type="dxa"/>
            <w:vAlign w:val="bottom"/>
            <w:tcBorders>
              <w:left w:val="single" w:sz="8" w:color="58595B"/>
              <w:bottom w:val="single" w:sz="8" w:color="58595B"/>
              <w:right w:val="single" w:sz="8" w:color="58595B"/>
            </w:tcBorders>
          </w:tcPr>
          <w:p>
            <w:pPr>
              <w:spacing w:after="0"/>
              <w:rPr>
                <w:sz w:val="2"/>
                <w:szCs w:val="2"/>
                <w:color w:val="auto"/>
              </w:rPr>
            </w:pPr>
          </w:p>
        </w:tc>
        <w:tc>
          <w:tcPr>
            <w:tcW w:w="2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10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60" w:type="dxa"/>
            <w:vAlign w:val="bottom"/>
            <w:tcBorders>
              <w:bottom w:val="single" w:sz="8" w:color="58595B"/>
            </w:tcBorders>
          </w:tcPr>
          <w:p>
            <w:pPr>
              <w:spacing w:after="0"/>
              <w:rPr>
                <w:sz w:val="2"/>
                <w:szCs w:val="2"/>
                <w:color w:val="auto"/>
              </w:rPr>
            </w:pPr>
          </w:p>
        </w:tc>
        <w:tc>
          <w:tcPr>
            <w:tcW w:w="82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800" w:type="dxa"/>
            <w:vAlign w:val="bottom"/>
            <w:tcBorders>
              <w:bottom w:val="single" w:sz="8" w:color="58595B"/>
              <w:right w:val="single" w:sz="8" w:color="58595B"/>
            </w:tcBorders>
          </w:tcPr>
          <w:p>
            <w:pPr>
              <w:spacing w:after="0"/>
              <w:rPr>
                <w:sz w:val="2"/>
                <w:szCs w:val="2"/>
                <w:color w:val="auto"/>
              </w:rPr>
            </w:pPr>
          </w:p>
        </w:tc>
        <w:tc>
          <w:tcPr>
            <w:tcW w:w="780" w:type="dxa"/>
            <w:vAlign w:val="bottom"/>
            <w:tcBorders>
              <w:bottom w:val="single" w:sz="8" w:color="58595B"/>
              <w:right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-2245360</wp:posOffset>
            </wp:positionV>
            <wp:extent cx="7620" cy="1165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0" cy="1165860"/>
                    </a:xfrm>
                    <a:prstGeom prst="rect">
                      <a:avLst/>
                    </a:prstGeom>
                    <a:noFill/>
                  </pic:spPr>
                </pic:pic>
              </a:graphicData>
            </a:graphic>
          </wp:anchor>
        </w:drawing>
      </w:r>
    </w:p>
    <w:p>
      <w:pPr>
        <w:spacing w:after="0" w:line="189" w:lineRule="exact"/>
        <w:rPr>
          <w:sz w:val="20"/>
          <w:szCs w:val="20"/>
          <w:color w:val="auto"/>
        </w:rPr>
      </w:pPr>
    </w:p>
    <w:p>
      <w:pPr>
        <w:ind w:left="920" w:right="420" w:hanging="298"/>
        <w:spacing w:after="0" w:line="256" w:lineRule="auto"/>
        <w:tabs>
          <w:tab w:leader="none" w:pos="920" w:val="left"/>
        </w:tabs>
        <w:numPr>
          <w:ilvl w:val="0"/>
          <w:numId w:val="64"/>
        </w:numPr>
        <w:rPr>
          <w:rFonts w:ascii="Arial" w:cs="Arial" w:eastAsia="Arial" w:hAnsi="Arial"/>
          <w:sz w:val="12"/>
          <w:szCs w:val="12"/>
          <w:color w:val="58595B"/>
        </w:rPr>
      </w:pPr>
      <w:r>
        <w:rPr>
          <w:rFonts w:ascii="Arial" w:cs="Arial" w:eastAsia="Arial" w:hAnsi="Arial"/>
          <w:sz w:val="12"/>
          <w:szCs w:val="12"/>
          <w:color w:val="58595B"/>
        </w:rPr>
        <w:t>Mr. Nolan was appointed to serve as our Chief Executive Officer on February 1, 2022. The dollar amounts reported in columns (b) are the amounts of total compensation reported for Mr. Nolan for his role as our Chief Executive Officer for each corresponding year in the "Total" column of the Summary Compensation Table. Refer to "Executive Compensation – Summary Compensation Table."</w:t>
      </w:r>
    </w:p>
    <w:p>
      <w:pPr>
        <w:spacing w:after="0" w:line="105" w:lineRule="exact"/>
        <w:rPr>
          <w:rFonts w:ascii="Arial" w:cs="Arial" w:eastAsia="Arial" w:hAnsi="Arial"/>
          <w:sz w:val="12"/>
          <w:szCs w:val="12"/>
          <w:color w:val="58595B"/>
        </w:rPr>
      </w:pPr>
    </w:p>
    <w:p>
      <w:pPr>
        <w:ind w:left="920" w:right="620" w:hanging="298"/>
        <w:spacing w:after="0" w:line="249" w:lineRule="auto"/>
        <w:tabs>
          <w:tab w:leader="none" w:pos="920" w:val="left"/>
        </w:tabs>
        <w:numPr>
          <w:ilvl w:val="0"/>
          <w:numId w:val="64"/>
        </w:numPr>
        <w:rPr>
          <w:rFonts w:ascii="Arial" w:cs="Arial" w:eastAsia="Arial" w:hAnsi="Arial"/>
          <w:sz w:val="13"/>
          <w:szCs w:val="13"/>
          <w:color w:val="58595B"/>
        </w:rPr>
      </w:pPr>
      <w:r>
        <w:rPr>
          <w:rFonts w:ascii="Arial" w:cs="Arial" w:eastAsia="Arial" w:hAnsi="Arial"/>
          <w:sz w:val="13"/>
          <w:szCs w:val="13"/>
          <w:color w:val="58595B"/>
        </w:rPr>
        <w:t>The dollar amounts reported in column (c) represent the amount of "compensation actually paid" to Mr. Nolan, as computed in accordance with Item 402(v) of Regulation S-K. The dollar amounts do not reflect the actual amount of compensation earned by or paid to Mr. Nolan during the applicable year. In accordance with the requirements of Item 402(v) of Regulation S-K, the following adjustments were made to Mr. Nolan's total compensation for 2025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127635</wp:posOffset>
            </wp:positionV>
            <wp:extent cx="7620" cy="422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 cy="42227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127635</wp:posOffset>
            </wp:positionV>
            <wp:extent cx="7620" cy="422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20" cy="42227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127635</wp:posOffset>
            </wp:positionV>
            <wp:extent cx="7620" cy="422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20" cy="42227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127635</wp:posOffset>
            </wp:positionV>
            <wp:extent cx="7620" cy="422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0" cy="422275"/>
                    </a:xfrm>
                    <a:prstGeom prst="rect">
                      <a:avLst/>
                    </a:prstGeom>
                    <a:noFill/>
                  </pic:spPr>
                </pic:pic>
              </a:graphicData>
            </a:graphic>
          </wp:anchor>
        </w:drawing>
      </w:r>
    </w:p>
    <w:p>
      <w:pPr>
        <w:spacing w:after="0" w:line="181" w:lineRule="exact"/>
        <w:rPr>
          <w:sz w:val="20"/>
          <w:szCs w:val="20"/>
          <w:color w:val="auto"/>
        </w:rPr>
      </w:pPr>
    </w:p>
    <w:tbl>
      <w:tblPr>
        <w:tblLayout w:type="fixed"/>
        <w:tblInd w:w="930" w:type="dxa"/>
        <w:tblCellMar>
          <w:top w:w="0" w:type="dxa"/>
          <w:left w:w="0" w:type="dxa"/>
          <w:bottom w:w="0" w:type="dxa"/>
          <w:right w:w="0" w:type="dxa"/>
        </w:tblCellMar>
      </w:tblPr>
      <w:tr>
        <w:trPr>
          <w:trHeight w:val="153"/>
        </w:trPr>
        <w:tc>
          <w:tcPr>
            <w:tcW w:w="1000" w:type="dxa"/>
            <w:vAlign w:val="bottom"/>
            <w:tcBorders>
              <w:left w:val="single" w:sz="8" w:color="58595B"/>
              <w:right w:val="single" w:sz="8" w:color="274F78"/>
            </w:tcBorders>
            <w:shd w:val="clear" w:color="auto" w:fill="274F78"/>
          </w:tcPr>
          <w:p>
            <w:pPr>
              <w:spacing w:after="0"/>
              <w:rPr>
                <w:sz w:val="13"/>
                <w:szCs w:val="13"/>
                <w:color w:val="auto"/>
              </w:rPr>
            </w:pPr>
          </w:p>
        </w:tc>
        <w:tc>
          <w:tcPr>
            <w:tcW w:w="224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Reported</w:t>
            </w:r>
          </w:p>
        </w:tc>
        <w:tc>
          <w:tcPr>
            <w:tcW w:w="1980" w:type="dxa"/>
            <w:vAlign w:val="bottom"/>
            <w:tcBorders>
              <w:right w:val="single" w:sz="8" w:color="274F78"/>
            </w:tcBorders>
            <w:shd w:val="clear" w:color="auto" w:fill="274F78"/>
          </w:tcPr>
          <w:p>
            <w:pPr>
              <w:spacing w:after="0"/>
              <w:rPr>
                <w:sz w:val="13"/>
                <w:szCs w:val="13"/>
                <w:color w:val="auto"/>
              </w:rPr>
            </w:pPr>
          </w:p>
        </w:tc>
        <w:tc>
          <w:tcPr>
            <w:tcW w:w="1500" w:type="dxa"/>
            <w:vAlign w:val="bottom"/>
            <w:tcBorders>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3"/>
                <w:szCs w:val="13"/>
                <w:b w:val="1"/>
                <w:bCs w:val="1"/>
                <w:color w:val="FFFFFF"/>
              </w:rPr>
              <w:t>Equity</w:t>
            </w:r>
          </w:p>
        </w:tc>
        <w:tc>
          <w:tcPr>
            <w:tcW w:w="1720" w:type="dxa"/>
            <w:vAlign w:val="bottom"/>
            <w:tcBorders>
              <w:right w:val="single" w:sz="8" w:color="58595B"/>
            </w:tcBorders>
            <w:shd w:val="clear" w:color="auto" w:fill="274F78"/>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0" w:type="dxa"/>
            <w:vAlign w:val="bottom"/>
            <w:tcBorders>
              <w:left w:val="single" w:sz="8" w:color="58595B"/>
              <w:right w:val="single" w:sz="8" w:color="274F78"/>
            </w:tcBorders>
            <w:shd w:val="clear" w:color="auto" w:fill="274F78"/>
          </w:tcPr>
          <w:p>
            <w:pPr>
              <w:spacing w:after="0"/>
              <w:rPr>
                <w:sz w:val="11"/>
                <w:szCs w:val="11"/>
                <w:color w:val="auto"/>
              </w:rPr>
            </w:pPr>
          </w:p>
        </w:tc>
        <w:tc>
          <w:tcPr>
            <w:tcW w:w="2240" w:type="dxa"/>
            <w:vAlign w:val="bottom"/>
            <w:tcBorders>
              <w:right w:val="single" w:sz="8" w:color="274F78"/>
            </w:tcBorders>
            <w:shd w:val="clear" w:color="auto" w:fill="274F78"/>
          </w:tcPr>
          <w:p>
            <w:pPr>
              <w:jc w:val="center"/>
              <w:spacing w:after="0" w:line="131" w:lineRule="exact"/>
              <w:rPr>
                <w:sz w:val="20"/>
                <w:szCs w:val="20"/>
                <w:color w:val="auto"/>
              </w:rPr>
            </w:pPr>
            <w:r>
              <w:rPr>
                <w:rFonts w:ascii="Arial" w:cs="Arial" w:eastAsia="Arial" w:hAnsi="Arial"/>
                <w:sz w:val="13"/>
                <w:szCs w:val="13"/>
                <w:b w:val="1"/>
                <w:bCs w:val="1"/>
                <w:color w:val="FFFFFF"/>
              </w:rPr>
              <w:t>Summary Compensation</w:t>
            </w:r>
          </w:p>
        </w:tc>
        <w:tc>
          <w:tcPr>
            <w:tcW w:w="1980" w:type="dxa"/>
            <w:vAlign w:val="bottom"/>
            <w:tcBorders>
              <w:right w:val="single" w:sz="8" w:color="274F78"/>
            </w:tcBorders>
            <w:shd w:val="clear" w:color="auto" w:fill="274F78"/>
          </w:tcPr>
          <w:p>
            <w:pPr>
              <w:spacing w:after="0"/>
              <w:rPr>
                <w:sz w:val="11"/>
                <w:szCs w:val="11"/>
                <w:color w:val="auto"/>
              </w:rPr>
            </w:pPr>
          </w:p>
        </w:tc>
        <w:tc>
          <w:tcPr>
            <w:tcW w:w="1500" w:type="dxa"/>
            <w:vAlign w:val="bottom"/>
            <w:tcBorders>
              <w:right w:val="single" w:sz="8" w:color="274F78"/>
            </w:tcBorders>
            <w:vMerge w:val="continue"/>
            <w:shd w:val="clear" w:color="auto" w:fill="274F78"/>
          </w:tcPr>
          <w:p>
            <w:pPr>
              <w:spacing w:after="0"/>
              <w:rPr>
                <w:sz w:val="11"/>
                <w:szCs w:val="11"/>
                <w:color w:val="auto"/>
              </w:rPr>
            </w:pPr>
          </w:p>
        </w:tc>
        <w:tc>
          <w:tcPr>
            <w:tcW w:w="1720" w:type="dxa"/>
            <w:vAlign w:val="bottom"/>
            <w:tcBorders>
              <w:right w:val="single" w:sz="8" w:color="58595B"/>
            </w:tcBorders>
            <w:shd w:val="clear" w:color="auto" w:fill="274F78"/>
          </w:tcPr>
          <w:p>
            <w:pPr>
              <w:jc w:val="center"/>
              <w:ind w:right="14"/>
              <w:spacing w:after="0" w:line="131" w:lineRule="exact"/>
              <w:rPr>
                <w:sz w:val="20"/>
                <w:szCs w:val="20"/>
                <w:color w:val="auto"/>
              </w:rPr>
            </w:pPr>
            <w:r>
              <w:rPr>
                <w:rFonts w:ascii="Arial" w:cs="Arial" w:eastAsia="Arial" w:hAnsi="Arial"/>
                <w:sz w:val="13"/>
                <w:szCs w:val="13"/>
                <w:b w:val="1"/>
                <w:bCs w:val="1"/>
                <w:color w:val="FFFFFF"/>
              </w:rPr>
              <w:t>Compensation</w:t>
            </w:r>
          </w:p>
        </w:tc>
        <w:tc>
          <w:tcPr>
            <w:tcW w:w="0" w:type="dxa"/>
            <w:vAlign w:val="bottom"/>
          </w:tcPr>
          <w:p>
            <w:pPr>
              <w:spacing w:after="0"/>
              <w:rPr>
                <w:sz w:val="1"/>
                <w:szCs w:val="1"/>
                <w:color w:val="auto"/>
              </w:rPr>
            </w:pPr>
          </w:p>
        </w:tc>
      </w:tr>
      <w:tr>
        <w:trPr>
          <w:trHeight w:val="148"/>
        </w:trPr>
        <w:tc>
          <w:tcPr>
            <w:tcW w:w="1000" w:type="dxa"/>
            <w:vAlign w:val="bottom"/>
            <w:tcBorders>
              <w:left w:val="single" w:sz="8" w:color="58595B"/>
              <w:right w:val="single" w:sz="8" w:color="274F78"/>
            </w:tcBorders>
            <w:shd w:val="clear" w:color="auto" w:fill="274F78"/>
          </w:tcPr>
          <w:p>
            <w:pPr>
              <w:spacing w:after="0"/>
              <w:rPr>
                <w:sz w:val="12"/>
                <w:szCs w:val="12"/>
                <w:color w:val="auto"/>
              </w:rPr>
            </w:pPr>
          </w:p>
        </w:tc>
        <w:tc>
          <w:tcPr>
            <w:tcW w:w="22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Table Total for PEO (Michael</w:t>
            </w:r>
          </w:p>
        </w:tc>
        <w:tc>
          <w:tcPr>
            <w:tcW w:w="1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Reported</w:t>
            </w:r>
          </w:p>
        </w:tc>
        <w:tc>
          <w:tcPr>
            <w:tcW w:w="15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w:t>
            </w:r>
          </w:p>
        </w:tc>
        <w:tc>
          <w:tcPr>
            <w:tcW w:w="172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Actually Paid to PEO</w:t>
            </w:r>
          </w:p>
        </w:tc>
        <w:tc>
          <w:tcPr>
            <w:tcW w:w="0" w:type="dxa"/>
            <w:vAlign w:val="bottom"/>
          </w:tcPr>
          <w:p>
            <w:pPr>
              <w:spacing w:after="0"/>
              <w:rPr>
                <w:sz w:val="1"/>
                <w:szCs w:val="1"/>
                <w:color w:val="auto"/>
              </w:rPr>
            </w:pPr>
          </w:p>
        </w:tc>
      </w:tr>
      <w:tr>
        <w:trPr>
          <w:trHeight w:val="234"/>
        </w:trPr>
        <w:tc>
          <w:tcPr>
            <w:tcW w:w="1000" w:type="dxa"/>
            <w:vAlign w:val="bottom"/>
            <w:tcBorders>
              <w:left w:val="single" w:sz="8" w:color="58595B"/>
              <w:right w:val="single" w:sz="8" w:color="274F78"/>
            </w:tcBorders>
            <w:shd w:val="clear" w:color="auto" w:fill="274F78"/>
          </w:tcPr>
          <w:p>
            <w:pPr>
              <w:jc w:val="right"/>
              <w:ind w:right="294"/>
              <w:spacing w:after="0"/>
              <w:rPr>
                <w:sz w:val="20"/>
                <w:szCs w:val="20"/>
                <w:color w:val="auto"/>
              </w:rPr>
            </w:pPr>
            <w:r>
              <w:rPr>
                <w:rFonts w:ascii="Arial" w:cs="Arial" w:eastAsia="Arial" w:hAnsi="Arial"/>
                <w:sz w:val="13"/>
                <w:szCs w:val="13"/>
                <w:b w:val="1"/>
                <w:bCs w:val="1"/>
                <w:color w:val="FFFFFF"/>
              </w:rPr>
              <w:t>Year</w:t>
            </w:r>
          </w:p>
        </w:tc>
        <w:tc>
          <w:tcPr>
            <w:tcW w:w="224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8"/>
              </w:rPr>
              <w:t>J. Nolan)</w:t>
            </w:r>
          </w:p>
        </w:tc>
        <w:tc>
          <w:tcPr>
            <w:tcW w:w="1980" w:type="dxa"/>
            <w:vAlign w:val="bottom"/>
            <w:tcBorders>
              <w:right w:val="single" w:sz="8" w:color="274F78"/>
            </w:tcBorders>
            <w:shd w:val="clear" w:color="auto" w:fill="274F78"/>
          </w:tcPr>
          <w:p>
            <w:pPr>
              <w:jc w:val="center"/>
              <w:spacing w:after="0" w:line="222" w:lineRule="exact"/>
              <w:rPr>
                <w:sz w:val="20"/>
                <w:szCs w:val="20"/>
                <w:color w:val="auto"/>
              </w:rPr>
            </w:pPr>
            <w:r>
              <w:rPr>
                <w:rFonts w:ascii="Arial" w:cs="Arial" w:eastAsia="Arial" w:hAnsi="Arial"/>
                <w:sz w:val="13"/>
                <w:szCs w:val="13"/>
                <w:b w:val="1"/>
                <w:bCs w:val="1"/>
                <w:color w:val="FFFFFF"/>
                <w:w w:val="97"/>
              </w:rPr>
              <w:t>Value of Equity Awards</w:t>
            </w:r>
            <w:r>
              <w:rPr>
                <w:rFonts w:ascii="Arial" w:cs="Arial" w:eastAsia="Arial" w:hAnsi="Arial"/>
                <w:sz w:val="21"/>
                <w:szCs w:val="21"/>
                <w:b w:val="1"/>
                <w:bCs w:val="1"/>
                <w:color w:val="FFFFFF"/>
                <w:w w:val="97"/>
                <w:vertAlign w:val="superscript"/>
              </w:rPr>
              <w:t>(a)</w:t>
            </w:r>
          </w:p>
        </w:tc>
        <w:tc>
          <w:tcPr>
            <w:tcW w:w="1500" w:type="dxa"/>
            <w:vAlign w:val="bottom"/>
            <w:tcBorders>
              <w:right w:val="single" w:sz="8" w:color="274F78"/>
            </w:tcBorders>
            <w:shd w:val="clear" w:color="auto" w:fill="274F78"/>
          </w:tcPr>
          <w:p>
            <w:pPr>
              <w:jc w:val="center"/>
              <w:spacing w:after="0" w:line="222" w:lineRule="exact"/>
              <w:rPr>
                <w:sz w:val="20"/>
                <w:szCs w:val="20"/>
                <w:color w:val="auto"/>
              </w:rPr>
            </w:pPr>
            <w:r>
              <w:rPr>
                <w:rFonts w:ascii="Arial" w:cs="Arial" w:eastAsia="Arial" w:hAnsi="Arial"/>
                <w:sz w:val="13"/>
                <w:szCs w:val="13"/>
                <w:b w:val="1"/>
                <w:bCs w:val="1"/>
                <w:color w:val="FFFFFF"/>
                <w:w w:val="95"/>
              </w:rPr>
              <w:t>Adjustments</w:t>
            </w:r>
            <w:r>
              <w:rPr>
                <w:rFonts w:ascii="Arial" w:cs="Arial" w:eastAsia="Arial" w:hAnsi="Arial"/>
                <w:sz w:val="21"/>
                <w:szCs w:val="21"/>
                <w:b w:val="1"/>
                <w:bCs w:val="1"/>
                <w:color w:val="FFFFFF"/>
                <w:w w:val="95"/>
                <w:vertAlign w:val="superscript"/>
              </w:rPr>
              <w:t>(b)</w:t>
            </w:r>
          </w:p>
        </w:tc>
        <w:tc>
          <w:tcPr>
            <w:tcW w:w="172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(Michael J. Nolan)</w:t>
            </w:r>
          </w:p>
        </w:tc>
        <w:tc>
          <w:tcPr>
            <w:tcW w:w="0" w:type="dxa"/>
            <w:vAlign w:val="bottom"/>
          </w:tcPr>
          <w:p>
            <w:pPr>
              <w:spacing w:after="0"/>
              <w:rPr>
                <w:sz w:val="1"/>
                <w:szCs w:val="1"/>
                <w:color w:val="auto"/>
              </w:rPr>
            </w:pPr>
          </w:p>
        </w:tc>
      </w:tr>
      <w:tr>
        <w:trPr>
          <w:trHeight w:val="251"/>
        </w:trPr>
        <w:tc>
          <w:tcPr>
            <w:tcW w:w="1000" w:type="dxa"/>
            <w:vAlign w:val="bottom"/>
            <w:tcBorders>
              <w:left w:val="single" w:sz="8" w:color="58595B"/>
              <w:right w:val="single" w:sz="8" w:color="58595B"/>
            </w:tcBorders>
          </w:tcPr>
          <w:p>
            <w:pPr>
              <w:jc w:val="right"/>
              <w:ind w:right="294"/>
              <w:spacing w:after="0"/>
              <w:rPr>
                <w:sz w:val="20"/>
                <w:szCs w:val="20"/>
                <w:color w:val="auto"/>
              </w:rPr>
            </w:pPr>
            <w:r>
              <w:rPr>
                <w:rFonts w:ascii="Arial" w:cs="Arial" w:eastAsia="Arial" w:hAnsi="Arial"/>
                <w:sz w:val="13"/>
                <w:szCs w:val="13"/>
                <w:color w:val="58595B"/>
              </w:rPr>
              <w:t>2025</w:t>
            </w:r>
          </w:p>
        </w:tc>
        <w:tc>
          <w:tcPr>
            <w:tcW w:w="224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11,646,893</w:t>
            </w:r>
          </w:p>
        </w:tc>
        <w:tc>
          <w:tcPr>
            <w:tcW w:w="19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(5,960,007)</w:t>
            </w:r>
          </w:p>
        </w:tc>
        <w:tc>
          <w:tcPr>
            <w:tcW w:w="15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5,665,177</w:t>
            </w:r>
          </w:p>
        </w:tc>
        <w:tc>
          <w:tcPr>
            <w:tcW w:w="172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8"/>
              </w:rPr>
              <w:t>11,352,063</w:t>
            </w:r>
          </w:p>
        </w:tc>
        <w:tc>
          <w:tcPr>
            <w:tcW w:w="0" w:type="dxa"/>
            <w:vAlign w:val="bottom"/>
          </w:tcPr>
          <w:p>
            <w:pPr>
              <w:spacing w:after="0"/>
              <w:rPr>
                <w:sz w:val="1"/>
                <w:szCs w:val="1"/>
                <w:color w:val="auto"/>
              </w:rPr>
            </w:pPr>
          </w:p>
        </w:tc>
      </w:tr>
      <w:tr>
        <w:trPr>
          <w:trHeight w:val="69"/>
        </w:trPr>
        <w:tc>
          <w:tcPr>
            <w:tcW w:w="1000" w:type="dxa"/>
            <w:vAlign w:val="bottom"/>
            <w:tcBorders>
              <w:left w:val="single" w:sz="8" w:color="58595B"/>
              <w:bottom w:val="single" w:sz="8" w:color="58595B"/>
              <w:right w:val="single" w:sz="8" w:color="58595B"/>
            </w:tcBorders>
          </w:tcPr>
          <w:p>
            <w:pPr>
              <w:spacing w:after="0"/>
              <w:rPr>
                <w:sz w:val="5"/>
                <w:szCs w:val="5"/>
                <w:color w:val="auto"/>
              </w:rPr>
            </w:pPr>
          </w:p>
        </w:tc>
        <w:tc>
          <w:tcPr>
            <w:tcW w:w="2240" w:type="dxa"/>
            <w:vAlign w:val="bottom"/>
            <w:tcBorders>
              <w:bottom w:val="single" w:sz="8" w:color="58595B"/>
              <w:right w:val="single" w:sz="8" w:color="58595B"/>
            </w:tcBorders>
          </w:tcPr>
          <w:p>
            <w:pPr>
              <w:spacing w:after="0"/>
              <w:rPr>
                <w:sz w:val="5"/>
                <w:szCs w:val="5"/>
                <w:color w:val="auto"/>
              </w:rPr>
            </w:pPr>
          </w:p>
        </w:tc>
        <w:tc>
          <w:tcPr>
            <w:tcW w:w="1980" w:type="dxa"/>
            <w:vAlign w:val="bottom"/>
            <w:tcBorders>
              <w:bottom w:val="single" w:sz="8" w:color="58595B"/>
              <w:right w:val="single" w:sz="8" w:color="58595B"/>
            </w:tcBorders>
          </w:tcPr>
          <w:p>
            <w:pPr>
              <w:spacing w:after="0"/>
              <w:rPr>
                <w:sz w:val="5"/>
                <w:szCs w:val="5"/>
                <w:color w:val="auto"/>
              </w:rPr>
            </w:pPr>
          </w:p>
        </w:tc>
        <w:tc>
          <w:tcPr>
            <w:tcW w:w="1500" w:type="dxa"/>
            <w:vAlign w:val="bottom"/>
            <w:tcBorders>
              <w:bottom w:val="single" w:sz="8" w:color="58595B"/>
              <w:right w:val="single" w:sz="8" w:color="58595B"/>
            </w:tcBorders>
          </w:tcPr>
          <w:p>
            <w:pPr>
              <w:spacing w:after="0"/>
              <w:rPr>
                <w:sz w:val="5"/>
                <w:szCs w:val="5"/>
                <w:color w:val="auto"/>
              </w:rPr>
            </w:pPr>
          </w:p>
        </w:tc>
        <w:tc>
          <w:tcPr>
            <w:tcW w:w="1720" w:type="dxa"/>
            <w:vAlign w:val="bottom"/>
            <w:tcBorders>
              <w:bottom w:val="single" w:sz="8" w:color="58595B"/>
              <w:right w:val="single" w:sz="8" w:color="58595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220" w:right="620" w:hanging="303"/>
        <w:spacing w:after="0" w:line="274" w:lineRule="auto"/>
        <w:tabs>
          <w:tab w:leader="none" w:pos="1220" w:val="left"/>
        </w:tabs>
        <w:numPr>
          <w:ilvl w:val="0"/>
          <w:numId w:val="65"/>
        </w:numPr>
        <w:rPr>
          <w:rFonts w:ascii="Arial" w:cs="Arial" w:eastAsia="Arial" w:hAnsi="Arial"/>
          <w:sz w:val="13"/>
          <w:szCs w:val="13"/>
          <w:color w:val="58595B"/>
        </w:rPr>
      </w:pPr>
      <w:r>
        <w:rPr>
          <w:rFonts w:ascii="Arial" w:cs="Arial" w:eastAsia="Arial" w:hAnsi="Arial"/>
          <w:sz w:val="13"/>
          <w:szCs w:val="13"/>
          <w:color w:val="58595B"/>
        </w:rPr>
        <w:t>The grant date fair value of equity awards represents the total of the amounts reported in the “Stock Awards” column in the Summary Compensation Table. We did not award any options to our executives from 2021 to 2025.</w:t>
      </w:r>
    </w:p>
    <w:p>
      <w:pPr>
        <w:spacing w:after="0" w:line="97" w:lineRule="exact"/>
        <w:rPr>
          <w:rFonts w:ascii="Arial" w:cs="Arial" w:eastAsia="Arial" w:hAnsi="Arial"/>
          <w:sz w:val="13"/>
          <w:szCs w:val="13"/>
          <w:color w:val="58595B"/>
        </w:rPr>
      </w:pPr>
    </w:p>
    <w:p>
      <w:pPr>
        <w:ind w:left="1220" w:right="400" w:hanging="303"/>
        <w:spacing w:after="0"/>
        <w:tabs>
          <w:tab w:leader="none" w:pos="1220" w:val="left"/>
        </w:tabs>
        <w:numPr>
          <w:ilvl w:val="0"/>
          <w:numId w:val="65"/>
        </w:numPr>
        <w:rPr>
          <w:rFonts w:ascii="Arial" w:cs="Arial" w:eastAsia="Arial" w:hAnsi="Arial"/>
          <w:sz w:val="12"/>
          <w:szCs w:val="12"/>
          <w:color w:val="58595B"/>
        </w:rPr>
      </w:pPr>
      <w:r>
        <w:rPr>
          <w:rFonts w:ascii="Arial" w:cs="Arial" w:eastAsia="Arial" w:hAnsi="Arial"/>
          <w:sz w:val="12"/>
          <w:szCs w:val="12"/>
          <w:color w:val="58595B"/>
        </w:rPr>
        <w:t>The equity award adjustments include the addition (or subtraction, as applicable) of the following: (i) the year-end fair value of any equity awards granted during 2025 that are outstanding and unvested as of the end of the year; (ii) the amount of change as of the end of 2025 (from the end of the prior fiscal year) in fair value of any awards granted in prior years that are outstanding and unvested as of the end of 2025; (iii) for awards that are granted and vest in the same year, the fair value as of the vesting date; (iv) for awards granted in prior years that vested in 2025, the amount equal to the change as of the vesting date (from the end of the prior fiscal year) in fair value; (v) for awards granted in prior years that are determined to fail to meet the applicable vesting conditions during 2025,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 did not materially differ from those disclosed at the time of grant.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134620</wp:posOffset>
            </wp:positionV>
            <wp:extent cx="7144385" cy="297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8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69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520"/>
          </w:cols>
          <w:pgMar w:left="880" w:top="854" w:right="499" w:bottom="1440" w:gutter="0" w:footer="0" w:header="0"/>
        </w:sectPr>
      </w:pPr>
    </w:p>
    <w:bookmarkStart w:id="73" w:name="page74"/>
    <w:bookmarkEnd w:id="73"/>
    <w:tbl>
      <w:tblPr>
        <w:tblLayout w:type="fixed"/>
        <w:tblInd w:w="1790" w:type="dxa"/>
        <w:tblCellMar>
          <w:top w:w="0" w:type="dxa"/>
          <w:left w:w="0" w:type="dxa"/>
          <w:bottom w:w="0" w:type="dxa"/>
          <w:right w:w="0" w:type="dxa"/>
        </w:tblCellMar>
      </w:tblPr>
      <w:tr>
        <w:trPr>
          <w:trHeight w:val="202"/>
        </w:trPr>
        <w:tc>
          <w:tcPr>
            <w:tcW w:w="560" w:type="dxa"/>
            <w:vAlign w:val="bottom"/>
            <w:tcBorders>
              <w:left w:val="single" w:sz="8" w:color="58595B"/>
              <w:right w:val="single" w:sz="8" w:color="274F78"/>
            </w:tcBorders>
            <w:shd w:val="clear" w:color="auto" w:fill="274F78"/>
          </w:tcPr>
          <w:p>
            <w:pPr>
              <w:spacing w:after="0"/>
              <w:rPr>
                <w:sz w:val="17"/>
                <w:szCs w:val="17"/>
                <w:color w:val="auto"/>
              </w:rPr>
            </w:pPr>
          </w:p>
        </w:tc>
        <w:tc>
          <w:tcPr>
            <w:tcW w:w="940" w:type="dxa"/>
            <w:vAlign w:val="bottom"/>
            <w:tcBorders>
              <w:right w:val="single" w:sz="8" w:color="274F78"/>
            </w:tcBorders>
            <w:shd w:val="clear" w:color="auto" w:fill="274F78"/>
          </w:tcPr>
          <w:p>
            <w:pPr>
              <w:spacing w:after="0"/>
              <w:rPr>
                <w:sz w:val="17"/>
                <w:szCs w:val="17"/>
                <w:color w:val="auto"/>
              </w:rPr>
            </w:pPr>
          </w:p>
        </w:tc>
        <w:tc>
          <w:tcPr>
            <w:tcW w:w="1160" w:type="dxa"/>
            <w:vAlign w:val="bottom"/>
            <w:tcBorders>
              <w:right w:val="single" w:sz="8" w:color="274F78"/>
            </w:tcBorders>
            <w:shd w:val="clear" w:color="auto" w:fill="274F78"/>
          </w:tcPr>
          <w:p>
            <w:pPr>
              <w:spacing w:after="0"/>
              <w:rPr>
                <w:sz w:val="17"/>
                <w:szCs w:val="17"/>
                <w:color w:val="auto"/>
              </w:rPr>
            </w:pPr>
          </w:p>
        </w:tc>
        <w:tc>
          <w:tcPr>
            <w:tcW w:w="10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Fair Value</w:t>
            </w:r>
          </w:p>
        </w:tc>
        <w:tc>
          <w:tcPr>
            <w:tcW w:w="114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7"/>
              </w:rPr>
              <w:t>Year over</w:t>
            </w:r>
          </w:p>
        </w:tc>
        <w:tc>
          <w:tcPr>
            <w:tcW w:w="118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8"/>
              </w:rPr>
              <w:t>Fair Value at</w:t>
            </w: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8"/>
              </w:rPr>
              <w:t>Value of</w:t>
            </w:r>
          </w:p>
        </w:tc>
        <w:tc>
          <w:tcPr>
            <w:tcW w:w="1080" w:type="dxa"/>
            <w:vAlign w:val="bottom"/>
            <w:tcBorders>
              <w:right w:val="single" w:sz="8" w:color="58595B"/>
            </w:tcBorders>
            <w:shd w:val="clear" w:color="auto" w:fill="274F78"/>
          </w:tcPr>
          <w:p>
            <w:pPr>
              <w:spacing w:after="0"/>
              <w:rPr>
                <w:sz w:val="17"/>
                <w:szCs w:val="17"/>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Year over</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8"/>
              </w:rPr>
              <w:t>as of</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Year Change</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the End of</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Dividends or</w:t>
            </w:r>
          </w:p>
        </w:tc>
        <w:tc>
          <w:tcPr>
            <w:tcW w:w="1080" w:type="dxa"/>
            <w:vAlign w:val="bottom"/>
            <w:tcBorders>
              <w:right w:val="single" w:sz="8" w:color="58595B"/>
            </w:tcBorders>
            <w:shd w:val="clear" w:color="auto" w:fill="274F78"/>
          </w:tcPr>
          <w:p>
            <w:pPr>
              <w:spacing w:after="0"/>
              <w:rPr>
                <w:sz w:val="12"/>
                <w:szCs w:val="12"/>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Year Change</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Vesting</w:t>
            </w:r>
          </w:p>
        </w:tc>
        <w:tc>
          <w:tcPr>
            <w:tcW w:w="114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in Fair Value</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8"/>
              </w:rPr>
              <w:t>the Prior Year</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Other Earnings</w:t>
            </w:r>
          </w:p>
        </w:tc>
        <w:tc>
          <w:tcPr>
            <w:tcW w:w="1080" w:type="dxa"/>
            <w:vAlign w:val="bottom"/>
            <w:tcBorders>
              <w:right w:val="single" w:sz="8" w:color="58595B"/>
            </w:tcBorders>
            <w:shd w:val="clear" w:color="auto" w:fill="274F78"/>
          </w:tcPr>
          <w:p>
            <w:pPr>
              <w:spacing w:after="0"/>
              <w:rPr>
                <w:sz w:val="12"/>
                <w:szCs w:val="12"/>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in Fair</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Date of</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Equity</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Equity</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Paid on Stock or</w:t>
            </w:r>
          </w:p>
        </w:tc>
        <w:tc>
          <w:tcPr>
            <w:tcW w:w="1080" w:type="dxa"/>
            <w:vAlign w:val="bottom"/>
            <w:tcBorders>
              <w:right w:val="single" w:sz="8" w:color="58595B"/>
            </w:tcBorders>
            <w:shd w:val="clear" w:color="auto" w:fill="274F78"/>
          </w:tcPr>
          <w:p>
            <w:pPr>
              <w:spacing w:after="0"/>
              <w:rPr>
                <w:sz w:val="12"/>
                <w:szCs w:val="12"/>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8"/>
              </w:rPr>
              <w:t>Value of</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Awards</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Awards that</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Option Awards</w:t>
            </w:r>
          </w:p>
        </w:tc>
        <w:tc>
          <w:tcPr>
            <w:tcW w:w="1080" w:type="dxa"/>
            <w:vAlign w:val="bottom"/>
            <w:tcBorders>
              <w:right w:val="single" w:sz="8" w:color="58595B"/>
            </w:tcBorders>
            <w:shd w:val="clear" w:color="auto" w:fill="274F78"/>
          </w:tcPr>
          <w:p>
            <w:pPr>
              <w:spacing w:after="0"/>
              <w:rPr>
                <w:sz w:val="12"/>
                <w:szCs w:val="12"/>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Year End</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Outstanding</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Awards</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Granted in</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Failed to</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not Otherwise</w:t>
            </w:r>
          </w:p>
        </w:tc>
        <w:tc>
          <w:tcPr>
            <w:tcW w:w="1080" w:type="dxa"/>
            <w:vAlign w:val="bottom"/>
            <w:tcBorders>
              <w:right w:val="single" w:sz="8" w:color="58595B"/>
            </w:tcBorders>
            <w:shd w:val="clear" w:color="auto" w:fill="274F78"/>
          </w:tcPr>
          <w:p>
            <w:pPr>
              <w:spacing w:after="0"/>
              <w:rPr>
                <w:sz w:val="12"/>
                <w:szCs w:val="12"/>
                <w:color w:val="auto"/>
              </w:rPr>
            </w:pP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Fair Value</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and Unvested</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Granted</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Prior Years</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Meet Vesting</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Reflected in Fair</w:t>
            </w:r>
          </w:p>
        </w:tc>
        <w:tc>
          <w:tcPr>
            <w:tcW w:w="108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Total Equity</w:t>
            </w:r>
          </w:p>
        </w:tc>
      </w:tr>
      <w:tr>
        <w:trPr>
          <w:trHeight w:val="148"/>
        </w:trPr>
        <w:tc>
          <w:tcPr>
            <w:tcW w:w="560" w:type="dxa"/>
            <w:vAlign w:val="bottom"/>
            <w:tcBorders>
              <w:left w:val="single" w:sz="8" w:color="58595B"/>
              <w:right w:val="single" w:sz="8" w:color="274F78"/>
            </w:tcBorders>
            <w:shd w:val="clear" w:color="auto" w:fill="274F78"/>
          </w:tcPr>
          <w:p>
            <w:pPr>
              <w:spacing w:after="0"/>
              <w:rPr>
                <w:sz w:val="12"/>
                <w:szCs w:val="12"/>
                <w:color w:val="auto"/>
              </w:rPr>
            </w:pPr>
          </w:p>
        </w:tc>
        <w:tc>
          <w:tcPr>
            <w:tcW w:w="9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Equity</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and Vested</w:t>
            </w:r>
          </w:p>
        </w:tc>
        <w:tc>
          <w:tcPr>
            <w:tcW w:w="11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that Vested</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Conditions in</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Value or Total</w:t>
            </w:r>
          </w:p>
        </w:tc>
        <w:tc>
          <w:tcPr>
            <w:tcW w:w="108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w:t>
            </w:r>
          </w:p>
        </w:tc>
      </w:tr>
      <w:tr>
        <w:trPr>
          <w:trHeight w:val="197"/>
        </w:trPr>
        <w:tc>
          <w:tcPr>
            <w:tcW w:w="560" w:type="dxa"/>
            <w:vAlign w:val="bottom"/>
            <w:tcBorders>
              <w:left w:val="single" w:sz="8" w:color="58595B"/>
              <w:bottom w:val="single" w:sz="8" w:color="274F78"/>
              <w:right w:val="single" w:sz="8" w:color="274F78"/>
            </w:tcBorders>
            <w:shd w:val="clear" w:color="auto" w:fill="274F78"/>
          </w:tcPr>
          <w:p>
            <w:pPr>
              <w:ind w:left="140"/>
              <w:spacing w:after="0"/>
              <w:rPr>
                <w:sz w:val="20"/>
                <w:szCs w:val="20"/>
                <w:color w:val="auto"/>
              </w:rPr>
            </w:pPr>
            <w:r>
              <w:rPr>
                <w:rFonts w:ascii="Arial" w:cs="Arial" w:eastAsia="Arial" w:hAnsi="Arial"/>
                <w:sz w:val="13"/>
                <w:szCs w:val="13"/>
                <w:b w:val="1"/>
                <w:bCs w:val="1"/>
                <w:color w:val="FFFFFF"/>
              </w:rPr>
              <w:t>Year</w:t>
            </w:r>
          </w:p>
        </w:tc>
        <w:tc>
          <w:tcPr>
            <w:tcW w:w="94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16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Awards</w:t>
            </w:r>
          </w:p>
        </w:tc>
        <w:tc>
          <w:tcPr>
            <w:tcW w:w="100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in the Year</w:t>
            </w:r>
          </w:p>
        </w:tc>
        <w:tc>
          <w:tcPr>
            <w:tcW w:w="114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in the Year</w:t>
            </w:r>
          </w:p>
        </w:tc>
        <w:tc>
          <w:tcPr>
            <w:tcW w:w="118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the Year</w:t>
            </w:r>
          </w:p>
        </w:tc>
        <w:tc>
          <w:tcPr>
            <w:tcW w:w="136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Compensation</w:t>
            </w:r>
          </w:p>
        </w:tc>
        <w:tc>
          <w:tcPr>
            <w:tcW w:w="1080" w:type="dxa"/>
            <w:vAlign w:val="bottom"/>
            <w:tcBorders>
              <w:bottom w:val="single" w:sz="8" w:color="274F78"/>
              <w:right w:val="single" w:sz="8" w:color="58595B"/>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Adjustments</w:t>
            </w:r>
          </w:p>
        </w:tc>
      </w:tr>
      <w:tr>
        <w:trPr>
          <w:trHeight w:val="239"/>
        </w:trPr>
        <w:tc>
          <w:tcPr>
            <w:tcW w:w="560" w:type="dxa"/>
            <w:vAlign w:val="bottom"/>
            <w:tcBorders>
              <w:left w:val="single" w:sz="8" w:color="58595B"/>
              <w:right w:val="single" w:sz="8" w:color="58595B"/>
            </w:tcBorders>
          </w:tcPr>
          <w:p>
            <w:pPr>
              <w:ind w:left="120"/>
              <w:spacing w:after="0"/>
              <w:rPr>
                <w:sz w:val="20"/>
                <w:szCs w:val="20"/>
                <w:color w:val="auto"/>
              </w:rPr>
            </w:pPr>
            <w:r>
              <w:rPr>
                <w:rFonts w:ascii="Arial" w:cs="Arial" w:eastAsia="Arial" w:hAnsi="Arial"/>
                <w:sz w:val="13"/>
                <w:szCs w:val="13"/>
                <w:color w:val="58595B"/>
              </w:rPr>
              <w:t>2025</w:t>
            </w:r>
          </w:p>
        </w:tc>
        <w:tc>
          <w:tcPr>
            <w:tcW w:w="94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6,028,892</w:t>
            </w:r>
          </w:p>
        </w:tc>
        <w:tc>
          <w:tcPr>
            <w:tcW w:w="116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(220,240)</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w:t>
            </w:r>
          </w:p>
        </w:tc>
        <w:tc>
          <w:tcPr>
            <w:tcW w:w="114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(143,475)</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1"/>
              </w:rPr>
              <w:t>—</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5,665,177</w:t>
            </w:r>
          </w:p>
        </w:tc>
      </w:tr>
      <w:tr>
        <w:trPr>
          <w:trHeight w:val="57"/>
        </w:trPr>
        <w:tc>
          <w:tcPr>
            <w:tcW w:w="560" w:type="dxa"/>
            <w:vAlign w:val="bottom"/>
            <w:tcBorders>
              <w:left w:val="single" w:sz="8" w:color="58595B"/>
              <w:bottom w:val="single" w:sz="8" w:color="58595B"/>
              <w:right w:val="single" w:sz="8" w:color="58595B"/>
            </w:tcBorders>
          </w:tcPr>
          <w:p>
            <w:pPr>
              <w:spacing w:after="0"/>
              <w:rPr>
                <w:sz w:val="4"/>
                <w:szCs w:val="4"/>
                <w:color w:val="auto"/>
              </w:rPr>
            </w:pPr>
          </w:p>
        </w:tc>
        <w:tc>
          <w:tcPr>
            <w:tcW w:w="940" w:type="dxa"/>
            <w:vAlign w:val="bottom"/>
            <w:tcBorders>
              <w:bottom w:val="single" w:sz="8" w:color="58595B"/>
              <w:right w:val="single" w:sz="8" w:color="58595B"/>
            </w:tcBorders>
          </w:tcPr>
          <w:p>
            <w:pPr>
              <w:spacing w:after="0"/>
              <w:rPr>
                <w:sz w:val="4"/>
                <w:szCs w:val="4"/>
                <w:color w:val="auto"/>
              </w:rPr>
            </w:pPr>
          </w:p>
        </w:tc>
        <w:tc>
          <w:tcPr>
            <w:tcW w:w="1160" w:type="dxa"/>
            <w:vAlign w:val="bottom"/>
            <w:tcBorders>
              <w:bottom w:val="single" w:sz="8" w:color="58595B"/>
              <w:right w:val="single" w:sz="8" w:color="58595B"/>
            </w:tcBorders>
          </w:tcPr>
          <w:p>
            <w:pPr>
              <w:spacing w:after="0"/>
              <w:rPr>
                <w:sz w:val="4"/>
                <w:szCs w:val="4"/>
                <w:color w:val="auto"/>
              </w:rPr>
            </w:pPr>
          </w:p>
        </w:tc>
        <w:tc>
          <w:tcPr>
            <w:tcW w:w="1000" w:type="dxa"/>
            <w:vAlign w:val="bottom"/>
            <w:tcBorders>
              <w:bottom w:val="single" w:sz="8" w:color="58595B"/>
              <w:right w:val="single" w:sz="8" w:color="58595B"/>
            </w:tcBorders>
          </w:tcPr>
          <w:p>
            <w:pPr>
              <w:spacing w:after="0"/>
              <w:rPr>
                <w:sz w:val="4"/>
                <w:szCs w:val="4"/>
                <w:color w:val="auto"/>
              </w:rPr>
            </w:pPr>
          </w:p>
        </w:tc>
        <w:tc>
          <w:tcPr>
            <w:tcW w:w="1140" w:type="dxa"/>
            <w:vAlign w:val="bottom"/>
            <w:tcBorders>
              <w:bottom w:val="single" w:sz="8" w:color="58595B"/>
              <w:right w:val="single" w:sz="8" w:color="58595B"/>
            </w:tcBorders>
          </w:tcPr>
          <w:p>
            <w:pPr>
              <w:spacing w:after="0"/>
              <w:rPr>
                <w:sz w:val="4"/>
                <w:szCs w:val="4"/>
                <w:color w:val="auto"/>
              </w:rPr>
            </w:pPr>
          </w:p>
        </w:tc>
        <w:tc>
          <w:tcPr>
            <w:tcW w:w="1180" w:type="dxa"/>
            <w:vAlign w:val="bottom"/>
            <w:tcBorders>
              <w:bottom w:val="single" w:sz="8" w:color="58595B"/>
              <w:right w:val="single" w:sz="8" w:color="58595B"/>
            </w:tcBorders>
          </w:tcPr>
          <w:p>
            <w:pPr>
              <w:spacing w:after="0"/>
              <w:rPr>
                <w:sz w:val="4"/>
                <w:szCs w:val="4"/>
                <w:color w:val="auto"/>
              </w:rPr>
            </w:pPr>
          </w:p>
        </w:tc>
        <w:tc>
          <w:tcPr>
            <w:tcW w:w="136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5984875</wp:posOffset>
            </wp:positionH>
            <wp:positionV relativeFrom="page">
              <wp:posOffset>542925</wp:posOffset>
            </wp:positionV>
            <wp:extent cx="7620" cy="923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5124450</wp:posOffset>
            </wp:positionH>
            <wp:positionV relativeFrom="page">
              <wp:posOffset>542925</wp:posOffset>
            </wp:positionV>
            <wp:extent cx="7620" cy="923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4364990</wp:posOffset>
            </wp:positionH>
            <wp:positionV relativeFrom="page">
              <wp:posOffset>542925</wp:posOffset>
            </wp:positionV>
            <wp:extent cx="7620" cy="923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3645535</wp:posOffset>
            </wp:positionH>
            <wp:positionV relativeFrom="page">
              <wp:posOffset>542925</wp:posOffset>
            </wp:positionV>
            <wp:extent cx="7620" cy="923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3011805</wp:posOffset>
            </wp:positionH>
            <wp:positionV relativeFrom="page">
              <wp:posOffset>542925</wp:posOffset>
            </wp:positionV>
            <wp:extent cx="7620" cy="923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2268220</wp:posOffset>
            </wp:positionH>
            <wp:positionV relativeFrom="page">
              <wp:posOffset>542925</wp:posOffset>
            </wp:positionV>
            <wp:extent cx="7620" cy="923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923290"/>
                    </a:xfrm>
                    <a:prstGeom prst="rect">
                      <a:avLst/>
                    </a:prstGeom>
                    <a:noFill/>
                  </pic:spPr>
                </pic:pic>
              </a:graphicData>
            </a:graphic>
          </wp:anchor>
        </w:drawing>
        <w:drawing>
          <wp:anchor simplePos="0" relativeHeight="251657728" behindDoc="1" locked="0" layoutInCell="0" allowOverlap="1">
            <wp:simplePos x="0" y="0"/>
            <wp:positionH relativeFrom="page">
              <wp:posOffset>1673225</wp:posOffset>
            </wp:positionH>
            <wp:positionV relativeFrom="page">
              <wp:posOffset>542925</wp:posOffset>
            </wp:positionV>
            <wp:extent cx="7620" cy="923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0" cy="923290"/>
                    </a:xfrm>
                    <a:prstGeom prst="rect">
                      <a:avLst/>
                    </a:prstGeom>
                    <a:noFill/>
                  </pic:spPr>
                </pic:pic>
              </a:graphicData>
            </a:graphic>
          </wp:anchor>
        </w:drawing>
      </w:r>
    </w:p>
    <w:p>
      <w:pPr>
        <w:jc w:val="both"/>
        <w:ind w:left="1480" w:right="200" w:hanging="298"/>
        <w:spacing w:after="0" w:line="256" w:lineRule="auto"/>
        <w:tabs>
          <w:tab w:leader="none" w:pos="1480" w:val="left"/>
        </w:tabs>
        <w:numPr>
          <w:ilvl w:val="0"/>
          <w:numId w:val="66"/>
        </w:numPr>
        <w:rPr>
          <w:rFonts w:ascii="Arial" w:cs="Arial" w:eastAsia="Arial" w:hAnsi="Arial"/>
          <w:sz w:val="12"/>
          <w:szCs w:val="12"/>
          <w:color w:val="58595B"/>
        </w:rPr>
      </w:pPr>
      <w:r>
        <w:rPr>
          <w:rFonts w:ascii="Arial" w:cs="Arial" w:eastAsia="Arial" w:hAnsi="Arial"/>
          <w:sz w:val="12"/>
          <w:szCs w:val="12"/>
          <w:color w:val="58595B"/>
        </w:rPr>
        <w:t>Mr. Quirk ceased to be our Chief Executive Officer and transitioned to Executive Vice-Chairman of our Board as of February 1, 2022. The dollar amounts reported in column (d) are the amounts of total compensation reported for Mr. Quirk for each corresponding year in the "Total" column of the Summary Compensation Table. Refer to "Executive Compensation – Summary Compensation Table."</w:t>
      </w:r>
    </w:p>
    <w:p>
      <w:pPr>
        <w:spacing w:after="0" w:line="105" w:lineRule="exact"/>
        <w:rPr>
          <w:rFonts w:ascii="Arial" w:cs="Arial" w:eastAsia="Arial" w:hAnsi="Arial"/>
          <w:sz w:val="12"/>
          <w:szCs w:val="12"/>
          <w:color w:val="58595B"/>
        </w:rPr>
      </w:pPr>
    </w:p>
    <w:p>
      <w:pPr>
        <w:ind w:left="1480" w:right="660" w:hanging="298"/>
        <w:spacing w:after="0" w:line="274" w:lineRule="auto"/>
        <w:tabs>
          <w:tab w:leader="none" w:pos="1480" w:val="left"/>
        </w:tabs>
        <w:numPr>
          <w:ilvl w:val="0"/>
          <w:numId w:val="66"/>
        </w:numPr>
        <w:rPr>
          <w:rFonts w:ascii="Arial" w:cs="Arial" w:eastAsia="Arial" w:hAnsi="Arial"/>
          <w:sz w:val="13"/>
          <w:szCs w:val="13"/>
          <w:color w:val="58595B"/>
        </w:rPr>
      </w:pPr>
      <w:r>
        <w:rPr>
          <w:rFonts w:ascii="Arial" w:cs="Arial" w:eastAsia="Arial" w:hAnsi="Arial"/>
          <w:sz w:val="13"/>
          <w:szCs w:val="13"/>
          <w:color w:val="58595B"/>
        </w:rPr>
        <w:t>The dollar amounts reported in column (e) represent the amount of "compensation actually paid" to Mr. Quirk, as computed in accordance with Item 402(v) of Regulation S-K. The dollar amounts do not reflect the actual amount of compensation earned by or paid to Mr. Quirk during the applicable year.</w:t>
      </w:r>
    </w:p>
    <w:p>
      <w:pPr>
        <w:spacing w:after="0" w:line="97" w:lineRule="exact"/>
        <w:rPr>
          <w:rFonts w:ascii="Arial" w:cs="Arial" w:eastAsia="Arial" w:hAnsi="Arial"/>
          <w:sz w:val="13"/>
          <w:szCs w:val="13"/>
          <w:color w:val="58595B"/>
        </w:rPr>
      </w:pPr>
    </w:p>
    <w:p>
      <w:pPr>
        <w:ind w:left="1480" w:right="240" w:hanging="298"/>
        <w:spacing w:after="0" w:line="243" w:lineRule="auto"/>
        <w:tabs>
          <w:tab w:leader="none" w:pos="1480" w:val="left"/>
        </w:tabs>
        <w:numPr>
          <w:ilvl w:val="0"/>
          <w:numId w:val="66"/>
        </w:numPr>
        <w:rPr>
          <w:rFonts w:ascii="Arial" w:cs="Arial" w:eastAsia="Arial" w:hAnsi="Arial"/>
          <w:sz w:val="12"/>
          <w:szCs w:val="12"/>
          <w:color w:val="58595B"/>
        </w:rPr>
      </w:pPr>
      <w:r>
        <w:rPr>
          <w:rFonts w:ascii="Arial" w:cs="Arial" w:eastAsia="Arial" w:hAnsi="Arial"/>
          <w:sz w:val="12"/>
          <w:szCs w:val="12"/>
          <w:color w:val="58595B"/>
        </w:rPr>
        <w:t>The dollar amounts reported in column (f) represent the average of the amounts reported for our named executive officers (NEOs) as a group (excluding Mr. Nolan (who has served as our Chief Executive Officer since February 1, 2022) for 2022, 2023, 2024, and 2025 and Mr. Quirk (who served as our Chief Executive Officer through January 31, 2022) for 2022 and2021) in the "Total" column of the Summary Compensation Table in each applicable year. The names of each of the NEOs (excluding Messrs. Nolan and/or Quirk, as applicable) included for purposes of calculating the average amounts in each applicable year are as follows: (i) for 2025, 2024 and 2023, Raymond R. Quirk, Anthony J. Park, Peter T. Sadowski and Michael L. Gravelle, (ii) for 2022, Anthony J. Park, Peter T. Sadowski, Michael L. Gravelle and Roger S. Jewkes; and (iii) for 2021, Michael J. Nolan, Roger S. Jewkes, Anthony J. Park and Peter T. Sadowski.</w:t>
      </w:r>
    </w:p>
    <w:p>
      <w:pPr>
        <w:spacing w:after="0" w:line="115" w:lineRule="exact"/>
        <w:rPr>
          <w:rFonts w:ascii="Arial" w:cs="Arial" w:eastAsia="Arial" w:hAnsi="Arial"/>
          <w:sz w:val="12"/>
          <w:szCs w:val="12"/>
          <w:color w:val="58595B"/>
        </w:rPr>
      </w:pPr>
    </w:p>
    <w:p>
      <w:pPr>
        <w:ind w:left="1480" w:right="180" w:hanging="298"/>
        <w:spacing w:after="0" w:line="244" w:lineRule="auto"/>
        <w:tabs>
          <w:tab w:leader="none" w:pos="1480" w:val="left"/>
        </w:tabs>
        <w:numPr>
          <w:ilvl w:val="0"/>
          <w:numId w:val="66"/>
        </w:numPr>
        <w:rPr>
          <w:rFonts w:ascii="Arial" w:cs="Arial" w:eastAsia="Arial" w:hAnsi="Arial"/>
          <w:sz w:val="13"/>
          <w:szCs w:val="13"/>
          <w:color w:val="58595B"/>
        </w:rPr>
      </w:pPr>
      <w:r>
        <w:rPr>
          <w:rFonts w:ascii="Arial" w:cs="Arial" w:eastAsia="Arial" w:hAnsi="Arial"/>
          <w:sz w:val="13"/>
          <w:szCs w:val="13"/>
          <w:color w:val="58595B"/>
        </w:rPr>
        <w:t>The dollar amounts reported in column (e) represent the average amount of "compensation actually paid" to the NEOs as a group (excluding Mr. Nolan for 2025, 2024 and 2023, Messrs. Nolan and Quirk for 2022 and excluding Mr. Quirk for 2021), as computed in accordance with Item 402(v) of Regulation S-K. The dollar amounts do not reflect the actual average amount of compensation earned by or paid to the NEOs as a group (excluding Mr. Nolan for 2025, 2024 and 2023, Messrs. Nolan and Quirk for 2022 and excluding Mr. Quirk for 2021) during the applicable year. In accordance with the requirements of Item 402(v) of Regulation S-K, the following adjustments were made to average total compensation for the NEOs as a group (excluding Mr. Nolan for 2025, 2024 and 2023, Messrs. Nolan and Quirk for 2022 and excluding Mr. Quirk for 2021) for each year to determine the compensation actually paid, using the same methodology described above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130175</wp:posOffset>
            </wp:positionV>
            <wp:extent cx="7620" cy="641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 cy="6413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130175</wp:posOffset>
            </wp:positionV>
            <wp:extent cx="7620" cy="641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0" cy="64135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130175</wp:posOffset>
            </wp:positionV>
            <wp:extent cx="7620" cy="641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64135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130175</wp:posOffset>
            </wp:positionV>
            <wp:extent cx="7620" cy="641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0" cy="641350"/>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130175</wp:posOffset>
            </wp:positionV>
            <wp:extent cx="7620" cy="641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20" cy="641350"/>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130175</wp:posOffset>
            </wp:positionV>
            <wp:extent cx="7620" cy="641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 cy="641350"/>
                    </a:xfrm>
                    <a:prstGeom prst="rect">
                      <a:avLst/>
                    </a:prstGeom>
                    <a:noFill/>
                  </pic:spPr>
                </pic:pic>
              </a:graphicData>
            </a:graphic>
          </wp:anchor>
        </w:drawing>
      </w:r>
    </w:p>
    <w:p>
      <w:pPr>
        <w:spacing w:after="0" w:line="185" w:lineRule="exact"/>
        <w:rPr>
          <w:sz w:val="20"/>
          <w:szCs w:val="20"/>
          <w:color w:val="auto"/>
        </w:rPr>
      </w:pPr>
    </w:p>
    <w:tbl>
      <w:tblPr>
        <w:tblLayout w:type="fixed"/>
        <w:tblInd w:w="1490" w:type="dxa"/>
        <w:tblCellMar>
          <w:top w:w="0" w:type="dxa"/>
          <w:left w:w="0" w:type="dxa"/>
          <w:bottom w:w="0" w:type="dxa"/>
          <w:right w:w="0" w:type="dxa"/>
        </w:tblCellMar>
      </w:tblPr>
      <w:tr>
        <w:trPr>
          <w:trHeight w:val="202"/>
        </w:trPr>
        <w:tc>
          <w:tcPr>
            <w:tcW w:w="640" w:type="dxa"/>
            <w:vAlign w:val="bottom"/>
            <w:tcBorders>
              <w:left w:val="single" w:sz="8" w:color="58595B"/>
              <w:right w:val="single" w:sz="8" w:color="274F78"/>
            </w:tcBorders>
            <w:shd w:val="clear" w:color="auto" w:fill="274F78"/>
          </w:tcPr>
          <w:p>
            <w:pPr>
              <w:spacing w:after="0"/>
              <w:rPr>
                <w:sz w:val="17"/>
                <w:szCs w:val="17"/>
                <w:color w:val="auto"/>
              </w:rPr>
            </w:pPr>
          </w:p>
        </w:tc>
        <w:tc>
          <w:tcPr>
            <w:tcW w:w="1800" w:type="dxa"/>
            <w:vAlign w:val="bottom"/>
            <w:tcBorders>
              <w:right w:val="single" w:sz="8" w:color="274F78"/>
            </w:tcBorders>
            <w:shd w:val="clear" w:color="auto" w:fill="274F78"/>
          </w:tcPr>
          <w:p>
            <w:pPr>
              <w:spacing w:after="0"/>
              <w:rPr>
                <w:sz w:val="17"/>
                <w:szCs w:val="17"/>
                <w:color w:val="auto"/>
              </w:rPr>
            </w:pPr>
          </w:p>
        </w:tc>
        <w:tc>
          <w:tcPr>
            <w:tcW w:w="1120" w:type="dxa"/>
            <w:vAlign w:val="bottom"/>
            <w:tcBorders>
              <w:right w:val="single" w:sz="8" w:color="274F78"/>
            </w:tcBorders>
            <w:shd w:val="clear" w:color="auto" w:fill="274F78"/>
          </w:tcPr>
          <w:p>
            <w:pPr>
              <w:spacing w:after="0"/>
              <w:rPr>
                <w:sz w:val="17"/>
                <w:szCs w:val="17"/>
                <w:color w:val="auto"/>
              </w:rPr>
            </w:pPr>
          </w:p>
        </w:tc>
        <w:tc>
          <w:tcPr>
            <w:tcW w:w="1120" w:type="dxa"/>
            <w:vAlign w:val="bottom"/>
            <w:tcBorders>
              <w:right w:val="single" w:sz="8" w:color="274F78"/>
            </w:tcBorders>
            <w:shd w:val="clear" w:color="auto" w:fill="274F78"/>
          </w:tcPr>
          <w:p>
            <w:pPr>
              <w:spacing w:after="0"/>
              <w:rPr>
                <w:sz w:val="17"/>
                <w:szCs w:val="17"/>
                <w:color w:val="auto"/>
              </w:rPr>
            </w:pP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Average</w:t>
            </w:r>
          </w:p>
        </w:tc>
        <w:tc>
          <w:tcPr>
            <w:tcW w:w="1180" w:type="dxa"/>
            <w:vAlign w:val="bottom"/>
            <w:tcBorders>
              <w:right w:val="single" w:sz="8" w:color="274F78"/>
            </w:tcBorders>
            <w:shd w:val="clear" w:color="auto" w:fill="274F78"/>
          </w:tcPr>
          <w:p>
            <w:pPr>
              <w:spacing w:after="0"/>
              <w:rPr>
                <w:sz w:val="17"/>
                <w:szCs w:val="17"/>
                <w:color w:val="auto"/>
              </w:rPr>
            </w:pPr>
          </w:p>
        </w:tc>
        <w:tc>
          <w:tcPr>
            <w:tcW w:w="1220" w:type="dxa"/>
            <w:vAlign w:val="bottom"/>
            <w:tcBorders>
              <w:right w:val="single" w:sz="8" w:color="58595B"/>
            </w:tcBorders>
            <w:shd w:val="clear" w:color="auto" w:fill="274F7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58595B"/>
              <w:right w:val="single" w:sz="8" w:color="274F78"/>
            </w:tcBorders>
            <w:shd w:val="clear" w:color="auto" w:fill="274F78"/>
          </w:tcPr>
          <w:p>
            <w:pPr>
              <w:spacing w:after="0"/>
              <w:rPr>
                <w:sz w:val="12"/>
                <w:szCs w:val="12"/>
                <w:color w:val="auto"/>
              </w:rPr>
            </w:pPr>
          </w:p>
        </w:tc>
        <w:tc>
          <w:tcPr>
            <w:tcW w:w="18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Average</w:t>
            </w:r>
          </w:p>
        </w:tc>
        <w:tc>
          <w:tcPr>
            <w:tcW w:w="1120" w:type="dxa"/>
            <w:vAlign w:val="bottom"/>
            <w:tcBorders>
              <w:right w:val="single" w:sz="8" w:color="274F78"/>
            </w:tcBorders>
            <w:shd w:val="clear" w:color="auto" w:fill="274F78"/>
          </w:tcPr>
          <w:p>
            <w:pPr>
              <w:spacing w:after="0"/>
              <w:rPr>
                <w:sz w:val="12"/>
                <w:szCs w:val="12"/>
                <w:color w:val="auto"/>
              </w:rPr>
            </w:pPr>
          </w:p>
        </w:tc>
        <w:tc>
          <w:tcPr>
            <w:tcW w:w="1120" w:type="dxa"/>
            <w:vAlign w:val="bottom"/>
            <w:tcBorders>
              <w:right w:val="single" w:sz="8" w:color="274F78"/>
            </w:tcBorders>
            <w:shd w:val="clear" w:color="auto" w:fill="274F78"/>
          </w:tcPr>
          <w:p>
            <w:pPr>
              <w:spacing w:after="0"/>
              <w:rPr>
                <w:sz w:val="12"/>
                <w:szCs w:val="12"/>
                <w:color w:val="auto"/>
              </w:rPr>
            </w:pP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Reported</w:t>
            </w:r>
          </w:p>
        </w:tc>
        <w:tc>
          <w:tcPr>
            <w:tcW w:w="1180" w:type="dxa"/>
            <w:vAlign w:val="bottom"/>
            <w:tcBorders>
              <w:right w:val="single" w:sz="8" w:color="274F78"/>
            </w:tcBorders>
            <w:shd w:val="clear" w:color="auto" w:fill="274F78"/>
          </w:tcPr>
          <w:p>
            <w:pPr>
              <w:spacing w:after="0"/>
              <w:rPr>
                <w:sz w:val="12"/>
                <w:szCs w:val="12"/>
                <w:color w:val="auto"/>
              </w:rPr>
            </w:pPr>
          </w:p>
        </w:tc>
        <w:tc>
          <w:tcPr>
            <w:tcW w:w="1220" w:type="dxa"/>
            <w:vAlign w:val="bottom"/>
            <w:tcBorders>
              <w:right w:val="single" w:sz="8" w:color="58595B"/>
            </w:tcBorders>
            <w:shd w:val="clear" w:color="auto" w:fill="274F7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58595B"/>
              <w:right w:val="single" w:sz="8" w:color="274F78"/>
            </w:tcBorders>
            <w:shd w:val="clear" w:color="auto" w:fill="274F78"/>
          </w:tcPr>
          <w:p>
            <w:pPr>
              <w:spacing w:after="0"/>
              <w:rPr>
                <w:sz w:val="12"/>
                <w:szCs w:val="12"/>
                <w:color w:val="auto"/>
              </w:rPr>
            </w:pPr>
          </w:p>
        </w:tc>
        <w:tc>
          <w:tcPr>
            <w:tcW w:w="18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Reported Summary</w:t>
            </w:r>
          </w:p>
        </w:tc>
        <w:tc>
          <w:tcPr>
            <w:tcW w:w="112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Average</w:t>
            </w:r>
          </w:p>
        </w:tc>
        <w:tc>
          <w:tcPr>
            <w:tcW w:w="1120" w:type="dxa"/>
            <w:vAlign w:val="bottom"/>
            <w:tcBorders>
              <w:right w:val="single" w:sz="8" w:color="274F78"/>
            </w:tcBorders>
            <w:vMerge w:val="restart"/>
            <w:shd w:val="clear" w:color="auto" w:fill="274F78"/>
          </w:tcPr>
          <w:p>
            <w:pPr>
              <w:jc w:val="center"/>
              <w:spacing w:after="0"/>
              <w:rPr>
                <w:sz w:val="20"/>
                <w:szCs w:val="20"/>
                <w:color w:val="auto"/>
              </w:rPr>
            </w:pPr>
            <w:r>
              <w:rPr>
                <w:rFonts w:ascii="Arial" w:cs="Arial" w:eastAsia="Arial" w:hAnsi="Arial"/>
                <w:sz w:val="13"/>
                <w:szCs w:val="13"/>
                <w:b w:val="1"/>
                <w:bCs w:val="1"/>
                <w:color w:val="FFFFFF"/>
              </w:rPr>
              <w:t>Average</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Change in the</w:t>
            </w:r>
          </w:p>
        </w:tc>
        <w:tc>
          <w:tcPr>
            <w:tcW w:w="1180" w:type="dxa"/>
            <w:vAlign w:val="bottom"/>
            <w:tcBorders>
              <w:right w:val="single" w:sz="8" w:color="274F78"/>
            </w:tcBorders>
            <w:shd w:val="clear" w:color="auto" w:fill="274F78"/>
          </w:tcPr>
          <w:p>
            <w:pPr>
              <w:spacing w:after="0"/>
              <w:rPr>
                <w:sz w:val="12"/>
                <w:szCs w:val="12"/>
                <w:color w:val="auto"/>
              </w:rPr>
            </w:pPr>
          </w:p>
        </w:tc>
        <w:tc>
          <w:tcPr>
            <w:tcW w:w="122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Average</w:t>
            </w:r>
          </w:p>
        </w:tc>
        <w:tc>
          <w:tcPr>
            <w:tcW w:w="0" w:type="dxa"/>
            <w:vAlign w:val="bottom"/>
          </w:tcPr>
          <w:p>
            <w:pPr>
              <w:spacing w:after="0"/>
              <w:rPr>
                <w:sz w:val="1"/>
                <w:szCs w:val="1"/>
                <w:color w:val="auto"/>
              </w:rPr>
            </w:pPr>
          </w:p>
        </w:tc>
      </w:tr>
      <w:tr>
        <w:trPr>
          <w:trHeight w:val="131"/>
        </w:trPr>
        <w:tc>
          <w:tcPr>
            <w:tcW w:w="640" w:type="dxa"/>
            <w:vAlign w:val="bottom"/>
            <w:tcBorders>
              <w:left w:val="single" w:sz="8" w:color="58595B"/>
              <w:right w:val="single" w:sz="8" w:color="274F78"/>
            </w:tcBorders>
            <w:shd w:val="clear" w:color="auto" w:fill="274F78"/>
          </w:tcPr>
          <w:p>
            <w:pPr>
              <w:spacing w:after="0"/>
              <w:rPr>
                <w:sz w:val="11"/>
                <w:szCs w:val="11"/>
                <w:color w:val="auto"/>
              </w:rPr>
            </w:pPr>
          </w:p>
        </w:tc>
        <w:tc>
          <w:tcPr>
            <w:tcW w:w="1800" w:type="dxa"/>
            <w:vAlign w:val="bottom"/>
            <w:tcBorders>
              <w:right w:val="single" w:sz="8" w:color="274F78"/>
            </w:tcBorders>
            <w:shd w:val="clear" w:color="auto" w:fill="274F78"/>
          </w:tcPr>
          <w:p>
            <w:pPr>
              <w:jc w:val="center"/>
              <w:spacing w:after="0" w:line="131" w:lineRule="exact"/>
              <w:rPr>
                <w:sz w:val="20"/>
                <w:szCs w:val="20"/>
                <w:color w:val="auto"/>
              </w:rPr>
            </w:pPr>
            <w:r>
              <w:rPr>
                <w:rFonts w:ascii="Arial" w:cs="Arial" w:eastAsia="Arial" w:hAnsi="Arial"/>
                <w:sz w:val="13"/>
                <w:szCs w:val="13"/>
                <w:b w:val="1"/>
                <w:bCs w:val="1"/>
                <w:color w:val="FFFFFF"/>
              </w:rPr>
              <w:t>Compensation Table</w:t>
            </w:r>
          </w:p>
        </w:tc>
        <w:tc>
          <w:tcPr>
            <w:tcW w:w="1120" w:type="dxa"/>
            <w:vAlign w:val="bottom"/>
            <w:tcBorders>
              <w:right w:val="single" w:sz="8" w:color="274F78"/>
            </w:tcBorders>
            <w:shd w:val="clear" w:color="auto" w:fill="274F78"/>
          </w:tcPr>
          <w:p>
            <w:pPr>
              <w:jc w:val="center"/>
              <w:spacing w:after="0" w:line="131" w:lineRule="exact"/>
              <w:rPr>
                <w:sz w:val="20"/>
                <w:szCs w:val="20"/>
                <w:color w:val="auto"/>
              </w:rPr>
            </w:pPr>
            <w:r>
              <w:rPr>
                <w:rFonts w:ascii="Arial" w:cs="Arial" w:eastAsia="Arial" w:hAnsi="Arial"/>
                <w:sz w:val="13"/>
                <w:szCs w:val="13"/>
                <w:b w:val="1"/>
                <w:bCs w:val="1"/>
                <w:color w:val="FFFFFF"/>
              </w:rPr>
              <w:t>Reported</w:t>
            </w:r>
          </w:p>
        </w:tc>
        <w:tc>
          <w:tcPr>
            <w:tcW w:w="1120" w:type="dxa"/>
            <w:vAlign w:val="bottom"/>
            <w:tcBorders>
              <w:right w:val="single" w:sz="8" w:color="274F78"/>
            </w:tcBorders>
            <w:vMerge w:val="continue"/>
            <w:shd w:val="clear" w:color="auto" w:fill="274F78"/>
          </w:tcPr>
          <w:p>
            <w:pPr>
              <w:spacing w:after="0"/>
              <w:rPr>
                <w:sz w:val="11"/>
                <w:szCs w:val="11"/>
                <w:color w:val="auto"/>
              </w:rPr>
            </w:pPr>
          </w:p>
        </w:tc>
        <w:tc>
          <w:tcPr>
            <w:tcW w:w="1360" w:type="dxa"/>
            <w:vAlign w:val="bottom"/>
            <w:tcBorders>
              <w:right w:val="single" w:sz="8" w:color="274F78"/>
            </w:tcBorders>
            <w:shd w:val="clear" w:color="auto" w:fill="274F78"/>
          </w:tcPr>
          <w:p>
            <w:pPr>
              <w:jc w:val="center"/>
              <w:ind w:right="14"/>
              <w:spacing w:after="0" w:line="131" w:lineRule="exact"/>
              <w:rPr>
                <w:sz w:val="20"/>
                <w:szCs w:val="20"/>
                <w:color w:val="auto"/>
              </w:rPr>
            </w:pPr>
            <w:r>
              <w:rPr>
                <w:rFonts w:ascii="Arial" w:cs="Arial" w:eastAsia="Arial" w:hAnsi="Arial"/>
                <w:sz w:val="13"/>
                <w:szCs w:val="13"/>
                <w:b w:val="1"/>
                <w:bCs w:val="1"/>
                <w:color w:val="FFFFFF"/>
              </w:rPr>
              <w:t>Actuarial Present</w:t>
            </w:r>
          </w:p>
        </w:tc>
        <w:tc>
          <w:tcPr>
            <w:tcW w:w="1180" w:type="dxa"/>
            <w:vAlign w:val="bottom"/>
            <w:tcBorders>
              <w:right w:val="single" w:sz="8" w:color="274F78"/>
            </w:tcBorders>
            <w:shd w:val="clear" w:color="auto" w:fill="274F78"/>
          </w:tcPr>
          <w:p>
            <w:pPr>
              <w:jc w:val="center"/>
              <w:spacing w:after="0" w:line="131" w:lineRule="exact"/>
              <w:rPr>
                <w:sz w:val="20"/>
                <w:szCs w:val="20"/>
                <w:color w:val="auto"/>
              </w:rPr>
            </w:pPr>
            <w:r>
              <w:rPr>
                <w:rFonts w:ascii="Arial" w:cs="Arial" w:eastAsia="Arial" w:hAnsi="Arial"/>
                <w:sz w:val="13"/>
                <w:szCs w:val="13"/>
                <w:b w:val="1"/>
                <w:bCs w:val="1"/>
                <w:color w:val="FFFFFF"/>
                <w:w w:val="97"/>
              </w:rPr>
              <w:t>Average</w:t>
            </w:r>
          </w:p>
        </w:tc>
        <w:tc>
          <w:tcPr>
            <w:tcW w:w="1220" w:type="dxa"/>
            <w:vAlign w:val="bottom"/>
            <w:tcBorders>
              <w:right w:val="single" w:sz="8" w:color="58595B"/>
            </w:tcBorders>
            <w:shd w:val="clear" w:color="auto" w:fill="274F78"/>
          </w:tcPr>
          <w:p>
            <w:pPr>
              <w:jc w:val="center"/>
              <w:spacing w:after="0" w:line="131" w:lineRule="exact"/>
              <w:rPr>
                <w:sz w:val="20"/>
                <w:szCs w:val="20"/>
                <w:color w:val="auto"/>
              </w:rPr>
            </w:pPr>
            <w:r>
              <w:rPr>
                <w:rFonts w:ascii="Arial" w:cs="Arial" w:eastAsia="Arial" w:hAnsi="Arial"/>
                <w:sz w:val="13"/>
                <w:szCs w:val="13"/>
                <w:b w:val="1"/>
                <w:bCs w:val="1"/>
                <w:color w:val="FFFFFF"/>
                <w:w w:val="99"/>
              </w:rPr>
              <w:t>Compensation</w:t>
            </w:r>
          </w:p>
        </w:tc>
        <w:tc>
          <w:tcPr>
            <w:tcW w:w="0" w:type="dxa"/>
            <w:vAlign w:val="bottom"/>
          </w:tcPr>
          <w:p>
            <w:pPr>
              <w:spacing w:after="0"/>
              <w:rPr>
                <w:sz w:val="1"/>
                <w:szCs w:val="1"/>
                <w:color w:val="auto"/>
              </w:rPr>
            </w:pPr>
          </w:p>
        </w:tc>
      </w:tr>
      <w:tr>
        <w:trPr>
          <w:trHeight w:val="148"/>
        </w:trPr>
        <w:tc>
          <w:tcPr>
            <w:tcW w:w="640" w:type="dxa"/>
            <w:vAlign w:val="bottom"/>
            <w:tcBorders>
              <w:left w:val="single" w:sz="8" w:color="58595B"/>
              <w:right w:val="single" w:sz="8" w:color="274F78"/>
            </w:tcBorders>
            <w:shd w:val="clear" w:color="auto" w:fill="274F78"/>
          </w:tcPr>
          <w:p>
            <w:pPr>
              <w:spacing w:after="0"/>
              <w:rPr>
                <w:sz w:val="12"/>
                <w:szCs w:val="12"/>
                <w:color w:val="auto"/>
              </w:rPr>
            </w:pPr>
          </w:p>
        </w:tc>
        <w:tc>
          <w:tcPr>
            <w:tcW w:w="18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Total for Non-PEO</w:t>
            </w:r>
          </w:p>
        </w:tc>
        <w:tc>
          <w:tcPr>
            <w:tcW w:w="112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Value of Equity</w:t>
            </w:r>
          </w:p>
        </w:tc>
        <w:tc>
          <w:tcPr>
            <w:tcW w:w="112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 Award</w:t>
            </w:r>
          </w:p>
        </w:tc>
        <w:tc>
          <w:tcPr>
            <w:tcW w:w="13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Value of Pension</w:t>
            </w:r>
          </w:p>
        </w:tc>
        <w:tc>
          <w:tcPr>
            <w:tcW w:w="11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Pension Benefit</w:t>
            </w:r>
          </w:p>
        </w:tc>
        <w:tc>
          <w:tcPr>
            <w:tcW w:w="1220" w:type="dxa"/>
            <w:vAlign w:val="bottom"/>
            <w:tcBorders>
              <w:right w:val="single" w:sz="8" w:color="58595B"/>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Actually Paid to</w:t>
            </w:r>
          </w:p>
        </w:tc>
        <w:tc>
          <w:tcPr>
            <w:tcW w:w="0" w:type="dxa"/>
            <w:vAlign w:val="bottom"/>
          </w:tcPr>
          <w:p>
            <w:pPr>
              <w:spacing w:after="0"/>
              <w:rPr>
                <w:sz w:val="1"/>
                <w:szCs w:val="1"/>
                <w:color w:val="auto"/>
              </w:rPr>
            </w:pPr>
          </w:p>
        </w:tc>
      </w:tr>
      <w:tr>
        <w:trPr>
          <w:trHeight w:val="234"/>
        </w:trPr>
        <w:tc>
          <w:tcPr>
            <w:tcW w:w="640" w:type="dxa"/>
            <w:vAlign w:val="bottom"/>
            <w:tcBorders>
              <w:left w:val="single" w:sz="8" w:color="58595B"/>
              <w:right w:val="single" w:sz="8" w:color="274F78"/>
            </w:tcBorders>
            <w:shd w:val="clear" w:color="auto" w:fill="274F78"/>
          </w:tcPr>
          <w:p>
            <w:pPr>
              <w:ind w:left="180"/>
              <w:spacing w:after="0"/>
              <w:rPr>
                <w:sz w:val="20"/>
                <w:szCs w:val="20"/>
                <w:color w:val="auto"/>
              </w:rPr>
            </w:pPr>
            <w:r>
              <w:rPr>
                <w:rFonts w:ascii="Arial" w:cs="Arial" w:eastAsia="Arial" w:hAnsi="Arial"/>
                <w:sz w:val="13"/>
                <w:szCs w:val="13"/>
                <w:b w:val="1"/>
                <w:bCs w:val="1"/>
                <w:color w:val="FFFFFF"/>
              </w:rPr>
              <w:t>Year</w:t>
            </w:r>
          </w:p>
        </w:tc>
        <w:tc>
          <w:tcPr>
            <w:tcW w:w="18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NEOs</w:t>
            </w:r>
          </w:p>
        </w:tc>
        <w:tc>
          <w:tcPr>
            <w:tcW w:w="11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Awards</w:t>
            </w:r>
          </w:p>
        </w:tc>
        <w:tc>
          <w:tcPr>
            <w:tcW w:w="1120" w:type="dxa"/>
            <w:vAlign w:val="bottom"/>
            <w:tcBorders>
              <w:right w:val="single" w:sz="8" w:color="274F78"/>
            </w:tcBorders>
            <w:shd w:val="clear" w:color="auto" w:fill="274F78"/>
          </w:tcPr>
          <w:p>
            <w:pPr>
              <w:jc w:val="center"/>
              <w:spacing w:after="0" w:line="222" w:lineRule="exact"/>
              <w:rPr>
                <w:sz w:val="20"/>
                <w:szCs w:val="20"/>
                <w:color w:val="auto"/>
              </w:rPr>
            </w:pPr>
            <w:r>
              <w:rPr>
                <w:rFonts w:ascii="Arial" w:cs="Arial" w:eastAsia="Arial" w:hAnsi="Arial"/>
                <w:sz w:val="13"/>
                <w:szCs w:val="13"/>
                <w:b w:val="1"/>
                <w:bCs w:val="1"/>
                <w:color w:val="FFFFFF"/>
                <w:w w:val="98"/>
              </w:rPr>
              <w:t>Adjustments</w:t>
            </w:r>
            <w:r>
              <w:rPr>
                <w:rFonts w:ascii="Arial" w:cs="Arial" w:eastAsia="Arial" w:hAnsi="Arial"/>
                <w:sz w:val="21"/>
                <w:szCs w:val="21"/>
                <w:b w:val="1"/>
                <w:bCs w:val="1"/>
                <w:color w:val="FFFFFF"/>
                <w:w w:val="98"/>
                <w:vertAlign w:val="superscript"/>
              </w:rPr>
              <w:t>(a)</w:t>
            </w:r>
          </w:p>
        </w:tc>
        <w:tc>
          <w:tcPr>
            <w:tcW w:w="136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Benefits</w:t>
            </w:r>
          </w:p>
        </w:tc>
        <w:tc>
          <w:tcPr>
            <w:tcW w:w="118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Adjustments</w:t>
            </w:r>
          </w:p>
        </w:tc>
        <w:tc>
          <w:tcPr>
            <w:tcW w:w="122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Non-PEO NEOs</w:t>
            </w:r>
          </w:p>
        </w:tc>
        <w:tc>
          <w:tcPr>
            <w:tcW w:w="0" w:type="dxa"/>
            <w:vAlign w:val="bottom"/>
          </w:tcPr>
          <w:p>
            <w:pPr>
              <w:spacing w:after="0"/>
              <w:rPr>
                <w:sz w:val="1"/>
                <w:szCs w:val="1"/>
                <w:color w:val="auto"/>
              </w:rPr>
            </w:pPr>
          </w:p>
        </w:tc>
      </w:tr>
      <w:tr>
        <w:trPr>
          <w:trHeight w:val="239"/>
        </w:trPr>
        <w:tc>
          <w:tcPr>
            <w:tcW w:w="640" w:type="dxa"/>
            <w:vAlign w:val="bottom"/>
            <w:tcBorders>
              <w:left w:val="single" w:sz="8" w:color="58595B"/>
              <w:right w:val="single" w:sz="8" w:color="58595B"/>
            </w:tcBorders>
          </w:tcPr>
          <w:p>
            <w:pPr>
              <w:ind w:left="180"/>
              <w:spacing w:after="0"/>
              <w:rPr>
                <w:sz w:val="20"/>
                <w:szCs w:val="20"/>
                <w:color w:val="auto"/>
              </w:rPr>
            </w:pPr>
            <w:r>
              <w:rPr>
                <w:rFonts w:ascii="Arial" w:cs="Arial" w:eastAsia="Arial" w:hAnsi="Arial"/>
                <w:sz w:val="13"/>
                <w:szCs w:val="13"/>
                <w:color w:val="58595B"/>
              </w:rPr>
              <w:t>2025</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4,595,694</w:t>
            </w:r>
          </w:p>
        </w:tc>
        <w:tc>
          <w:tcPr>
            <w:tcW w:w="112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(2,268,797)</w:t>
            </w:r>
          </w:p>
        </w:tc>
        <w:tc>
          <w:tcPr>
            <w:tcW w:w="112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2,158,684</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w:t>
            </w:r>
          </w:p>
        </w:tc>
        <w:tc>
          <w:tcPr>
            <w:tcW w:w="11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w:t>
            </w:r>
          </w:p>
        </w:tc>
        <w:tc>
          <w:tcPr>
            <w:tcW w:w="122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4,485,581</w:t>
            </w:r>
          </w:p>
        </w:tc>
        <w:tc>
          <w:tcPr>
            <w:tcW w:w="0" w:type="dxa"/>
            <w:vAlign w:val="bottom"/>
          </w:tcPr>
          <w:p>
            <w:pPr>
              <w:spacing w:after="0"/>
              <w:rPr>
                <w:sz w:val="1"/>
                <w:szCs w:val="1"/>
                <w:color w:val="auto"/>
              </w:rPr>
            </w:pPr>
          </w:p>
        </w:tc>
      </w:tr>
      <w:tr>
        <w:trPr>
          <w:trHeight w:val="57"/>
        </w:trPr>
        <w:tc>
          <w:tcPr>
            <w:tcW w:w="640" w:type="dxa"/>
            <w:vAlign w:val="bottom"/>
            <w:tcBorders>
              <w:left w:val="single" w:sz="8" w:color="58595B"/>
              <w:bottom w:val="single" w:sz="8" w:color="58595B"/>
              <w:right w:val="single" w:sz="8" w:color="58595B"/>
            </w:tcBorders>
          </w:tcPr>
          <w:p>
            <w:pPr>
              <w:spacing w:after="0"/>
              <w:rPr>
                <w:sz w:val="4"/>
                <w:szCs w:val="4"/>
                <w:color w:val="auto"/>
              </w:rPr>
            </w:pPr>
          </w:p>
        </w:tc>
        <w:tc>
          <w:tcPr>
            <w:tcW w:w="1800" w:type="dxa"/>
            <w:vAlign w:val="bottom"/>
            <w:tcBorders>
              <w:bottom w:val="single" w:sz="8" w:color="58595B"/>
              <w:right w:val="single" w:sz="8" w:color="58595B"/>
            </w:tcBorders>
          </w:tcPr>
          <w:p>
            <w:pPr>
              <w:spacing w:after="0"/>
              <w:rPr>
                <w:sz w:val="4"/>
                <w:szCs w:val="4"/>
                <w:color w:val="auto"/>
              </w:rPr>
            </w:pPr>
          </w:p>
        </w:tc>
        <w:tc>
          <w:tcPr>
            <w:tcW w:w="1120" w:type="dxa"/>
            <w:vAlign w:val="bottom"/>
            <w:tcBorders>
              <w:bottom w:val="single" w:sz="8" w:color="58595B"/>
              <w:right w:val="single" w:sz="8" w:color="58595B"/>
            </w:tcBorders>
          </w:tcPr>
          <w:p>
            <w:pPr>
              <w:spacing w:after="0"/>
              <w:rPr>
                <w:sz w:val="4"/>
                <w:szCs w:val="4"/>
                <w:color w:val="auto"/>
              </w:rPr>
            </w:pPr>
          </w:p>
        </w:tc>
        <w:tc>
          <w:tcPr>
            <w:tcW w:w="1120" w:type="dxa"/>
            <w:vAlign w:val="bottom"/>
            <w:tcBorders>
              <w:bottom w:val="single" w:sz="8" w:color="58595B"/>
              <w:right w:val="single" w:sz="8" w:color="58595B"/>
            </w:tcBorders>
          </w:tcPr>
          <w:p>
            <w:pPr>
              <w:spacing w:after="0"/>
              <w:rPr>
                <w:sz w:val="4"/>
                <w:szCs w:val="4"/>
                <w:color w:val="auto"/>
              </w:rPr>
            </w:pPr>
          </w:p>
        </w:tc>
        <w:tc>
          <w:tcPr>
            <w:tcW w:w="1360" w:type="dxa"/>
            <w:vAlign w:val="bottom"/>
            <w:tcBorders>
              <w:bottom w:val="single" w:sz="8" w:color="58595B"/>
              <w:right w:val="single" w:sz="8" w:color="58595B"/>
            </w:tcBorders>
          </w:tcPr>
          <w:p>
            <w:pPr>
              <w:spacing w:after="0"/>
              <w:rPr>
                <w:sz w:val="4"/>
                <w:szCs w:val="4"/>
                <w:color w:val="auto"/>
              </w:rPr>
            </w:pPr>
          </w:p>
        </w:tc>
        <w:tc>
          <w:tcPr>
            <w:tcW w:w="1180" w:type="dxa"/>
            <w:vAlign w:val="bottom"/>
            <w:tcBorders>
              <w:bottom w:val="single" w:sz="8" w:color="58595B"/>
              <w:right w:val="single" w:sz="8" w:color="58595B"/>
            </w:tcBorders>
          </w:tcPr>
          <w:p>
            <w:pPr>
              <w:spacing w:after="0"/>
              <w:rPr>
                <w:sz w:val="4"/>
                <w:szCs w:val="4"/>
                <w:color w:val="auto"/>
              </w:rPr>
            </w:pPr>
          </w:p>
        </w:tc>
        <w:tc>
          <w:tcPr>
            <w:tcW w:w="122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80"/>
        <w:spacing w:after="0"/>
        <w:rPr>
          <w:sz w:val="20"/>
          <w:szCs w:val="20"/>
          <w:color w:val="auto"/>
        </w:rPr>
      </w:pPr>
      <w:r>
        <w:rPr>
          <w:rFonts w:ascii="Arial" w:cs="Arial" w:eastAsia="Arial" w:hAnsi="Arial"/>
          <w:sz w:val="13"/>
          <w:szCs w:val="13"/>
          <w:color w:val="58595B"/>
        </w:rPr>
        <w:t>(a) The amounts deducted or added in calculating the total average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144780</wp:posOffset>
            </wp:positionV>
            <wp:extent cx="7620" cy="13925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144780</wp:posOffset>
            </wp:positionV>
            <wp:extent cx="7620" cy="13925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144780</wp:posOffset>
            </wp:positionV>
            <wp:extent cx="7620" cy="13925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3489325</wp:posOffset>
            </wp:positionH>
            <wp:positionV relativeFrom="paragraph">
              <wp:posOffset>144780</wp:posOffset>
            </wp:positionV>
            <wp:extent cx="7620" cy="13925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144780</wp:posOffset>
            </wp:positionV>
            <wp:extent cx="7620" cy="13925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144780</wp:posOffset>
            </wp:positionV>
            <wp:extent cx="7620" cy="13925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139255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144780</wp:posOffset>
            </wp:positionV>
            <wp:extent cx="7620" cy="13925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 cy="1392555"/>
                    </a:xfrm>
                    <a:prstGeom prst="rect">
                      <a:avLst/>
                    </a:prstGeom>
                    <a:noFill/>
                  </pic:spPr>
                </pic:pic>
              </a:graphicData>
            </a:graphic>
          </wp:anchor>
        </w:drawing>
      </w:r>
    </w:p>
    <w:p>
      <w:pPr>
        <w:spacing w:after="0" w:line="208" w:lineRule="exact"/>
        <w:rPr>
          <w:sz w:val="20"/>
          <w:szCs w:val="20"/>
          <w:color w:val="auto"/>
        </w:rPr>
      </w:pPr>
    </w:p>
    <w:tbl>
      <w:tblPr>
        <w:tblLayout w:type="fixed"/>
        <w:tblInd w:w="1790" w:type="dxa"/>
        <w:tblCellMar>
          <w:top w:w="0" w:type="dxa"/>
          <w:left w:w="0" w:type="dxa"/>
          <w:bottom w:w="0" w:type="dxa"/>
          <w:right w:w="0" w:type="dxa"/>
        </w:tblCellMar>
      </w:tblPr>
      <w:tr>
        <w:trPr>
          <w:trHeight w:val="202"/>
        </w:trPr>
        <w:tc>
          <w:tcPr>
            <w:tcW w:w="600" w:type="dxa"/>
            <w:vAlign w:val="bottom"/>
            <w:tcBorders>
              <w:left w:val="single" w:sz="8" w:color="58595B"/>
              <w:right w:val="single" w:sz="8" w:color="274F78"/>
            </w:tcBorders>
            <w:shd w:val="clear" w:color="auto" w:fill="274F78"/>
          </w:tcPr>
          <w:p>
            <w:pPr>
              <w:spacing w:after="0"/>
              <w:rPr>
                <w:sz w:val="17"/>
                <w:szCs w:val="17"/>
                <w:color w:val="auto"/>
              </w:rPr>
            </w:pPr>
          </w:p>
        </w:tc>
        <w:tc>
          <w:tcPr>
            <w:tcW w:w="980" w:type="dxa"/>
            <w:vAlign w:val="bottom"/>
            <w:tcBorders>
              <w:right w:val="single" w:sz="8" w:color="274F78"/>
            </w:tcBorders>
            <w:shd w:val="clear" w:color="auto" w:fill="274F78"/>
          </w:tcPr>
          <w:p>
            <w:pPr>
              <w:spacing w:after="0"/>
              <w:rPr>
                <w:sz w:val="17"/>
                <w:szCs w:val="17"/>
                <w:color w:val="auto"/>
              </w:rPr>
            </w:pPr>
          </w:p>
        </w:tc>
        <w:tc>
          <w:tcPr>
            <w:tcW w:w="1160" w:type="dxa"/>
            <w:vAlign w:val="bottom"/>
            <w:tcBorders>
              <w:right w:val="single" w:sz="8" w:color="274F78"/>
            </w:tcBorders>
            <w:shd w:val="clear" w:color="auto" w:fill="274F78"/>
          </w:tcPr>
          <w:p>
            <w:pPr>
              <w:spacing w:after="0"/>
              <w:rPr>
                <w:sz w:val="17"/>
                <w:szCs w:val="17"/>
                <w:color w:val="auto"/>
              </w:rPr>
            </w:pPr>
          </w:p>
        </w:tc>
        <w:tc>
          <w:tcPr>
            <w:tcW w:w="1000" w:type="dxa"/>
            <w:vAlign w:val="bottom"/>
            <w:tcBorders>
              <w:right w:val="single" w:sz="8" w:color="274F78"/>
            </w:tcBorders>
            <w:shd w:val="clear" w:color="auto" w:fill="274F78"/>
          </w:tcPr>
          <w:p>
            <w:pPr>
              <w:spacing w:after="0"/>
              <w:rPr>
                <w:sz w:val="17"/>
                <w:szCs w:val="17"/>
                <w:color w:val="auto"/>
              </w:rPr>
            </w:pPr>
          </w:p>
        </w:tc>
        <w:tc>
          <w:tcPr>
            <w:tcW w:w="10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Year over</w:t>
            </w:r>
          </w:p>
        </w:tc>
        <w:tc>
          <w:tcPr>
            <w:tcW w:w="1080" w:type="dxa"/>
            <w:vAlign w:val="bottom"/>
            <w:tcBorders>
              <w:right w:val="single" w:sz="8" w:color="274F78"/>
            </w:tcBorders>
            <w:shd w:val="clear" w:color="auto" w:fill="274F78"/>
          </w:tcPr>
          <w:p>
            <w:pPr>
              <w:spacing w:after="0"/>
              <w:rPr>
                <w:sz w:val="17"/>
                <w:szCs w:val="17"/>
                <w:color w:val="auto"/>
              </w:rPr>
            </w:pPr>
          </w:p>
        </w:tc>
        <w:tc>
          <w:tcPr>
            <w:tcW w:w="1340" w:type="dxa"/>
            <w:vAlign w:val="bottom"/>
            <w:tcBorders>
              <w:right w:val="single" w:sz="8" w:color="274F78"/>
            </w:tcBorders>
            <w:shd w:val="clear" w:color="auto" w:fill="274F78"/>
          </w:tcPr>
          <w:p>
            <w:pPr>
              <w:spacing w:after="0"/>
              <w:rPr>
                <w:sz w:val="17"/>
                <w:szCs w:val="17"/>
                <w:color w:val="auto"/>
              </w:rPr>
            </w:pPr>
          </w:p>
        </w:tc>
        <w:tc>
          <w:tcPr>
            <w:tcW w:w="940" w:type="dxa"/>
            <w:vAlign w:val="bottom"/>
            <w:tcBorders>
              <w:right w:val="single" w:sz="8" w:color="58595B"/>
            </w:tcBorders>
            <w:shd w:val="clear" w:color="auto" w:fill="274F78"/>
          </w:tcPr>
          <w:p>
            <w:pPr>
              <w:spacing w:after="0"/>
              <w:rPr>
                <w:sz w:val="17"/>
                <w:szCs w:val="17"/>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spacing w:after="0"/>
              <w:rPr>
                <w:sz w:val="12"/>
                <w:szCs w:val="12"/>
                <w:color w:val="auto"/>
              </w:rPr>
            </w:pPr>
          </w:p>
        </w:tc>
        <w:tc>
          <w:tcPr>
            <w:tcW w:w="1000" w:type="dxa"/>
            <w:vAlign w:val="bottom"/>
            <w:tcBorders>
              <w:right w:val="single" w:sz="8" w:color="274F78"/>
            </w:tcBorders>
            <w:shd w:val="clear" w:color="auto" w:fill="274F78"/>
          </w:tcPr>
          <w:p>
            <w:pPr>
              <w:spacing w:after="0"/>
              <w:rPr>
                <w:sz w:val="12"/>
                <w:szCs w:val="12"/>
                <w:color w:val="auto"/>
              </w:rPr>
            </w:pP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Year</w:t>
            </w:r>
          </w:p>
        </w:tc>
        <w:tc>
          <w:tcPr>
            <w:tcW w:w="1080" w:type="dxa"/>
            <w:vAlign w:val="bottom"/>
            <w:tcBorders>
              <w:right w:val="single" w:sz="8" w:color="274F78"/>
            </w:tcBorders>
            <w:shd w:val="clear" w:color="auto" w:fill="274F78"/>
          </w:tcPr>
          <w:p>
            <w:pPr>
              <w:spacing w:after="0"/>
              <w:rPr>
                <w:sz w:val="12"/>
                <w:szCs w:val="12"/>
                <w:color w:val="auto"/>
              </w:rPr>
            </w:pPr>
          </w:p>
        </w:tc>
        <w:tc>
          <w:tcPr>
            <w:tcW w:w="1340" w:type="dxa"/>
            <w:vAlign w:val="bottom"/>
            <w:tcBorders>
              <w:right w:val="single" w:sz="8" w:color="274F78"/>
            </w:tcBorders>
            <w:shd w:val="clear" w:color="auto" w:fill="274F78"/>
          </w:tcPr>
          <w:p>
            <w:pPr>
              <w:spacing w:after="0"/>
              <w:rPr>
                <w:sz w:val="12"/>
                <w:szCs w:val="12"/>
                <w:color w:val="auto"/>
              </w:rPr>
            </w:pP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spacing w:after="0"/>
              <w:rPr>
                <w:sz w:val="12"/>
                <w:szCs w:val="12"/>
                <w:color w:val="auto"/>
              </w:rPr>
            </w:pPr>
          </w:p>
        </w:tc>
        <w:tc>
          <w:tcPr>
            <w:tcW w:w="1000" w:type="dxa"/>
            <w:vAlign w:val="bottom"/>
            <w:tcBorders>
              <w:right w:val="single" w:sz="8" w:color="274F78"/>
            </w:tcBorders>
            <w:shd w:val="clear" w:color="auto" w:fill="274F78"/>
          </w:tcPr>
          <w:p>
            <w:pPr>
              <w:spacing w:after="0"/>
              <w:rPr>
                <w:sz w:val="12"/>
                <w:szCs w:val="12"/>
                <w:color w:val="auto"/>
              </w:rPr>
            </w:pP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Average</w:t>
            </w:r>
          </w:p>
        </w:tc>
        <w:tc>
          <w:tcPr>
            <w:tcW w:w="1080" w:type="dxa"/>
            <w:vAlign w:val="bottom"/>
            <w:tcBorders>
              <w:right w:val="single" w:sz="8" w:color="274F78"/>
            </w:tcBorders>
            <w:shd w:val="clear" w:color="auto" w:fill="274F78"/>
          </w:tcPr>
          <w:p>
            <w:pPr>
              <w:spacing w:after="0"/>
              <w:rPr>
                <w:sz w:val="12"/>
                <w:szCs w:val="12"/>
                <w:color w:val="auto"/>
              </w:rPr>
            </w:pPr>
          </w:p>
        </w:tc>
        <w:tc>
          <w:tcPr>
            <w:tcW w:w="1340" w:type="dxa"/>
            <w:vAlign w:val="bottom"/>
            <w:tcBorders>
              <w:right w:val="single" w:sz="8" w:color="274F78"/>
            </w:tcBorders>
            <w:shd w:val="clear" w:color="auto" w:fill="274F78"/>
          </w:tcPr>
          <w:p>
            <w:pPr>
              <w:spacing w:after="0"/>
              <w:rPr>
                <w:sz w:val="12"/>
                <w:szCs w:val="12"/>
                <w:color w:val="auto"/>
              </w:rPr>
            </w:pP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spacing w:after="0"/>
              <w:rPr>
                <w:sz w:val="12"/>
                <w:szCs w:val="12"/>
                <w:color w:val="auto"/>
              </w:rPr>
            </w:pP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Average</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Change in</w:t>
            </w:r>
          </w:p>
        </w:tc>
        <w:tc>
          <w:tcPr>
            <w:tcW w:w="1080" w:type="dxa"/>
            <w:vAlign w:val="bottom"/>
            <w:tcBorders>
              <w:right w:val="single" w:sz="8" w:color="274F78"/>
            </w:tcBorders>
            <w:shd w:val="clear" w:color="auto" w:fill="274F78"/>
          </w:tcPr>
          <w:p>
            <w:pPr>
              <w:spacing w:after="0"/>
              <w:rPr>
                <w:sz w:val="12"/>
                <w:szCs w:val="12"/>
                <w:color w:val="auto"/>
              </w:rPr>
            </w:pPr>
          </w:p>
        </w:tc>
        <w:tc>
          <w:tcPr>
            <w:tcW w:w="1340" w:type="dxa"/>
            <w:vAlign w:val="bottom"/>
            <w:tcBorders>
              <w:right w:val="single" w:sz="8" w:color="274F78"/>
            </w:tcBorders>
            <w:shd w:val="clear" w:color="auto" w:fill="274F78"/>
          </w:tcPr>
          <w:p>
            <w:pPr>
              <w:spacing w:after="0"/>
              <w:rPr>
                <w:sz w:val="12"/>
                <w:szCs w:val="12"/>
                <w:color w:val="auto"/>
              </w:rPr>
            </w:pP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Year over</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Fair Value</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Fair Value</w:t>
            </w:r>
          </w:p>
        </w:tc>
        <w:tc>
          <w:tcPr>
            <w:tcW w:w="108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Average Fair</w:t>
            </w:r>
          </w:p>
        </w:tc>
        <w:tc>
          <w:tcPr>
            <w:tcW w:w="1340" w:type="dxa"/>
            <w:vAlign w:val="bottom"/>
            <w:tcBorders>
              <w:right w:val="single" w:sz="8" w:color="274F78"/>
            </w:tcBorders>
            <w:shd w:val="clear" w:color="auto" w:fill="274F78"/>
          </w:tcPr>
          <w:p>
            <w:pPr>
              <w:spacing w:after="0"/>
              <w:rPr>
                <w:sz w:val="12"/>
                <w:szCs w:val="12"/>
                <w:color w:val="auto"/>
              </w:rPr>
            </w:pP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Year Average</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as of</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Equity</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8"/>
              </w:rPr>
              <w:t>Value at the</w:t>
            </w:r>
          </w:p>
        </w:tc>
        <w:tc>
          <w:tcPr>
            <w:tcW w:w="1340" w:type="dxa"/>
            <w:vAlign w:val="bottom"/>
            <w:tcBorders>
              <w:right w:val="single" w:sz="8" w:color="274F78"/>
            </w:tcBorders>
            <w:shd w:val="clear" w:color="auto" w:fill="274F78"/>
          </w:tcPr>
          <w:p>
            <w:pPr>
              <w:ind w:left="200"/>
              <w:spacing w:after="0" w:line="148" w:lineRule="exact"/>
              <w:rPr>
                <w:sz w:val="20"/>
                <w:szCs w:val="20"/>
                <w:color w:val="auto"/>
              </w:rPr>
            </w:pPr>
            <w:r>
              <w:rPr>
                <w:rFonts w:ascii="Arial" w:cs="Arial" w:eastAsia="Arial" w:hAnsi="Arial"/>
                <w:sz w:val="13"/>
                <w:szCs w:val="13"/>
                <w:b w:val="1"/>
                <w:bCs w:val="1"/>
                <w:color w:val="FFFFFF"/>
              </w:rPr>
              <w:t>Average Value</w:t>
            </w: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Change in</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Vesting</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Awards</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End of the</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Dividends or</w:t>
            </w: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spacing w:after="0"/>
              <w:rPr>
                <w:sz w:val="12"/>
                <w:szCs w:val="12"/>
                <w:color w:val="auto"/>
              </w:rPr>
            </w:pP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Fair Value</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Date of</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Granted</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Prior Year</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Other Earnings</w:t>
            </w: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Average</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7"/>
              </w:rPr>
              <w:t>of</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6"/>
              </w:rPr>
              <w:t>in Prior</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of Equity</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Paid on Stock or</w:t>
            </w: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Year End</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Outstanding</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Awards</w:t>
            </w:r>
          </w:p>
        </w:tc>
        <w:tc>
          <w:tcPr>
            <w:tcW w:w="100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Years</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Awards that</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Option Awards</w:t>
            </w:r>
          </w:p>
        </w:tc>
        <w:tc>
          <w:tcPr>
            <w:tcW w:w="940" w:type="dxa"/>
            <w:vAlign w:val="bottom"/>
            <w:tcBorders>
              <w:right w:val="single" w:sz="8" w:color="58595B"/>
            </w:tcBorders>
            <w:shd w:val="clear" w:color="auto" w:fill="274F78"/>
          </w:tcPr>
          <w:p>
            <w:pPr>
              <w:spacing w:after="0"/>
              <w:rPr>
                <w:sz w:val="12"/>
                <w:szCs w:val="12"/>
                <w:color w:val="auto"/>
              </w:rPr>
            </w:pP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Fair</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and</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Granted</w:t>
            </w:r>
          </w:p>
        </w:tc>
        <w:tc>
          <w:tcPr>
            <w:tcW w:w="100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that</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Failed to</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not Otherwise</w:t>
            </w:r>
          </w:p>
        </w:tc>
        <w:tc>
          <w:tcPr>
            <w:tcW w:w="94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6"/>
              </w:rPr>
              <w:t>Total</w:t>
            </w: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8"/>
              </w:rPr>
              <w:t>Value of</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Unvested</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and</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6"/>
              </w:rPr>
              <w:t>Vested in</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Meet Vesting</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Reflected in Fair</w:t>
            </w:r>
          </w:p>
        </w:tc>
        <w:tc>
          <w:tcPr>
            <w:tcW w:w="94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Average</w:t>
            </w:r>
          </w:p>
        </w:tc>
      </w:tr>
      <w:tr>
        <w:trPr>
          <w:trHeight w:val="148"/>
        </w:trPr>
        <w:tc>
          <w:tcPr>
            <w:tcW w:w="600" w:type="dxa"/>
            <w:vAlign w:val="bottom"/>
            <w:tcBorders>
              <w:left w:val="single" w:sz="8" w:color="58595B"/>
              <w:right w:val="single" w:sz="8" w:color="274F78"/>
            </w:tcBorders>
            <w:shd w:val="clear" w:color="auto" w:fill="274F78"/>
          </w:tcPr>
          <w:p>
            <w:pPr>
              <w:spacing w:after="0"/>
              <w:rPr>
                <w:sz w:val="12"/>
                <w:szCs w:val="12"/>
                <w:color w:val="auto"/>
              </w:rPr>
            </w:pPr>
          </w:p>
        </w:tc>
        <w:tc>
          <w:tcPr>
            <w:tcW w:w="9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c>
          <w:tcPr>
            <w:tcW w:w="116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c>
          <w:tcPr>
            <w:tcW w:w="100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Vested in</w:t>
            </w:r>
          </w:p>
        </w:tc>
        <w:tc>
          <w:tcPr>
            <w:tcW w:w="1000" w:type="dxa"/>
            <w:vAlign w:val="bottom"/>
            <w:tcBorders>
              <w:right w:val="single" w:sz="8" w:color="274F78"/>
            </w:tcBorders>
            <w:shd w:val="clear" w:color="auto" w:fill="274F78"/>
          </w:tcPr>
          <w:p>
            <w:pPr>
              <w:jc w:val="center"/>
              <w:ind w:right="14"/>
              <w:spacing w:after="0" w:line="148" w:lineRule="exact"/>
              <w:rPr>
                <w:sz w:val="20"/>
                <w:szCs w:val="20"/>
                <w:color w:val="auto"/>
              </w:rPr>
            </w:pPr>
            <w:r>
              <w:rPr>
                <w:rFonts w:ascii="Arial" w:cs="Arial" w:eastAsia="Arial" w:hAnsi="Arial"/>
                <w:sz w:val="13"/>
                <w:szCs w:val="13"/>
                <w:b w:val="1"/>
                <w:bCs w:val="1"/>
                <w:color w:val="FFFFFF"/>
              </w:rPr>
              <w:t>the</w:t>
            </w:r>
          </w:p>
        </w:tc>
        <w:tc>
          <w:tcPr>
            <w:tcW w:w="108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Conditions in</w:t>
            </w:r>
          </w:p>
        </w:tc>
        <w:tc>
          <w:tcPr>
            <w:tcW w:w="1340" w:type="dxa"/>
            <w:vAlign w:val="bottom"/>
            <w:tcBorders>
              <w:right w:val="single" w:sz="8" w:color="274F78"/>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w w:val="99"/>
              </w:rPr>
              <w:t>Value or Total</w:t>
            </w:r>
          </w:p>
        </w:tc>
        <w:tc>
          <w:tcPr>
            <w:tcW w:w="940" w:type="dxa"/>
            <w:vAlign w:val="bottom"/>
            <w:tcBorders>
              <w:right w:val="single" w:sz="8" w:color="58595B"/>
            </w:tcBorders>
            <w:shd w:val="clear" w:color="auto" w:fill="274F78"/>
          </w:tcPr>
          <w:p>
            <w:pPr>
              <w:jc w:val="center"/>
              <w:spacing w:after="0" w:line="148" w:lineRule="exact"/>
              <w:rPr>
                <w:sz w:val="20"/>
                <w:szCs w:val="20"/>
                <w:color w:val="auto"/>
              </w:rPr>
            </w:pPr>
            <w:r>
              <w:rPr>
                <w:rFonts w:ascii="Arial" w:cs="Arial" w:eastAsia="Arial" w:hAnsi="Arial"/>
                <w:sz w:val="13"/>
                <w:szCs w:val="13"/>
                <w:b w:val="1"/>
                <w:bCs w:val="1"/>
                <w:color w:val="FFFFFF"/>
              </w:rPr>
              <w:t>Equity</w:t>
            </w:r>
          </w:p>
        </w:tc>
      </w:tr>
      <w:tr>
        <w:trPr>
          <w:trHeight w:val="197"/>
        </w:trPr>
        <w:tc>
          <w:tcPr>
            <w:tcW w:w="600" w:type="dxa"/>
            <w:vAlign w:val="bottom"/>
            <w:tcBorders>
              <w:left w:val="single" w:sz="8" w:color="58595B"/>
              <w:bottom w:val="single" w:sz="8" w:color="274F78"/>
              <w:right w:val="single" w:sz="8" w:color="274F78"/>
            </w:tcBorders>
            <w:shd w:val="clear" w:color="auto" w:fill="274F78"/>
          </w:tcPr>
          <w:p>
            <w:pPr>
              <w:ind w:left="160"/>
              <w:spacing w:after="0"/>
              <w:rPr>
                <w:sz w:val="20"/>
                <w:szCs w:val="20"/>
                <w:color w:val="auto"/>
              </w:rPr>
            </w:pPr>
            <w:r>
              <w:rPr>
                <w:rFonts w:ascii="Arial" w:cs="Arial" w:eastAsia="Arial" w:hAnsi="Arial"/>
                <w:sz w:val="13"/>
                <w:szCs w:val="13"/>
                <w:b w:val="1"/>
                <w:bCs w:val="1"/>
                <w:color w:val="FFFFFF"/>
              </w:rPr>
              <w:t>Year</w:t>
            </w:r>
          </w:p>
        </w:tc>
        <w:tc>
          <w:tcPr>
            <w:tcW w:w="98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16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Awards</w:t>
            </w:r>
          </w:p>
        </w:tc>
        <w:tc>
          <w:tcPr>
            <w:tcW w:w="100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the Year</w:t>
            </w:r>
          </w:p>
        </w:tc>
        <w:tc>
          <w:tcPr>
            <w:tcW w:w="100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08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the Year</w:t>
            </w:r>
          </w:p>
        </w:tc>
        <w:tc>
          <w:tcPr>
            <w:tcW w:w="134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Compensation</w:t>
            </w:r>
          </w:p>
        </w:tc>
        <w:tc>
          <w:tcPr>
            <w:tcW w:w="940" w:type="dxa"/>
            <w:vAlign w:val="bottom"/>
            <w:tcBorders>
              <w:bottom w:val="single" w:sz="8" w:color="274F78"/>
              <w:right w:val="single" w:sz="8" w:color="58595B"/>
            </w:tcBorders>
            <w:shd w:val="clear" w:color="auto" w:fill="274F78"/>
          </w:tcPr>
          <w:p>
            <w:pPr>
              <w:jc w:val="center"/>
              <w:spacing w:after="0"/>
              <w:rPr>
                <w:sz w:val="20"/>
                <w:szCs w:val="20"/>
                <w:color w:val="auto"/>
              </w:rPr>
            </w:pPr>
            <w:r>
              <w:rPr>
                <w:rFonts w:ascii="Arial" w:cs="Arial" w:eastAsia="Arial" w:hAnsi="Arial"/>
                <w:sz w:val="13"/>
                <w:szCs w:val="13"/>
                <w:b w:val="1"/>
                <w:bCs w:val="1"/>
                <w:color w:val="FFFFFF"/>
              </w:rPr>
              <w:t>Award</w:t>
            </w:r>
          </w:p>
        </w:tc>
      </w:tr>
      <w:tr>
        <w:trPr>
          <w:trHeight w:val="239"/>
        </w:trPr>
        <w:tc>
          <w:tcPr>
            <w:tcW w:w="6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3"/>
                <w:szCs w:val="13"/>
                <w:color w:val="58595B"/>
              </w:rPr>
              <w:t>2025</w:t>
            </w:r>
          </w:p>
        </w:tc>
        <w:tc>
          <w:tcPr>
            <w:tcW w:w="9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2,287,225</w:t>
            </w:r>
          </w:p>
        </w:tc>
        <w:tc>
          <w:tcPr>
            <w:tcW w:w="116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9"/>
              </w:rPr>
              <w:t>(55,307)</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1"/>
              </w:rPr>
              <w:t>—</w:t>
            </w:r>
          </w:p>
        </w:tc>
        <w:tc>
          <w:tcPr>
            <w:tcW w:w="100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9"/>
              </w:rPr>
              <w:t>(73,234)</w:t>
            </w:r>
          </w:p>
        </w:tc>
        <w:tc>
          <w:tcPr>
            <w:tcW w:w="108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w:t>
            </w:r>
          </w:p>
        </w:tc>
        <w:tc>
          <w:tcPr>
            <w:tcW w:w="940" w:type="dxa"/>
            <w:vAlign w:val="bottom"/>
            <w:tcBorders>
              <w:right w:val="single" w:sz="8" w:color="58595B"/>
            </w:tcBorders>
          </w:tcPr>
          <w:p>
            <w:pPr>
              <w:jc w:val="center"/>
              <w:spacing w:after="0"/>
              <w:rPr>
                <w:sz w:val="20"/>
                <w:szCs w:val="20"/>
                <w:color w:val="auto"/>
              </w:rPr>
            </w:pPr>
            <w:r>
              <w:rPr>
                <w:rFonts w:ascii="Arial" w:cs="Arial" w:eastAsia="Arial" w:hAnsi="Arial"/>
                <w:sz w:val="13"/>
                <w:szCs w:val="13"/>
                <w:color w:val="58595B"/>
              </w:rPr>
              <w:t>2,158,684</w:t>
            </w:r>
          </w:p>
        </w:tc>
      </w:tr>
      <w:tr>
        <w:trPr>
          <w:trHeight w:val="57"/>
        </w:trPr>
        <w:tc>
          <w:tcPr>
            <w:tcW w:w="600" w:type="dxa"/>
            <w:vAlign w:val="bottom"/>
            <w:tcBorders>
              <w:left w:val="single" w:sz="8" w:color="58595B"/>
              <w:bottom w:val="single" w:sz="8" w:color="58595B"/>
              <w:right w:val="single" w:sz="8" w:color="58595B"/>
            </w:tcBorders>
          </w:tcPr>
          <w:p>
            <w:pPr>
              <w:spacing w:after="0"/>
              <w:rPr>
                <w:sz w:val="4"/>
                <w:szCs w:val="4"/>
                <w:color w:val="auto"/>
              </w:rPr>
            </w:pPr>
          </w:p>
        </w:tc>
        <w:tc>
          <w:tcPr>
            <w:tcW w:w="980" w:type="dxa"/>
            <w:vAlign w:val="bottom"/>
            <w:tcBorders>
              <w:bottom w:val="single" w:sz="8" w:color="58595B"/>
              <w:right w:val="single" w:sz="8" w:color="58595B"/>
            </w:tcBorders>
          </w:tcPr>
          <w:p>
            <w:pPr>
              <w:spacing w:after="0"/>
              <w:rPr>
                <w:sz w:val="4"/>
                <w:szCs w:val="4"/>
                <w:color w:val="auto"/>
              </w:rPr>
            </w:pPr>
          </w:p>
        </w:tc>
        <w:tc>
          <w:tcPr>
            <w:tcW w:w="1160" w:type="dxa"/>
            <w:vAlign w:val="bottom"/>
            <w:tcBorders>
              <w:bottom w:val="single" w:sz="8" w:color="58595B"/>
              <w:right w:val="single" w:sz="8" w:color="58595B"/>
            </w:tcBorders>
          </w:tcPr>
          <w:p>
            <w:pPr>
              <w:spacing w:after="0"/>
              <w:rPr>
                <w:sz w:val="4"/>
                <w:szCs w:val="4"/>
                <w:color w:val="auto"/>
              </w:rPr>
            </w:pPr>
          </w:p>
        </w:tc>
        <w:tc>
          <w:tcPr>
            <w:tcW w:w="1000" w:type="dxa"/>
            <w:vAlign w:val="bottom"/>
            <w:tcBorders>
              <w:bottom w:val="single" w:sz="8" w:color="58595B"/>
              <w:right w:val="single" w:sz="8" w:color="58595B"/>
            </w:tcBorders>
          </w:tcPr>
          <w:p>
            <w:pPr>
              <w:spacing w:after="0"/>
              <w:rPr>
                <w:sz w:val="4"/>
                <w:szCs w:val="4"/>
                <w:color w:val="auto"/>
              </w:rPr>
            </w:pPr>
          </w:p>
        </w:tc>
        <w:tc>
          <w:tcPr>
            <w:tcW w:w="1000" w:type="dxa"/>
            <w:vAlign w:val="bottom"/>
            <w:tcBorders>
              <w:bottom w:val="single" w:sz="8" w:color="58595B"/>
              <w:right w:val="single" w:sz="8" w:color="58595B"/>
            </w:tcBorders>
          </w:tcPr>
          <w:p>
            <w:pPr>
              <w:spacing w:after="0"/>
              <w:rPr>
                <w:sz w:val="4"/>
                <w:szCs w:val="4"/>
                <w:color w:val="auto"/>
              </w:rPr>
            </w:pPr>
          </w:p>
        </w:tc>
        <w:tc>
          <w:tcPr>
            <w:tcW w:w="108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940" w:type="dxa"/>
            <w:vAlign w:val="bottom"/>
            <w:tcBorders>
              <w:bottom w:val="single" w:sz="8" w:color="58595B"/>
              <w:right w:val="single" w:sz="8" w:color="58595B"/>
            </w:tcBorders>
          </w:tcPr>
          <w:p>
            <w:pPr>
              <w:spacing w:after="0"/>
              <w:rPr>
                <w:sz w:val="4"/>
                <w:szCs w:val="4"/>
                <w:color w:val="auto"/>
              </w:rPr>
            </w:pPr>
          </w:p>
        </w:tc>
      </w:tr>
    </w:tbl>
    <w:p>
      <w:pPr>
        <w:spacing w:after="0" w:line="214" w:lineRule="exact"/>
        <w:rPr>
          <w:sz w:val="20"/>
          <w:szCs w:val="20"/>
          <w:color w:val="auto"/>
        </w:rPr>
      </w:pPr>
    </w:p>
    <w:p>
      <w:pPr>
        <w:ind w:left="1480" w:right="540" w:hanging="298"/>
        <w:spacing w:after="0" w:line="256" w:lineRule="auto"/>
        <w:tabs>
          <w:tab w:leader="none" w:pos="1480" w:val="left"/>
        </w:tabs>
        <w:numPr>
          <w:ilvl w:val="0"/>
          <w:numId w:val="67"/>
        </w:numPr>
        <w:rPr>
          <w:rFonts w:ascii="Arial" w:cs="Arial" w:eastAsia="Arial" w:hAnsi="Arial"/>
          <w:sz w:val="13"/>
          <w:szCs w:val="13"/>
          <w:color w:val="58595B"/>
        </w:rPr>
      </w:pPr>
      <w:r>
        <w:rPr>
          <w:rFonts w:ascii="Arial" w:cs="Arial" w:eastAsia="Arial" w:hAnsi="Arial"/>
          <w:sz w:val="13"/>
          <w:szCs w:val="13"/>
          <w:color w:val="58595B"/>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70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74" w:name="page75"/>
    <w:bookmarkEnd w:id="74"/>
    <w:p>
      <w:pPr>
        <w:ind w:left="920" w:right="440" w:hanging="298"/>
        <w:spacing w:after="0" w:line="274" w:lineRule="auto"/>
        <w:tabs>
          <w:tab w:leader="none" w:pos="920" w:val="left"/>
        </w:tabs>
        <w:numPr>
          <w:ilvl w:val="0"/>
          <w:numId w:val="68"/>
        </w:numPr>
        <w:rPr>
          <w:rFonts w:ascii="Arial" w:cs="Arial" w:eastAsia="Arial" w:hAnsi="Arial"/>
          <w:sz w:val="13"/>
          <w:szCs w:val="13"/>
          <w:color w:val="58595B"/>
        </w:rPr>
      </w:pPr>
      <w:r>
        <w:rPr>
          <w:rFonts w:ascii="Arial" w:cs="Arial" w:eastAsia="Arial" w:hAnsi="Arial"/>
          <w:sz w:val="13"/>
          <w:szCs w:val="13"/>
          <w:color w:val="58595B"/>
        </w:rPr>
        <w:t>Represents the weighted peer group TSR, weighted according to the respective companies' stock market capitalization at the beginning of each period for which a return is indicated. The peer group used for this purpose is First American Financial Corporation and Stewart Information Services Corp.</w:t>
      </w:r>
    </w:p>
    <w:p>
      <w:pPr>
        <w:spacing w:after="0" w:line="102" w:lineRule="exact"/>
        <w:rPr>
          <w:rFonts w:ascii="Arial" w:cs="Arial" w:eastAsia="Arial" w:hAnsi="Arial"/>
          <w:sz w:val="13"/>
          <w:szCs w:val="13"/>
          <w:color w:val="58595B"/>
        </w:rPr>
      </w:pPr>
    </w:p>
    <w:p>
      <w:pPr>
        <w:ind w:left="920" w:hanging="298"/>
        <w:spacing w:after="0"/>
        <w:tabs>
          <w:tab w:leader="none" w:pos="920" w:val="left"/>
        </w:tabs>
        <w:numPr>
          <w:ilvl w:val="0"/>
          <w:numId w:val="68"/>
        </w:numPr>
        <w:rPr>
          <w:rFonts w:ascii="Arial" w:cs="Arial" w:eastAsia="Arial" w:hAnsi="Arial"/>
          <w:sz w:val="13"/>
          <w:szCs w:val="13"/>
          <w:color w:val="58595B"/>
        </w:rPr>
      </w:pPr>
      <w:r>
        <w:rPr>
          <w:rFonts w:ascii="Arial" w:cs="Arial" w:eastAsia="Arial" w:hAnsi="Arial"/>
          <w:sz w:val="13"/>
          <w:szCs w:val="13"/>
          <w:color w:val="58595B"/>
        </w:rPr>
        <w:t>The dollar amounts reported represent the amount of net income reflected in the Company's audited financial statements for the applicable year.</w:t>
      </w:r>
    </w:p>
    <w:p>
      <w:pPr>
        <w:spacing w:after="0" w:line="146" w:lineRule="exact"/>
        <w:rPr>
          <w:rFonts w:ascii="Arial" w:cs="Arial" w:eastAsia="Arial" w:hAnsi="Arial"/>
          <w:sz w:val="13"/>
          <w:szCs w:val="13"/>
          <w:color w:val="58595B"/>
        </w:rPr>
      </w:pPr>
    </w:p>
    <w:p>
      <w:pPr>
        <w:ind w:left="920" w:right="120" w:hanging="298"/>
        <w:spacing w:after="0" w:line="274" w:lineRule="auto"/>
        <w:tabs>
          <w:tab w:leader="none" w:pos="920" w:val="left"/>
        </w:tabs>
        <w:numPr>
          <w:ilvl w:val="0"/>
          <w:numId w:val="68"/>
        </w:numPr>
        <w:rPr>
          <w:rFonts w:ascii="Arial" w:cs="Arial" w:eastAsia="Arial" w:hAnsi="Arial"/>
          <w:sz w:val="13"/>
          <w:szCs w:val="13"/>
          <w:color w:val="58595B"/>
        </w:rPr>
      </w:pPr>
      <w:r>
        <w:rPr>
          <w:rFonts w:ascii="Arial" w:cs="Arial" w:eastAsia="Arial" w:hAnsi="Arial"/>
          <w:sz w:val="13"/>
          <w:szCs w:val="13"/>
          <w:color w:val="58595B"/>
        </w:rPr>
        <w:t>Adjusted Pre-tax Title Margin is calculated by dividing the earnings before income taxes and non-controlling interests from our title segment, excluding recognized gains and losses, purchase accounting amortization and other unusual items, by total revenues of the title segment excluding recognized gains and losses.</w:t>
      </w:r>
    </w:p>
    <w:p>
      <w:pPr>
        <w:spacing w:after="0" w:line="163" w:lineRule="exact"/>
        <w:rPr>
          <w:sz w:val="20"/>
          <w:szCs w:val="20"/>
          <w:color w:val="auto"/>
        </w:rPr>
      </w:pPr>
    </w:p>
    <w:p>
      <w:pPr>
        <w:ind w:left="620" w:right="320"/>
        <w:spacing w:after="0" w:line="236" w:lineRule="auto"/>
        <w:rPr>
          <w:sz w:val="20"/>
          <w:szCs w:val="20"/>
          <w:color w:val="auto"/>
        </w:rPr>
      </w:pPr>
      <w:r>
        <w:rPr>
          <w:rFonts w:ascii="Arial" w:cs="Arial" w:eastAsia="Arial" w:hAnsi="Arial"/>
          <w:sz w:val="18"/>
          <w:szCs w:val="18"/>
          <w:b w:val="1"/>
          <w:bCs w:val="1"/>
          <w:color w:val="062A5D"/>
        </w:rPr>
        <w:t xml:space="preserve">Tabular List of Financial Performance Measures. </w:t>
      </w:r>
      <w:r>
        <w:rPr>
          <w:rFonts w:ascii="Arial" w:cs="Arial" w:eastAsia="Arial" w:hAnsi="Arial"/>
          <w:sz w:val="18"/>
          <w:szCs w:val="18"/>
          <w:color w:val="58595B"/>
        </w:rPr>
        <w:t>As described in greater detail in "Executive Compensation –</w:t>
      </w:r>
      <w:r>
        <w:rPr>
          <w:rFonts w:ascii="Arial" w:cs="Arial" w:eastAsia="Arial" w:hAnsi="Arial"/>
          <w:sz w:val="18"/>
          <w:szCs w:val="18"/>
          <w:b w:val="1"/>
          <w:bCs w:val="1"/>
          <w:color w:val="062A5D"/>
        </w:rPr>
        <w:t xml:space="preserve"> </w:t>
      </w:r>
      <w:r>
        <w:rPr>
          <w:rFonts w:ascii="Arial" w:cs="Arial" w:eastAsia="Arial" w:hAnsi="Arial"/>
          <w:sz w:val="18"/>
          <w:szCs w:val="18"/>
          <w:color w:val="58595B"/>
        </w:rPr>
        <w:t>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184" w:lineRule="exact"/>
        <w:rPr>
          <w:sz w:val="20"/>
          <w:szCs w:val="20"/>
          <w:color w:val="auto"/>
        </w:rPr>
      </w:pPr>
    </w:p>
    <w:p>
      <w:pPr>
        <w:ind w:left="1220" w:hanging="303"/>
        <w:spacing w:after="0"/>
        <w:tabs>
          <w:tab w:leader="none" w:pos="1220" w:val="left"/>
        </w:tabs>
        <w:numPr>
          <w:ilvl w:val="0"/>
          <w:numId w:val="69"/>
        </w:numPr>
        <w:rPr>
          <w:rFonts w:ascii="Arial" w:cs="Arial" w:eastAsia="Arial" w:hAnsi="Arial"/>
          <w:sz w:val="18"/>
          <w:szCs w:val="18"/>
          <w:color w:val="58595B"/>
        </w:rPr>
      </w:pPr>
      <w:r>
        <w:rPr>
          <w:rFonts w:ascii="Arial" w:cs="Arial" w:eastAsia="Arial" w:hAnsi="Arial"/>
          <w:sz w:val="18"/>
          <w:szCs w:val="18"/>
          <w:color w:val="58595B"/>
        </w:rPr>
        <w:t>Adjusted Pre-Tax Title Margin</w:t>
      </w:r>
    </w:p>
    <w:p>
      <w:pPr>
        <w:spacing w:after="0" w:line="187" w:lineRule="exact"/>
        <w:rPr>
          <w:rFonts w:ascii="Arial" w:cs="Arial" w:eastAsia="Arial" w:hAnsi="Arial"/>
          <w:sz w:val="18"/>
          <w:szCs w:val="18"/>
          <w:color w:val="58595B"/>
        </w:rPr>
      </w:pPr>
    </w:p>
    <w:p>
      <w:pPr>
        <w:ind w:left="1220" w:hanging="303"/>
        <w:spacing w:after="0"/>
        <w:tabs>
          <w:tab w:leader="none" w:pos="1220" w:val="left"/>
        </w:tabs>
        <w:numPr>
          <w:ilvl w:val="0"/>
          <w:numId w:val="69"/>
        </w:numPr>
        <w:rPr>
          <w:rFonts w:ascii="Arial" w:cs="Arial" w:eastAsia="Arial" w:hAnsi="Arial"/>
          <w:sz w:val="18"/>
          <w:szCs w:val="18"/>
          <w:color w:val="58595B"/>
        </w:rPr>
      </w:pPr>
      <w:r>
        <w:rPr>
          <w:rFonts w:ascii="Arial" w:cs="Arial" w:eastAsia="Arial" w:hAnsi="Arial"/>
          <w:sz w:val="18"/>
          <w:szCs w:val="18"/>
          <w:color w:val="58595B"/>
        </w:rPr>
        <w:t>Adjusted Title Revenue</w:t>
      </w:r>
    </w:p>
    <w:p>
      <w:pPr>
        <w:spacing w:after="0" w:line="219" w:lineRule="exact"/>
        <w:rPr>
          <w:sz w:val="20"/>
          <w:szCs w:val="20"/>
          <w:color w:val="auto"/>
        </w:rPr>
      </w:pPr>
    </w:p>
    <w:p>
      <w:pPr>
        <w:ind w:left="620" w:right="220"/>
        <w:spacing w:after="0" w:line="247" w:lineRule="auto"/>
        <w:rPr>
          <w:sz w:val="20"/>
          <w:szCs w:val="20"/>
          <w:color w:val="auto"/>
        </w:rPr>
      </w:pPr>
      <w:r>
        <w:rPr>
          <w:rFonts w:ascii="Arial" w:cs="Arial" w:eastAsia="Arial" w:hAnsi="Arial"/>
          <w:sz w:val="17"/>
          <w:szCs w:val="17"/>
          <w:b w:val="1"/>
          <w:bCs w:val="1"/>
          <w:color w:val="062A5D"/>
        </w:rPr>
        <w:t xml:space="preserve">Analysis of the Information Presented in the Pay versus Performance Table. </w:t>
      </w:r>
      <w:r>
        <w:rPr>
          <w:rFonts w:ascii="Arial" w:cs="Arial" w:eastAsia="Arial" w:hAnsi="Arial"/>
          <w:sz w:val="17"/>
          <w:szCs w:val="17"/>
          <w:color w:val="58595B"/>
        </w:rPr>
        <w:t>As described in more detail in the section</w:t>
      </w:r>
      <w:r>
        <w:rPr>
          <w:rFonts w:ascii="Arial" w:cs="Arial" w:eastAsia="Arial" w:hAnsi="Arial"/>
          <w:sz w:val="17"/>
          <w:szCs w:val="17"/>
          <w:b w:val="1"/>
          <w:bCs w:val="1"/>
          <w:color w:val="062A5D"/>
        </w:rPr>
        <w:t xml:space="preserve"> </w:t>
      </w:r>
      <w:r>
        <w:rPr>
          <w:rFonts w:ascii="Arial" w:cs="Arial" w:eastAsia="Arial" w:hAnsi="Arial"/>
          <w:sz w:val="17"/>
          <w:szCs w:val="17"/>
          <w:color w:val="58595B"/>
        </w:rPr>
        <w:t>"Executive Compensation – Compensation Discussion and Analysis," the Company's executive compensation program reflects a variable pay-for-performance philosophy. The Company utilizes two performance measures to align executive compensation with Company performance, both of which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spacing w:after="0" w:line="190" w:lineRule="exact"/>
        <w:rPr>
          <w:sz w:val="20"/>
          <w:szCs w:val="20"/>
          <w:color w:val="auto"/>
        </w:rPr>
      </w:pPr>
    </w:p>
    <w:p>
      <w:pPr>
        <w:ind w:left="620"/>
        <w:spacing w:after="0" w:line="248" w:lineRule="auto"/>
        <w:rPr>
          <w:sz w:val="20"/>
          <w:szCs w:val="20"/>
          <w:color w:val="auto"/>
        </w:rPr>
      </w:pPr>
      <w:r>
        <w:rPr>
          <w:rFonts w:ascii="Arial" w:cs="Arial" w:eastAsia="Arial" w:hAnsi="Arial"/>
          <w:sz w:val="17"/>
          <w:szCs w:val="17"/>
          <w:b w:val="1"/>
          <w:bCs w:val="1"/>
          <w:color w:val="062A5D"/>
        </w:rPr>
        <w:t xml:space="preserve">Compensation Actually Paid and Cumulative TSR. </w:t>
      </w:r>
      <w:r>
        <w:rPr>
          <w:rFonts w:ascii="Arial" w:cs="Arial" w:eastAsia="Arial" w:hAnsi="Arial"/>
          <w:sz w:val="17"/>
          <w:szCs w:val="17"/>
          <w:color w:val="58595B"/>
        </w:rPr>
        <w:t>As demonstrated by the following graph, the amount of compensation</w:t>
      </w:r>
      <w:r>
        <w:rPr>
          <w:rFonts w:ascii="Arial" w:cs="Arial" w:eastAsia="Arial" w:hAnsi="Arial"/>
          <w:sz w:val="17"/>
          <w:szCs w:val="17"/>
          <w:b w:val="1"/>
          <w:bCs w:val="1"/>
          <w:color w:val="062A5D"/>
        </w:rPr>
        <w:t xml:space="preserve"> </w:t>
      </w:r>
      <w:r>
        <w:rPr>
          <w:rFonts w:ascii="Arial" w:cs="Arial" w:eastAsia="Arial" w:hAnsi="Arial"/>
          <w:sz w:val="17"/>
          <w:szCs w:val="17"/>
          <w:color w:val="58595B"/>
        </w:rPr>
        <w:t>actually paid to Mr. Quirk in 2021, the average compensation paid to Messrs. Quirk and Nolan in 2022, the amount of compensation actually paid to Mr. Nolan in 2025, 2024 and 2023, and the average amount of compensation actually paid to the Company's NEOs as a group (excluding Mr. Nolan for 2025, 2024 and 2023, Messrs. Nolan and Quirk for 2022 and excluding Mr. Quirk for 2021) is generally aligned with the Company's cumulative TSR over the five years presented in the table. The alignment of compensation actually paid with the Company's cumulative TSR over the period presented is because a significant portion of the compensation actually paid to Messrs. Nolan and Quirk and to the other NEOs is comprised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128270</wp:posOffset>
            </wp:positionV>
            <wp:extent cx="7144385" cy="297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7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71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880" w:top="847"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254F79"/>
        </w:rPr>
        <w:t xml:space="preserve">CAP </w:t>
      </w:r>
      <w:r>
        <w:rPr>
          <w:rFonts w:ascii="Arial" w:cs="Arial" w:eastAsia="Arial" w:hAnsi="Arial"/>
          <w:sz w:val="12"/>
          <w:szCs w:val="12"/>
          <w:b w:val="1"/>
          <w:bCs w:val="1"/>
          <w:color w:val="254F79"/>
        </w:rPr>
        <w:t>VS</w:t>
      </w:r>
      <w:r>
        <w:rPr>
          <w:rFonts w:ascii="Arial" w:cs="Arial" w:eastAsia="Arial" w:hAnsi="Arial"/>
          <w:sz w:val="16"/>
          <w:szCs w:val="16"/>
          <w:b w:val="1"/>
          <w:bCs w:val="1"/>
          <w:color w:val="254F79"/>
        </w:rPr>
        <w:t xml:space="preser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160020</wp:posOffset>
            </wp:positionV>
            <wp:extent cx="4648200" cy="257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4820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80" w:right="360"/>
        <w:spacing w:after="0" w:line="248" w:lineRule="auto"/>
        <w:rPr>
          <w:sz w:val="20"/>
          <w:szCs w:val="20"/>
          <w:color w:val="auto"/>
        </w:rPr>
      </w:pPr>
      <w:r>
        <w:rPr>
          <w:rFonts w:ascii="Arial" w:cs="Arial" w:eastAsia="Arial" w:hAnsi="Arial"/>
          <w:sz w:val="17"/>
          <w:szCs w:val="17"/>
          <w:b w:val="1"/>
          <w:bCs w:val="1"/>
          <w:color w:val="062A5D"/>
        </w:rPr>
        <w:t xml:space="preserve">Compensation Actually Paid and Net Income. </w:t>
      </w:r>
      <w:r>
        <w:rPr>
          <w:rFonts w:ascii="Arial" w:cs="Arial" w:eastAsia="Arial" w:hAnsi="Arial"/>
          <w:sz w:val="17"/>
          <w:szCs w:val="17"/>
          <w:color w:val="58595B"/>
        </w:rPr>
        <w:t>As demonstrated by the following table, the amount of compensation actually</w:t>
      </w:r>
      <w:r>
        <w:rPr>
          <w:rFonts w:ascii="Arial" w:cs="Arial" w:eastAsia="Arial" w:hAnsi="Arial"/>
          <w:sz w:val="17"/>
          <w:szCs w:val="17"/>
          <w:b w:val="1"/>
          <w:bCs w:val="1"/>
          <w:color w:val="062A5D"/>
        </w:rPr>
        <w:t xml:space="preserve"> </w:t>
      </w:r>
      <w:r>
        <w:rPr>
          <w:rFonts w:ascii="Arial" w:cs="Arial" w:eastAsia="Arial" w:hAnsi="Arial"/>
          <w:sz w:val="17"/>
          <w:szCs w:val="17"/>
          <w:color w:val="58595B"/>
        </w:rPr>
        <w:t>paid to our principal executive officer and the average amount of compensation actually paid to the Company's NEOs as a group (excluding Mr. Nolan for 2025, 2024 and 2023, Messrs. Nolan and Quirk for 2022 and excluding Mr. Quirk for 2021) is generally aligned with the Company's net income over the five years presented in the table. While the Company does not use net income as a performance measure in the overall executive compensation program, the measure of net income is correlated with the measure Adjusted Pre-tax Margin, which the company does use for when setting goals in the Company's annual incentive plan and the performance-based restricted stock awards that are granted to the NEOs.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54F79"/>
        </w:rPr>
        <w:t xml:space="preserve">CAP </w:t>
      </w:r>
      <w:r>
        <w:rPr>
          <w:rFonts w:ascii="Arial" w:cs="Arial" w:eastAsia="Arial" w:hAnsi="Arial"/>
          <w:sz w:val="12"/>
          <w:szCs w:val="12"/>
          <w:b w:val="1"/>
          <w:bCs w:val="1"/>
          <w:color w:val="254F79"/>
        </w:rPr>
        <w:t>VS</w:t>
      </w:r>
      <w:r>
        <w:rPr>
          <w:rFonts w:ascii="Arial" w:cs="Arial" w:eastAsia="Arial" w:hAnsi="Arial"/>
          <w:sz w:val="16"/>
          <w:szCs w:val="16"/>
          <w:b w:val="1"/>
          <w:bCs w:val="1"/>
          <w:color w:val="254F79"/>
        </w:rPr>
        <w:t xml:space="preserv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160020</wp:posOffset>
            </wp:positionV>
            <wp:extent cx="4733925" cy="2543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3392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72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2" w:right="339" w:bottom="1440" w:gutter="0" w:footer="0" w:header="0"/>
        </w:sectPr>
      </w:pPr>
    </w:p>
    <w:bookmarkStart w:id="76" w:name="page77"/>
    <w:bookmarkEnd w:id="76"/>
    <w:p>
      <w:pPr>
        <w:ind w:left="620" w:right="120"/>
        <w:spacing w:after="0" w:line="245" w:lineRule="auto"/>
        <w:rPr>
          <w:sz w:val="20"/>
          <w:szCs w:val="20"/>
          <w:color w:val="auto"/>
        </w:rPr>
      </w:pPr>
      <w:r>
        <w:rPr>
          <w:rFonts w:ascii="Arial" w:cs="Arial" w:eastAsia="Arial" w:hAnsi="Arial"/>
          <w:sz w:val="17"/>
          <w:szCs w:val="17"/>
          <w:b w:val="1"/>
          <w:bCs w:val="1"/>
          <w:color w:val="062A5D"/>
        </w:rPr>
        <w:t xml:space="preserve">Compensation Actually Paid and Adjusted Pre-tax Title Margin. </w:t>
      </w:r>
      <w:r>
        <w:rPr>
          <w:rFonts w:ascii="Arial" w:cs="Arial" w:eastAsia="Arial" w:hAnsi="Arial"/>
          <w:sz w:val="17"/>
          <w:szCs w:val="17"/>
          <w:color w:val="58595B"/>
        </w:rPr>
        <w:t>As demonstrated by the following graph, the amount of</w:t>
      </w:r>
      <w:r>
        <w:rPr>
          <w:rFonts w:ascii="Arial" w:cs="Arial" w:eastAsia="Arial" w:hAnsi="Arial"/>
          <w:sz w:val="17"/>
          <w:szCs w:val="17"/>
          <w:b w:val="1"/>
          <w:bCs w:val="1"/>
          <w:color w:val="062A5D"/>
        </w:rPr>
        <w:t xml:space="preserve"> </w:t>
      </w:r>
      <w:r>
        <w:rPr>
          <w:rFonts w:ascii="Arial" w:cs="Arial" w:eastAsia="Arial" w:hAnsi="Arial"/>
          <w:sz w:val="17"/>
          <w:szCs w:val="17"/>
          <w:color w:val="58595B"/>
        </w:rPr>
        <w:t>compensation actually paid to our principal executive officer and the average amount of compensation actually paid to the Company's NEOs as a group (excluding Mr. Nolan for 2025, 2024 and 2023, Messrs. Nolan and Quirk for 2022 and excluding Mr. Quirk for 2021) is generally aligned with the Adjusted Pre-tax Title Margin of our title segment over the five years presented in the table. As described above, Adjusted Pre-tax Title Margin is determined by dividing the earnings before income taxes and non-controlling interests from our title segment, excluding recognized gains and losses, purchase accounting amortization and other unusual items, by total revenues of the title segment excluding recognized gains and losses. The Company has determined that Adjusted Pre-tax Title Margin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 The Company utilizes Adjusted Pre-tax Title Margin when setting goals in the Company's annual incentive plan, as well as for setting goals for the performance-based restricted stock awards granted to the NEOs.</w:t>
      </w:r>
    </w:p>
    <w:p>
      <w:pPr>
        <w:spacing w:after="0" w:line="215"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254F79"/>
        </w:rPr>
        <w:t xml:space="preserve">CAP </w:t>
      </w:r>
      <w:r>
        <w:rPr>
          <w:rFonts w:ascii="Arial" w:cs="Arial" w:eastAsia="Arial" w:hAnsi="Arial"/>
          <w:sz w:val="12"/>
          <w:szCs w:val="12"/>
          <w:b w:val="1"/>
          <w:bCs w:val="1"/>
          <w:color w:val="254F79"/>
        </w:rPr>
        <w:t>VS</w:t>
      </w:r>
      <w:r>
        <w:rPr>
          <w:rFonts w:ascii="Arial" w:cs="Arial" w:eastAsia="Arial" w:hAnsi="Arial"/>
          <w:sz w:val="16"/>
          <w:szCs w:val="16"/>
          <w:b w:val="1"/>
          <w:bCs w:val="1"/>
          <w:color w:val="254F79"/>
        </w:rPr>
        <w:t xml:space="preserve"> ADJUSTED PRE TAX TITLE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160020</wp:posOffset>
            </wp:positionV>
            <wp:extent cx="4491355" cy="25120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49135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line="247" w:lineRule="auto"/>
        <w:rPr>
          <w:sz w:val="20"/>
          <w:szCs w:val="20"/>
          <w:color w:val="auto"/>
        </w:rPr>
      </w:pPr>
      <w:r>
        <w:rPr>
          <w:rFonts w:ascii="Arial" w:cs="Arial" w:eastAsia="Arial" w:hAnsi="Arial"/>
          <w:sz w:val="17"/>
          <w:szCs w:val="17"/>
          <w:b w:val="1"/>
          <w:bCs w:val="1"/>
          <w:color w:val="062A5D"/>
        </w:rPr>
        <w:t xml:space="preserve">Cumulative TSR of the Company and Cumulative TSR of the Peer Group. </w:t>
      </w:r>
      <w:r>
        <w:rPr>
          <w:rFonts w:ascii="Arial" w:cs="Arial" w:eastAsia="Arial" w:hAnsi="Arial"/>
          <w:sz w:val="17"/>
          <w:szCs w:val="17"/>
          <w:color w:val="58595B"/>
        </w:rPr>
        <w:t>As demonstrated by the following graph, the</w:t>
      </w:r>
      <w:r>
        <w:rPr>
          <w:rFonts w:ascii="Arial" w:cs="Arial" w:eastAsia="Arial" w:hAnsi="Arial"/>
          <w:sz w:val="17"/>
          <w:szCs w:val="17"/>
          <w:b w:val="1"/>
          <w:bCs w:val="1"/>
          <w:color w:val="062A5D"/>
        </w:rPr>
        <w:t xml:space="preserve"> </w:t>
      </w:r>
      <w:r>
        <w:rPr>
          <w:rFonts w:ascii="Arial" w:cs="Arial" w:eastAsia="Arial" w:hAnsi="Arial"/>
          <w:sz w:val="17"/>
          <w:szCs w:val="17"/>
          <w:color w:val="58595B"/>
        </w:rPr>
        <w:t>Company's cumulative TSR over the five-year period presented in the table was 85%, while the cumulative TSR of the peer group presented for this purpose, First American Financial Corporation and Stewart Information Services Corp., was 47% over the five years presented in the table. The Company's cumulative TSR generally outperformed the First American Financial Corporation and Stewart Information Services Corp. during the five years presented in the table, representing the Company's superior financial performance as compared to the companies comprising the First American Financial Corporation and Stewart Information Services Corp. peer group. For more information regarding the Company's performance and the companies that the Compensation Committee considers when determining compensation, refer to "Executive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127000</wp:posOffset>
            </wp:positionV>
            <wp:extent cx="7144385" cy="297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73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00"/>
          </w:cols>
          <w:pgMar w:left="880" w:top="840" w:right="41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254F79"/>
        </w:rPr>
        <w:t>TOTAL SHAREHOLDER RETURN VS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1689100</wp:posOffset>
            </wp:positionH>
            <wp:positionV relativeFrom="paragraph">
              <wp:posOffset>151765</wp:posOffset>
            </wp:positionV>
            <wp:extent cx="3724910" cy="24098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2491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DIRECTOR COMPENSATION</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COMPENSATION OF OUR NON-EXECUTIVE CHAIRMAN</w:t>
      </w:r>
    </w:p>
    <w:p>
      <w:pPr>
        <w:spacing w:after="0" w:line="218" w:lineRule="exact"/>
        <w:rPr>
          <w:sz w:val="20"/>
          <w:szCs w:val="20"/>
          <w:color w:val="auto"/>
        </w:rPr>
      </w:pPr>
    </w:p>
    <w:p>
      <w:pPr>
        <w:ind w:left="1180" w:right="160"/>
        <w:spacing w:after="0" w:line="241" w:lineRule="auto"/>
        <w:rPr>
          <w:sz w:val="20"/>
          <w:szCs w:val="20"/>
          <w:color w:val="auto"/>
        </w:rPr>
      </w:pPr>
      <w:r>
        <w:rPr>
          <w:rFonts w:ascii="Arial" w:cs="Arial" w:eastAsia="Arial" w:hAnsi="Arial"/>
          <w:sz w:val="18"/>
          <w:szCs w:val="18"/>
          <w:color w:val="58595B"/>
        </w:rPr>
        <w:t>Our compensation consultant reviews the compensation paid to our directors on a regular basis, and then makes recommendations on any changes to our director compensation practices. Our compensation committee discusses the compensation consultant's recommendations and determines whether to make any changes to our director compensation in that year.</w:t>
      </w:r>
    </w:p>
    <w:p>
      <w:pPr>
        <w:spacing w:after="0" w:line="179" w:lineRule="exact"/>
        <w:rPr>
          <w:sz w:val="20"/>
          <w:szCs w:val="20"/>
          <w:color w:val="auto"/>
        </w:rPr>
      </w:pPr>
    </w:p>
    <w:p>
      <w:pPr>
        <w:ind w:left="1180" w:right="40"/>
        <w:spacing w:after="0" w:line="236" w:lineRule="auto"/>
        <w:rPr>
          <w:sz w:val="20"/>
          <w:szCs w:val="20"/>
          <w:color w:val="auto"/>
        </w:rPr>
      </w:pPr>
      <w:r>
        <w:rPr>
          <w:rFonts w:ascii="Arial" w:cs="Arial" w:eastAsia="Arial" w:hAnsi="Arial"/>
          <w:sz w:val="18"/>
          <w:szCs w:val="18"/>
          <w:color w:val="58595B"/>
        </w:rPr>
        <w:t>With respect to Mr. Foley's compensation in 2025, our directors discussed the critical role Mr. Foley plays in the formation and execution of our long-term strategic vision. Mr. Foley founded FNF in 1984 and transformed it into a leading provider of title insurance, escrow and other title-related services. Under Mr. Foley's leadership, we issue through our title insurance underwriters more title insurance policies than any other title company in the United States. In addition to the incredible value Mr. Foley has created at FNF, he led the teams that created additional value for FNF's shareholders through strategic transactions such as:</w:t>
      </w:r>
    </w:p>
    <w:p>
      <w:pPr>
        <w:spacing w:after="0" w:line="184" w:lineRule="exact"/>
        <w:rPr>
          <w:sz w:val="20"/>
          <w:szCs w:val="20"/>
          <w:color w:val="auto"/>
        </w:rPr>
      </w:pPr>
    </w:p>
    <w:p>
      <w:pPr>
        <w:ind w:left="1780" w:right="380" w:hanging="303"/>
        <w:spacing w:after="0" w:line="236" w:lineRule="auto"/>
        <w:tabs>
          <w:tab w:leader="none" w:pos="1780" w:val="left"/>
        </w:tabs>
        <w:numPr>
          <w:ilvl w:val="0"/>
          <w:numId w:val="70"/>
        </w:numPr>
        <w:rPr>
          <w:rFonts w:ascii="Arial" w:cs="Arial" w:eastAsia="Arial" w:hAnsi="Arial"/>
          <w:sz w:val="18"/>
          <w:szCs w:val="18"/>
          <w:color w:val="58595B"/>
        </w:rPr>
      </w:pPr>
      <w:r>
        <w:rPr>
          <w:rFonts w:ascii="Arial" w:cs="Arial" w:eastAsia="Arial" w:hAnsi="Arial"/>
          <w:sz w:val="18"/>
          <w:szCs w:val="18"/>
          <w:color w:val="58595B"/>
        </w:rPr>
        <w:t>Our acquisition of F&amp;G and subsequent distributions to our shareholders, on a pro rata basis, of approximately 15% of the common stock of F&amp;G on December 1, 2022 and an additional 12% of the common stock of F&amp;G on December 31, 2025. Since our acquisition of F&amp;G in June 2020 for approximately $2.7 billion, F&amp;G's assets under management have increased by 117% to $57.6 billion and, as of December 31, 2025, F&amp;G's market capitalization was $4.2 billion and F&amp;G had returned $364 million in cash dividends to shareholders. We continue to control F&amp;G through our 70% ownership interest of F&amp;G common stock.</w:t>
      </w:r>
    </w:p>
    <w:p>
      <w:pPr>
        <w:spacing w:after="0" w:line="146" w:lineRule="exact"/>
        <w:rPr>
          <w:rFonts w:ascii="Arial" w:cs="Arial" w:eastAsia="Arial" w:hAnsi="Arial"/>
          <w:sz w:val="18"/>
          <w:szCs w:val="18"/>
          <w:color w:val="58595B"/>
        </w:rPr>
      </w:pPr>
    </w:p>
    <w:p>
      <w:pPr>
        <w:ind w:left="1780" w:right="340" w:hanging="303"/>
        <w:spacing w:after="0" w:line="266" w:lineRule="auto"/>
        <w:tabs>
          <w:tab w:leader="none" w:pos="1780" w:val="left"/>
        </w:tabs>
        <w:numPr>
          <w:ilvl w:val="0"/>
          <w:numId w:val="70"/>
        </w:numPr>
        <w:rPr>
          <w:rFonts w:ascii="Arial" w:cs="Arial" w:eastAsia="Arial" w:hAnsi="Arial"/>
          <w:sz w:val="18"/>
          <w:szCs w:val="18"/>
          <w:color w:val="58595B"/>
        </w:rPr>
      </w:pPr>
      <w:r>
        <w:rPr>
          <w:rFonts w:ascii="Arial" w:cs="Arial" w:eastAsia="Arial" w:hAnsi="Arial"/>
          <w:sz w:val="18"/>
          <w:szCs w:val="18"/>
          <w:color w:val="58595B"/>
        </w:rPr>
        <w:t>The split-off of our non-core businesses which formerly comprised our FNF Ventures Group into Cannae Holdings, Inc. (</w:t>
      </w:r>
      <w:r>
        <w:rPr>
          <w:rFonts w:ascii="Arial" w:cs="Arial" w:eastAsia="Arial" w:hAnsi="Arial"/>
          <w:sz w:val="18"/>
          <w:szCs w:val="18"/>
          <w:i w:val="1"/>
          <w:iCs w:val="1"/>
          <w:color w:val="58595B"/>
        </w:rPr>
        <w:t>Cannae</w:t>
      </w:r>
      <w:r>
        <w:rPr>
          <w:rFonts w:ascii="Arial" w:cs="Arial" w:eastAsia="Arial" w:hAnsi="Arial"/>
          <w:sz w:val="18"/>
          <w:szCs w:val="18"/>
          <w:color w:val="58595B"/>
        </w:rPr>
        <w:t>). As of December 31, 2025, Cannae had a market capitalization of $0.7 billion.</w:t>
      </w:r>
    </w:p>
    <w:p>
      <w:pPr>
        <w:spacing w:after="0" w:line="157" w:lineRule="exact"/>
        <w:rPr>
          <w:sz w:val="20"/>
          <w:szCs w:val="20"/>
          <w:color w:val="auto"/>
        </w:rPr>
      </w:pPr>
    </w:p>
    <w:p>
      <w:pPr>
        <w:ind w:left="1180" w:right="480"/>
        <w:spacing w:after="0" w:line="266" w:lineRule="auto"/>
        <w:rPr>
          <w:sz w:val="20"/>
          <w:szCs w:val="20"/>
          <w:color w:val="auto"/>
        </w:rPr>
      </w:pPr>
      <w:r>
        <w:rPr>
          <w:rFonts w:ascii="Arial" w:cs="Arial" w:eastAsia="Arial" w:hAnsi="Arial"/>
          <w:sz w:val="18"/>
          <w:szCs w:val="18"/>
          <w:color w:val="58595B"/>
        </w:rPr>
        <w:t>While Mr. Foley is no longer an executive of FNF or involved in our day-to-day operations, he continues to be the driving force behind the development and execution of our strategic direction.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74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616"/>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7" w:right="339" w:bottom="1440" w:gutter="0" w:footer="0" w:header="0"/>
        </w:sectPr>
      </w:pPr>
    </w:p>
    <w:bookmarkStart w:id="78" w:name="page79"/>
    <w:bookmarkEnd w:id="78"/>
    <w:p>
      <w:pPr>
        <w:ind w:left="620" w:right="40"/>
        <w:spacing w:after="0" w:line="241" w:lineRule="auto"/>
        <w:rPr>
          <w:sz w:val="20"/>
          <w:szCs w:val="20"/>
          <w:color w:val="auto"/>
        </w:rPr>
      </w:pPr>
      <w:r>
        <w:rPr>
          <w:rFonts w:ascii="Arial" w:cs="Arial" w:eastAsia="Arial" w:hAnsi="Arial"/>
          <w:sz w:val="18"/>
          <w:szCs w:val="18"/>
          <w:color w:val="58595B"/>
        </w:rPr>
        <w:t>In recognition of Mr. Foley's superior service, strategic input and high value to FNF and its stakeholders and FNF's superior financial performance, Mr. Foley receives an annual cash retainer of $530,000. Beginning in September 2023, Mr. Foley also receives an annual base salary of $36,000 as a non-executive employee of FNF and is eligible to participate in our health and welfare benefits. In light of the special award granted to Mr. Foley in 2024, he did not receive an annual equity award in 2025.</w:t>
      </w:r>
    </w:p>
    <w:p>
      <w:pPr>
        <w:spacing w:after="0" w:line="179" w:lineRule="exact"/>
        <w:rPr>
          <w:sz w:val="20"/>
          <w:szCs w:val="20"/>
          <w:color w:val="auto"/>
        </w:rPr>
      </w:pPr>
    </w:p>
    <w:p>
      <w:pPr>
        <w:ind w:left="620" w:right="360"/>
        <w:spacing w:after="0" w:line="241" w:lineRule="auto"/>
        <w:rPr>
          <w:sz w:val="20"/>
          <w:szCs w:val="20"/>
          <w:color w:val="auto"/>
        </w:rPr>
      </w:pPr>
      <w:r>
        <w:rPr>
          <w:rFonts w:ascii="Arial" w:cs="Arial" w:eastAsia="Arial" w:hAnsi="Arial"/>
          <w:sz w:val="18"/>
          <w:szCs w:val="18"/>
          <w:color w:val="58595B"/>
        </w:rPr>
        <w:t>Under the terms of Mr. Foley's director services agreement, if his service is terminated by us for any reason other than for cause, due to death or disability, by him for good reason or if he is not nominated to run for re-election as Chairman of the board, is nominated, but does not receive enough votes to be re-elected to the board, or is removed as Chairman of the board for reasons other than cause, then he is entitled to receive:</w:t>
      </w:r>
    </w:p>
    <w:p>
      <w:pPr>
        <w:spacing w:after="0" w:line="179" w:lineRule="exact"/>
        <w:rPr>
          <w:sz w:val="20"/>
          <w:szCs w:val="20"/>
          <w:color w:val="auto"/>
        </w:rPr>
      </w:pPr>
    </w:p>
    <w:p>
      <w:pPr>
        <w:ind w:left="1220" w:hanging="303"/>
        <w:spacing w:after="0"/>
        <w:tabs>
          <w:tab w:leader="none" w:pos="1220" w:val="left"/>
        </w:tabs>
        <w:numPr>
          <w:ilvl w:val="0"/>
          <w:numId w:val="71"/>
        </w:numPr>
        <w:rPr>
          <w:rFonts w:ascii="Arial" w:cs="Arial" w:eastAsia="Arial" w:hAnsi="Arial"/>
          <w:sz w:val="18"/>
          <w:szCs w:val="18"/>
          <w:color w:val="58595B"/>
        </w:rPr>
      </w:pPr>
      <w:r>
        <w:rPr>
          <w:rFonts w:ascii="Arial" w:cs="Arial" w:eastAsia="Arial" w:hAnsi="Arial"/>
          <w:sz w:val="18"/>
          <w:szCs w:val="18"/>
          <w:color w:val="58595B"/>
        </w:rPr>
        <w:t>Any accrued obligations, and</w:t>
      </w:r>
    </w:p>
    <w:p>
      <w:pPr>
        <w:spacing w:after="0" w:line="187" w:lineRule="exact"/>
        <w:rPr>
          <w:rFonts w:ascii="Arial" w:cs="Arial" w:eastAsia="Arial" w:hAnsi="Arial"/>
          <w:sz w:val="18"/>
          <w:szCs w:val="18"/>
          <w:color w:val="58595B"/>
        </w:rPr>
      </w:pPr>
    </w:p>
    <w:p>
      <w:pPr>
        <w:ind w:left="1220" w:hanging="303"/>
        <w:spacing w:after="0"/>
        <w:tabs>
          <w:tab w:leader="none" w:pos="1220" w:val="left"/>
        </w:tabs>
        <w:numPr>
          <w:ilvl w:val="0"/>
          <w:numId w:val="71"/>
        </w:numPr>
        <w:rPr>
          <w:rFonts w:ascii="Arial" w:cs="Arial" w:eastAsia="Arial" w:hAnsi="Arial"/>
          <w:sz w:val="18"/>
          <w:szCs w:val="18"/>
          <w:color w:val="58595B"/>
        </w:rPr>
      </w:pPr>
      <w:r>
        <w:rPr>
          <w:rFonts w:ascii="Arial" w:cs="Arial" w:eastAsia="Arial" w:hAnsi="Arial"/>
          <w:sz w:val="18"/>
          <w:szCs w:val="18"/>
          <w:color w:val="58595B"/>
        </w:rPr>
        <w:t>Immediate vesting and/or payment of all FNF equity awards.</w:t>
      </w:r>
    </w:p>
    <w:p>
      <w:pPr>
        <w:spacing w:after="0" w:line="212" w:lineRule="exact"/>
        <w:rPr>
          <w:sz w:val="20"/>
          <w:szCs w:val="20"/>
          <w:color w:val="auto"/>
        </w:rPr>
      </w:pPr>
    </w:p>
    <w:p>
      <w:pPr>
        <w:ind w:left="620" w:right="440"/>
        <w:spacing w:after="0" w:line="266" w:lineRule="auto"/>
        <w:rPr>
          <w:sz w:val="20"/>
          <w:szCs w:val="20"/>
          <w:color w:val="auto"/>
        </w:rPr>
      </w:pPr>
      <w:r>
        <w:rPr>
          <w:rFonts w:ascii="Arial" w:cs="Arial" w:eastAsia="Arial" w:hAnsi="Arial"/>
          <w:sz w:val="18"/>
          <w:szCs w:val="18"/>
          <w:color w:val="58595B"/>
        </w:rPr>
        <w:t>If we terminate Mr. Foley's service for cause or he resigns without good reason, our only obligation is the payment of any accrued obligations.</w:t>
      </w:r>
    </w:p>
    <w:p>
      <w:pPr>
        <w:spacing w:after="0" w:line="167" w:lineRule="exact"/>
        <w:rPr>
          <w:sz w:val="20"/>
          <w:szCs w:val="20"/>
          <w:color w:val="auto"/>
        </w:rPr>
      </w:pPr>
    </w:p>
    <w:p>
      <w:pPr>
        <w:ind w:left="620"/>
        <w:spacing w:after="0" w:line="246" w:lineRule="auto"/>
        <w:rPr>
          <w:sz w:val="20"/>
          <w:szCs w:val="20"/>
          <w:color w:val="auto"/>
        </w:rPr>
      </w:pPr>
      <w:r>
        <w:rPr>
          <w:rFonts w:ascii="Arial" w:cs="Arial" w:eastAsia="Arial" w:hAnsi="Arial"/>
          <w:sz w:val="17"/>
          <w:szCs w:val="17"/>
          <w:color w:val="58595B"/>
        </w:rPr>
        <w:t>For purposes of Mr. Foley's agreement, "cause" includes Mr. Foley's persistent failure to perform duties consistent with a commercially reasonable standard of care, willful neglect of duties, conviction of, or pleading nolo contendere to, criminal or other illegal activities involving dishonesty, material breach of his agreement, or impeding or failing to materially cooperate with an investigation authorized by our board. The term "good reason" is defined in the agreement to include a material diminution in his position or title or the assignment of duties to him that are materially inconsistent with his position or title; a material diminution of his annual retainer; within six months immediately preceding or within two years immediately following a change in control, (1) a material adverse change in this status, authority or responsibility, (2) a material adverse change in the position to whom he reports or to his service relationship as a result of such reporting structure change, or (3) a material diminution in the authority, duties or responsibilities of the position to whom he reports; our material breach of any of our obligations under the agreement; or election of a new director to the board of directors who Mr. Foley did not consent to or vote for.</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727898"/>
        </w:rPr>
        <w:t>COMPENSATION OF MR. FOLEY AS EXECUTIVE CHAIRMAN OF F&amp;G</w:t>
      </w:r>
    </w:p>
    <w:p>
      <w:pPr>
        <w:spacing w:after="0" w:line="228" w:lineRule="exact"/>
        <w:rPr>
          <w:sz w:val="20"/>
          <w:szCs w:val="20"/>
          <w:color w:val="auto"/>
        </w:rPr>
      </w:pPr>
    </w:p>
    <w:p>
      <w:pPr>
        <w:ind w:left="620" w:right="280"/>
        <w:spacing w:after="0" w:line="247" w:lineRule="auto"/>
        <w:rPr>
          <w:sz w:val="20"/>
          <w:szCs w:val="20"/>
          <w:color w:val="auto"/>
        </w:rPr>
      </w:pPr>
      <w:r>
        <w:rPr>
          <w:rFonts w:ascii="Arial" w:cs="Arial" w:eastAsia="Arial" w:hAnsi="Arial"/>
          <w:sz w:val="17"/>
          <w:szCs w:val="17"/>
          <w:color w:val="58595B"/>
        </w:rPr>
        <w:t>In connection with the F&amp;G spin-off, Mr. Foley has also served as Executive Chairman of F&amp;G since November 2022. Since our acquisition of F&amp;G in June 2020, Mr. Foley has led the development of F&amp;G's diversification growth strategy and his continued service and focus on F&amp;G is integral to F&amp;G's continued execution of that strategy and its financial performance. Mr. Foley does not receive a base salary at F&amp;G or participate in F&amp;G's short-term annual cash incentive plan. In November 2025, Mr. Foley received a long-term incentive award of 199,204 restricted shares of F&amp;G common stock that vests in three equal annual installments beginning on November 10, 2026, subject to achievement of performance criteria specified in the award agreement. The compensation paid by F&amp;G to Mr. Foley for his service as Executive Chairman of F&amp;G is included in these discussions and the tables that follow because FNF owns a majority of F&amp;G's outstanding common stock.</w:t>
      </w:r>
    </w:p>
    <w:p>
      <w:pPr>
        <w:spacing w:after="0" w:line="180" w:lineRule="exact"/>
        <w:rPr>
          <w:sz w:val="20"/>
          <w:szCs w:val="20"/>
          <w:color w:val="auto"/>
        </w:rPr>
      </w:pPr>
    </w:p>
    <w:p>
      <w:pPr>
        <w:ind w:left="620" w:right="180"/>
        <w:spacing w:after="0" w:line="247" w:lineRule="auto"/>
        <w:rPr>
          <w:sz w:val="20"/>
          <w:szCs w:val="20"/>
          <w:color w:val="auto"/>
        </w:rPr>
      </w:pPr>
      <w:r>
        <w:rPr>
          <w:rFonts w:ascii="Arial" w:cs="Arial" w:eastAsia="Arial" w:hAnsi="Arial"/>
          <w:sz w:val="18"/>
          <w:szCs w:val="18"/>
          <w:color w:val="58595B"/>
        </w:rPr>
        <w:t>The table below reflects the compensation earned by Mr. Foley as (1) non-executive Chairman of FNF, and (2) as Executive Chairman of F&amp;G. Details relating to the compensation Mr. Foley earned as Executive Chairman of F&amp;G can be found in F&amp;G's Annual Report on Form 10-K filed with the Securities and Exchange Commission on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124460</wp:posOffset>
            </wp:positionV>
            <wp:extent cx="7144385" cy="297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75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880" w:top="833" w:right="339" w:bottom="1440" w:gutter="0" w:footer="0" w:header="0"/>
        </w:sectPr>
      </w:pPr>
    </w:p>
    <w:bookmarkStart w:id="79" w:name="page80"/>
    <w:bookmarkEnd w:id="79"/>
    <w:tbl>
      <w:tblPr>
        <w:tblLayout w:type="fixed"/>
        <w:tblInd w:w="1190" w:type="dxa"/>
        <w:tblCellMar>
          <w:top w:w="0" w:type="dxa"/>
          <w:left w:w="0" w:type="dxa"/>
          <w:bottom w:w="0" w:type="dxa"/>
          <w:right w:w="0" w:type="dxa"/>
        </w:tblCellMar>
      </w:tblPr>
      <w:tr>
        <w:trPr>
          <w:trHeight w:val="246"/>
        </w:trPr>
        <w:tc>
          <w:tcPr>
            <w:tcW w:w="3620" w:type="dxa"/>
            <w:vAlign w:val="bottom"/>
            <w:tcBorders>
              <w:left w:val="single" w:sz="8" w:color="58595B"/>
              <w:right w:val="single" w:sz="8" w:color="254F79"/>
            </w:tcBorders>
            <w:shd w:val="clear" w:color="auto" w:fill="254F79"/>
          </w:tcPr>
          <w:p>
            <w:pPr>
              <w:spacing w:after="0"/>
              <w:rPr>
                <w:sz w:val="21"/>
                <w:szCs w:val="21"/>
                <w:color w:val="auto"/>
              </w:rPr>
            </w:pPr>
          </w:p>
        </w:tc>
        <w:tc>
          <w:tcPr>
            <w:tcW w:w="136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Fees Earned or</w:t>
            </w:r>
          </w:p>
        </w:tc>
        <w:tc>
          <w:tcPr>
            <w:tcW w:w="13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Stock</w:t>
            </w:r>
          </w:p>
        </w:tc>
        <w:tc>
          <w:tcPr>
            <w:tcW w:w="13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All Other</w:t>
            </w:r>
          </w:p>
        </w:tc>
        <w:tc>
          <w:tcPr>
            <w:tcW w:w="1340" w:type="dxa"/>
            <w:vAlign w:val="bottom"/>
            <w:tcBorders>
              <w:right w:val="single" w:sz="8" w:color="58595B"/>
            </w:tcBorders>
            <w:shd w:val="clear" w:color="auto" w:fill="254F79"/>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620" w:type="dxa"/>
            <w:vAlign w:val="bottom"/>
            <w:tcBorders>
              <w:left w:val="single" w:sz="8" w:color="58595B"/>
              <w:right w:val="single" w:sz="8" w:color="254F79"/>
            </w:tcBorders>
            <w:shd w:val="clear" w:color="auto" w:fill="254F79"/>
          </w:tcPr>
          <w:p>
            <w:pPr>
              <w:spacing w:after="0"/>
              <w:rPr>
                <w:sz w:val="16"/>
                <w:szCs w:val="16"/>
                <w:color w:val="auto"/>
              </w:rPr>
            </w:pPr>
          </w:p>
        </w:tc>
        <w:tc>
          <w:tcPr>
            <w:tcW w:w="136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Paid in Cash</w:t>
            </w:r>
          </w:p>
        </w:tc>
        <w:tc>
          <w:tcPr>
            <w:tcW w:w="13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9"/>
              </w:rPr>
              <w:t>Awards</w:t>
            </w:r>
          </w:p>
        </w:tc>
        <w:tc>
          <w:tcPr>
            <w:tcW w:w="1340" w:type="dxa"/>
            <w:vAlign w:val="bottom"/>
            <w:tcBorders>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1340" w:type="dxa"/>
            <w:vAlign w:val="bottom"/>
            <w:tcBorders>
              <w:right w:val="single" w:sz="8" w:color="58595B"/>
            </w:tcBorders>
            <w:shd w:val="clear" w:color="auto" w:fill="254F79"/>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Borders>
              <w:left w:val="single" w:sz="8" w:color="58595B"/>
              <w:bottom w:val="single" w:sz="8" w:color="58595B"/>
              <w:right w:val="single" w:sz="8" w:color="254F79"/>
            </w:tcBorders>
            <w:shd w:val="clear" w:color="auto" w:fill="254F79"/>
          </w:tcPr>
          <w:p>
            <w:pPr>
              <w:ind w:left="160"/>
              <w:spacing w:after="0"/>
              <w:rPr>
                <w:sz w:val="20"/>
                <w:szCs w:val="20"/>
                <w:color w:val="auto"/>
              </w:rPr>
            </w:pPr>
            <w:r>
              <w:rPr>
                <w:rFonts w:ascii="Arial" w:cs="Arial" w:eastAsia="Arial" w:hAnsi="Arial"/>
                <w:sz w:val="15"/>
                <w:szCs w:val="15"/>
                <w:b w:val="1"/>
                <w:bCs w:val="1"/>
                <w:color w:val="FFFFFF"/>
              </w:rPr>
              <w:t>Name</w:t>
            </w:r>
          </w:p>
        </w:tc>
        <w:tc>
          <w:tcPr>
            <w:tcW w:w="1360" w:type="dxa"/>
            <w:vAlign w:val="bottom"/>
            <w:tcBorders>
              <w:bottom w:val="single" w:sz="8" w:color="58595B"/>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w:t>
            </w:r>
          </w:p>
        </w:tc>
        <w:tc>
          <w:tcPr>
            <w:tcW w:w="1340" w:type="dxa"/>
            <w:vAlign w:val="bottom"/>
            <w:tcBorders>
              <w:bottom w:val="single" w:sz="8" w:color="58595B"/>
              <w:right w:val="single" w:sz="8" w:color="254F79"/>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7"/>
              </w:rPr>
              <w:t>($)</w:t>
            </w:r>
          </w:p>
        </w:tc>
        <w:tc>
          <w:tcPr>
            <w:tcW w:w="1340" w:type="dxa"/>
            <w:vAlign w:val="bottom"/>
            <w:tcBorders>
              <w:bottom w:val="single" w:sz="8" w:color="58595B"/>
              <w:right w:val="single" w:sz="8" w:color="254F79"/>
            </w:tcBorders>
            <w:shd w:val="clear" w:color="auto" w:fill="254F79"/>
          </w:tcPr>
          <w:p>
            <w:pPr>
              <w:jc w:val="right"/>
              <w:ind w:right="426"/>
              <w:spacing w:after="0"/>
              <w:rPr>
                <w:sz w:val="20"/>
                <w:szCs w:val="20"/>
                <w:color w:val="auto"/>
              </w:rPr>
            </w:pPr>
            <w:r>
              <w:rPr>
                <w:rFonts w:ascii="Arial" w:cs="Arial" w:eastAsia="Arial" w:hAnsi="Arial"/>
                <w:sz w:val="15"/>
                <w:szCs w:val="15"/>
                <w:b w:val="1"/>
                <w:bCs w:val="1"/>
                <w:color w:val="FFFFFF"/>
              </w:rPr>
              <w:t>($)</w:t>
            </w:r>
          </w:p>
        </w:tc>
        <w:tc>
          <w:tcPr>
            <w:tcW w:w="1340" w:type="dxa"/>
            <w:vAlign w:val="bottom"/>
            <w:tcBorders>
              <w:bottom w:val="single" w:sz="8" w:color="58595B"/>
              <w:right w:val="single" w:sz="8" w:color="58595B"/>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5"/>
              </w:rPr>
              <w:t>Total ($)</w:t>
            </w:r>
          </w:p>
        </w:tc>
        <w:tc>
          <w:tcPr>
            <w:tcW w:w="0" w:type="dxa"/>
            <w:vAlign w:val="bottom"/>
          </w:tcPr>
          <w:p>
            <w:pPr>
              <w:spacing w:after="0"/>
              <w:rPr>
                <w:sz w:val="1"/>
                <w:szCs w:val="1"/>
                <w:color w:val="auto"/>
              </w:rPr>
            </w:pPr>
          </w:p>
        </w:tc>
      </w:tr>
      <w:tr>
        <w:trPr>
          <w:trHeight w:val="210"/>
        </w:trPr>
        <w:tc>
          <w:tcPr>
            <w:tcW w:w="362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rPr>
              <w:t>Mr. Foley's Compensation as Non-</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9"/>
              </w:rPr>
              <w:t>530,000</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3"/>
              </w:rPr>
              <w:t>—</w:t>
            </w:r>
          </w:p>
        </w:tc>
        <w:tc>
          <w:tcPr>
            <w:tcW w:w="1340" w:type="dxa"/>
            <w:vAlign w:val="bottom"/>
            <w:tcBorders>
              <w:right w:val="single" w:sz="8" w:color="58595B"/>
            </w:tcBorders>
            <w:vMerge w:val="restart"/>
          </w:tcPr>
          <w:p>
            <w:pPr>
              <w:ind w:left="220"/>
              <w:spacing w:after="0"/>
              <w:rPr>
                <w:sz w:val="20"/>
                <w:szCs w:val="20"/>
                <w:color w:val="auto"/>
              </w:rPr>
            </w:pPr>
            <w:r>
              <w:rPr>
                <w:rFonts w:ascii="Arial" w:cs="Arial" w:eastAsia="Arial" w:hAnsi="Arial"/>
                <w:sz w:val="15"/>
                <w:szCs w:val="15"/>
                <w:color w:val="58595B"/>
              </w:rPr>
              <w:t>811,858</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1,341,858</w:t>
            </w:r>
          </w:p>
        </w:tc>
        <w:tc>
          <w:tcPr>
            <w:tcW w:w="0" w:type="dxa"/>
            <w:vAlign w:val="bottom"/>
          </w:tcPr>
          <w:p>
            <w:pPr>
              <w:spacing w:after="0"/>
              <w:rPr>
                <w:sz w:val="1"/>
                <w:szCs w:val="1"/>
                <w:color w:val="auto"/>
              </w:rPr>
            </w:pPr>
          </w:p>
        </w:tc>
      </w:tr>
      <w:tr>
        <w:trPr>
          <w:trHeight w:val="108"/>
        </w:trPr>
        <w:tc>
          <w:tcPr>
            <w:tcW w:w="3620" w:type="dxa"/>
            <w:vAlign w:val="bottom"/>
            <w:tcBorders>
              <w:left w:val="single" w:sz="8" w:color="58595B"/>
              <w:right w:val="single" w:sz="8" w:color="58595B"/>
            </w:tcBorders>
            <w:vMerge w:val="restart"/>
          </w:tcPr>
          <w:p>
            <w:pPr>
              <w:ind w:left="160"/>
              <w:spacing w:after="0"/>
              <w:rPr>
                <w:sz w:val="20"/>
                <w:szCs w:val="20"/>
                <w:color w:val="auto"/>
              </w:rPr>
            </w:pPr>
            <w:r>
              <w:rPr>
                <w:rFonts w:ascii="Arial" w:cs="Arial" w:eastAsia="Arial" w:hAnsi="Arial"/>
                <w:sz w:val="15"/>
                <w:szCs w:val="15"/>
                <w:color w:val="58595B"/>
              </w:rPr>
              <w:t>Executive Chairman of FNF</w:t>
            </w:r>
          </w:p>
        </w:tc>
        <w:tc>
          <w:tcPr>
            <w:tcW w:w="136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20" w:type="dxa"/>
            <w:vAlign w:val="bottom"/>
            <w:tcBorders>
              <w:left w:val="single" w:sz="8" w:color="58595B"/>
              <w:right w:val="single" w:sz="8" w:color="58595B"/>
            </w:tcBorders>
            <w:vMerge w:val="continue"/>
          </w:tcPr>
          <w:p>
            <w:pPr>
              <w:spacing w:after="0"/>
              <w:rPr>
                <w:sz w:val="7"/>
                <w:szCs w:val="7"/>
                <w:color w:val="auto"/>
              </w:rPr>
            </w:pPr>
          </w:p>
        </w:tc>
        <w:tc>
          <w:tcPr>
            <w:tcW w:w="136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620" w:type="dxa"/>
            <w:vAlign w:val="bottom"/>
            <w:tcBorders>
              <w:left w:val="single" w:sz="8" w:color="58595B"/>
              <w:bottom w:val="single" w:sz="8" w:color="58595B"/>
              <w:right w:val="single" w:sz="8" w:color="58595B"/>
            </w:tcBorders>
          </w:tcPr>
          <w:p>
            <w:pPr>
              <w:spacing w:after="0"/>
              <w:rPr>
                <w:sz w:val="3"/>
                <w:szCs w:val="3"/>
                <w:color w:val="auto"/>
              </w:rPr>
            </w:pPr>
          </w:p>
        </w:tc>
        <w:tc>
          <w:tcPr>
            <w:tcW w:w="136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62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rPr>
              <w:t>Mr. Foley's Compensation as Executive</w:t>
            </w:r>
          </w:p>
        </w:tc>
        <w:tc>
          <w:tcPr>
            <w:tcW w:w="13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rPr>
              <w:t>—</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8"/>
              </w:rPr>
              <w:t>6,500,027</w:t>
            </w:r>
          </w:p>
        </w:tc>
        <w:tc>
          <w:tcPr>
            <w:tcW w:w="1340" w:type="dxa"/>
            <w:vAlign w:val="bottom"/>
            <w:tcBorders>
              <w:right w:val="single" w:sz="8" w:color="58595B"/>
            </w:tcBorders>
            <w:vMerge w:val="restart"/>
          </w:tcPr>
          <w:p>
            <w:pPr>
              <w:ind w:left="240"/>
              <w:spacing w:after="0"/>
              <w:rPr>
                <w:sz w:val="20"/>
                <w:szCs w:val="20"/>
                <w:color w:val="auto"/>
              </w:rPr>
            </w:pPr>
            <w:r>
              <w:rPr>
                <w:rFonts w:ascii="Arial" w:cs="Arial" w:eastAsia="Arial" w:hAnsi="Arial"/>
                <w:sz w:val="15"/>
                <w:szCs w:val="15"/>
                <w:color w:val="58595B"/>
              </w:rPr>
              <w:t>467,588</w:t>
            </w:r>
          </w:p>
        </w:tc>
        <w:tc>
          <w:tcPr>
            <w:tcW w:w="13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58595B"/>
                <w:w w:val="95"/>
              </w:rPr>
              <w:t>6,967,615</w:t>
            </w:r>
          </w:p>
        </w:tc>
        <w:tc>
          <w:tcPr>
            <w:tcW w:w="0" w:type="dxa"/>
            <w:vAlign w:val="bottom"/>
          </w:tcPr>
          <w:p>
            <w:pPr>
              <w:spacing w:after="0"/>
              <w:rPr>
                <w:sz w:val="1"/>
                <w:szCs w:val="1"/>
                <w:color w:val="auto"/>
              </w:rPr>
            </w:pPr>
          </w:p>
        </w:tc>
      </w:tr>
      <w:tr>
        <w:trPr>
          <w:trHeight w:val="108"/>
        </w:trPr>
        <w:tc>
          <w:tcPr>
            <w:tcW w:w="3620" w:type="dxa"/>
            <w:vAlign w:val="bottom"/>
            <w:tcBorders>
              <w:left w:val="single" w:sz="8" w:color="58595B"/>
              <w:right w:val="single" w:sz="8" w:color="58595B"/>
            </w:tcBorders>
            <w:vMerge w:val="restart"/>
          </w:tcPr>
          <w:p>
            <w:pPr>
              <w:ind w:left="160"/>
              <w:spacing w:after="0"/>
              <w:rPr>
                <w:sz w:val="20"/>
                <w:szCs w:val="20"/>
                <w:color w:val="auto"/>
              </w:rPr>
            </w:pPr>
            <w:r>
              <w:rPr>
                <w:rFonts w:ascii="Arial" w:cs="Arial" w:eastAsia="Arial" w:hAnsi="Arial"/>
                <w:sz w:val="15"/>
                <w:szCs w:val="15"/>
                <w:color w:val="58595B"/>
              </w:rPr>
              <w:t>Chairman of F&amp;G</w:t>
            </w:r>
          </w:p>
        </w:tc>
        <w:tc>
          <w:tcPr>
            <w:tcW w:w="136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1340" w:type="dxa"/>
            <w:vAlign w:val="bottom"/>
            <w:tcBorders>
              <w:right w:val="single" w:sz="8" w:color="58595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20" w:type="dxa"/>
            <w:vAlign w:val="bottom"/>
            <w:tcBorders>
              <w:left w:val="single" w:sz="8" w:color="58595B"/>
              <w:right w:val="single" w:sz="8" w:color="58595B"/>
            </w:tcBorders>
            <w:vMerge w:val="continue"/>
          </w:tcPr>
          <w:p>
            <w:pPr>
              <w:spacing w:after="0"/>
              <w:rPr>
                <w:sz w:val="7"/>
                <w:szCs w:val="7"/>
                <w:color w:val="auto"/>
              </w:rPr>
            </w:pPr>
          </w:p>
        </w:tc>
        <w:tc>
          <w:tcPr>
            <w:tcW w:w="136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1340" w:type="dxa"/>
            <w:vAlign w:val="bottom"/>
            <w:tcBorders>
              <w:right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620" w:type="dxa"/>
            <w:vAlign w:val="bottom"/>
            <w:tcBorders>
              <w:left w:val="single" w:sz="8" w:color="58595B"/>
              <w:bottom w:val="single" w:sz="8" w:color="58595B"/>
              <w:right w:val="single" w:sz="8" w:color="58595B"/>
            </w:tcBorders>
          </w:tcPr>
          <w:p>
            <w:pPr>
              <w:spacing w:after="0"/>
              <w:rPr>
                <w:sz w:val="3"/>
                <w:szCs w:val="3"/>
                <w:color w:val="auto"/>
              </w:rPr>
            </w:pPr>
          </w:p>
        </w:tc>
        <w:tc>
          <w:tcPr>
            <w:tcW w:w="136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2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rPr>
              <w:t>Total</w:t>
            </w:r>
          </w:p>
        </w:tc>
        <w:tc>
          <w:tcPr>
            <w:tcW w:w="13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6,500,027</w:t>
            </w:r>
          </w:p>
        </w:tc>
        <w:tc>
          <w:tcPr>
            <w:tcW w:w="1340" w:type="dxa"/>
            <w:vAlign w:val="bottom"/>
            <w:tcBorders>
              <w:right w:val="single" w:sz="8" w:color="58595B"/>
            </w:tcBorders>
          </w:tcPr>
          <w:p>
            <w:pPr>
              <w:ind w:left="220"/>
              <w:spacing w:after="0"/>
              <w:rPr>
                <w:sz w:val="20"/>
                <w:szCs w:val="20"/>
                <w:color w:val="auto"/>
              </w:rPr>
            </w:pPr>
            <w:r>
              <w:rPr>
                <w:rFonts w:ascii="Arial" w:cs="Arial" w:eastAsia="Arial" w:hAnsi="Arial"/>
                <w:sz w:val="15"/>
                <w:szCs w:val="15"/>
                <w:color w:val="58595B"/>
              </w:rPr>
              <w:t>1,279,446</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8,309,473</w:t>
            </w:r>
          </w:p>
        </w:tc>
        <w:tc>
          <w:tcPr>
            <w:tcW w:w="0" w:type="dxa"/>
            <w:vAlign w:val="bottom"/>
          </w:tcPr>
          <w:p>
            <w:pPr>
              <w:spacing w:after="0"/>
              <w:rPr>
                <w:sz w:val="1"/>
                <w:szCs w:val="1"/>
                <w:color w:val="auto"/>
              </w:rPr>
            </w:pPr>
          </w:p>
        </w:tc>
      </w:tr>
      <w:tr>
        <w:trPr>
          <w:trHeight w:val="40"/>
        </w:trPr>
        <w:tc>
          <w:tcPr>
            <w:tcW w:w="3620" w:type="dxa"/>
            <w:vAlign w:val="bottom"/>
            <w:tcBorders>
              <w:left w:val="single" w:sz="8" w:color="58595B"/>
              <w:bottom w:val="single" w:sz="8" w:color="58595B"/>
              <w:right w:val="single" w:sz="8" w:color="58595B"/>
            </w:tcBorders>
          </w:tcPr>
          <w:p>
            <w:pPr>
              <w:spacing w:after="0"/>
              <w:rPr>
                <w:sz w:val="3"/>
                <w:szCs w:val="3"/>
                <w:color w:val="auto"/>
              </w:rPr>
            </w:pPr>
          </w:p>
        </w:tc>
        <w:tc>
          <w:tcPr>
            <w:tcW w:w="136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1340" w:type="dxa"/>
            <w:vAlign w:val="bottom"/>
            <w:tcBorders>
              <w:bottom w:val="single" w:sz="8" w:color="58595B"/>
              <w:right w:val="single" w:sz="8" w:color="58595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COMPENSATION OF OUR OTHER DIRECTORS</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Mr. Quirk received no additional compensation for services as a member of our board in 2025. In 2025, each of our non-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executive directors other than Mr. Foley received an annual retainer of $120,000, payable quarterly, for all non-executive</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directors other than Mr. Foley. The chairman and each member of the audit committee receives an additional annual fee</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(payable in quarterly installments) of $100,000 and $35,000, respectively, for their service on the audit committee. The</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chairman and each member of the compensation committee receives an additional annual fee (payable in quarterly</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installments) of $25,000 and $15,000, respectively, for their service on such committee. The chairman and each member of the</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corporate governance and nominating committee receives an additional annual fee (payable in quarterly installments) of</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$20,000 and $10,000, respectively, for their service on such committee. The chairman and each member of the related person</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transaction committee receives an additional annual fee (payable in quarterly installments) of $50,000 and $25,000,</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respectively, for their service on the related person committee. Mr. Ammerman, who serves as our Lead Independent Director,</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7"/>
          <w:szCs w:val="17"/>
          <w:color w:val="58595B"/>
        </w:rPr>
        <w:t>receives an annual Lead Director fee of $25,000 (payable quarterly in arrears).</w:t>
      </w:r>
    </w:p>
    <w:p>
      <w:pPr>
        <w:spacing w:after="0" w:line="198" w:lineRule="exact"/>
        <w:rPr>
          <w:sz w:val="20"/>
          <w:szCs w:val="20"/>
          <w:color w:val="auto"/>
        </w:rPr>
      </w:pPr>
    </w:p>
    <w:p>
      <w:pPr>
        <w:ind w:left="1180" w:right="80"/>
        <w:spacing w:after="0" w:line="247" w:lineRule="auto"/>
        <w:rPr>
          <w:sz w:val="20"/>
          <w:szCs w:val="20"/>
          <w:color w:val="auto"/>
        </w:rPr>
      </w:pPr>
      <w:r>
        <w:rPr>
          <w:rFonts w:ascii="Arial" w:cs="Arial" w:eastAsia="Arial" w:hAnsi="Arial"/>
          <w:sz w:val="18"/>
          <w:szCs w:val="18"/>
          <w:color w:val="58595B"/>
        </w:rPr>
        <w:t>In addition, in 2025 each non-employee director other than Mr. Foley received a long-term incentive award of 4,870 shares of restricted stock. These restricted stock awards were granted under our omnibus plan and one-third of the awards vest on each of the first three anniversaries of the date of grant.</w:t>
      </w:r>
    </w:p>
    <w:p>
      <w:pPr>
        <w:spacing w:after="0" w:line="174" w:lineRule="exact"/>
        <w:rPr>
          <w:sz w:val="20"/>
          <w:szCs w:val="20"/>
          <w:color w:val="auto"/>
        </w:rPr>
      </w:pPr>
    </w:p>
    <w:p>
      <w:pPr>
        <w:ind w:left="1180" w:right="500"/>
        <w:spacing w:after="0" w:line="247" w:lineRule="auto"/>
        <w:rPr>
          <w:sz w:val="20"/>
          <w:szCs w:val="20"/>
          <w:color w:val="auto"/>
        </w:rPr>
      </w:pPr>
      <w:r>
        <w:rPr>
          <w:rFonts w:ascii="Arial" w:cs="Arial" w:eastAsia="Arial" w:hAnsi="Arial"/>
          <w:sz w:val="18"/>
          <w:szCs w:val="18"/>
          <w:color w:val="58595B"/>
        </w:rPr>
        <w:t>In November 2025, in consideration of their service on the board of directors of F&amp;G, Mr. Ammerman and Mr. Rood also received a long-term incentive award of 6,436 restricted shares of F&amp;G common stock. One-third of the F&amp;G restricted stock awards vest on each of the first three anniversaries of the date of grant.</w:t>
      </w:r>
    </w:p>
    <w:p>
      <w:pPr>
        <w:spacing w:after="0" w:line="174" w:lineRule="exact"/>
        <w:rPr>
          <w:sz w:val="20"/>
          <w:szCs w:val="20"/>
          <w:color w:val="auto"/>
        </w:rPr>
      </w:pPr>
    </w:p>
    <w:p>
      <w:pPr>
        <w:ind w:left="1180" w:right="160"/>
        <w:spacing w:after="0" w:line="238" w:lineRule="auto"/>
        <w:rPr>
          <w:sz w:val="20"/>
          <w:szCs w:val="20"/>
          <w:color w:val="auto"/>
        </w:rPr>
      </w:pPr>
      <w:r>
        <w:rPr>
          <w:rFonts w:ascii="Arial" w:cs="Arial" w:eastAsia="Arial" w:hAnsi="Arial"/>
          <w:sz w:val="18"/>
          <w:szCs w:val="18"/>
          <w:color w:val="58595B"/>
        </w:rPr>
        <w:t>We also reimburse each non-employee director for all reasonable out-of-pocket expenses incurred in connection with attendance at board and committee meetings and director education programs. Each non-employee member of our board is eligible to participate in our deferred compensation plan to the extent he or she elects to defer any board or committee fees. Mr. Ammerman, Ms. Morgan and Mr. Shea each deferred some or all of the fees they earned in 2025 for their service on the board and the committees on which they serve.</w:t>
      </w:r>
    </w:p>
    <w:p>
      <w:pPr>
        <w:spacing w:after="0" w:line="181" w:lineRule="exact"/>
        <w:rPr>
          <w:sz w:val="20"/>
          <w:szCs w:val="20"/>
          <w:color w:val="auto"/>
        </w:rPr>
      </w:pPr>
    </w:p>
    <w:p>
      <w:pPr>
        <w:ind w:left="1180" w:right="940"/>
        <w:spacing w:after="0" w:line="266" w:lineRule="auto"/>
        <w:rPr>
          <w:sz w:val="20"/>
          <w:szCs w:val="20"/>
          <w:color w:val="auto"/>
        </w:rPr>
      </w:pPr>
      <w:r>
        <w:rPr>
          <w:rFonts w:ascii="Arial" w:cs="Arial" w:eastAsia="Arial" w:hAnsi="Arial"/>
          <w:sz w:val="18"/>
          <w:szCs w:val="18"/>
          <w:color w:val="58595B"/>
        </w:rPr>
        <w:t>The following table sets forth information concerning the compensation of our non-employee directors for the fiscal year ending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76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5805170</wp:posOffset>
            </wp:positionH>
            <wp:positionV relativeFrom="page">
              <wp:posOffset>542925</wp:posOffset>
            </wp:positionV>
            <wp:extent cx="7620" cy="3524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 cy="352425"/>
                    </a:xfrm>
                    <a:prstGeom prst="rect">
                      <a:avLst/>
                    </a:prstGeom>
                    <a:noFill/>
                  </pic:spPr>
                </pic:pic>
              </a:graphicData>
            </a:graphic>
          </wp:anchor>
        </w:drawing>
        <w:drawing>
          <wp:anchor simplePos="0" relativeHeight="251657728" behindDoc="1" locked="0" layoutInCell="0" allowOverlap="1">
            <wp:simplePos x="0" y="0"/>
            <wp:positionH relativeFrom="page">
              <wp:posOffset>4670425</wp:posOffset>
            </wp:positionH>
            <wp:positionV relativeFrom="page">
              <wp:posOffset>542925</wp:posOffset>
            </wp:positionV>
            <wp:extent cx="7620" cy="3524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352425"/>
                    </a:xfrm>
                    <a:prstGeom prst="rect">
                      <a:avLst/>
                    </a:prstGeom>
                    <a:noFill/>
                  </pic:spPr>
                </pic:pic>
              </a:graphicData>
            </a:graphic>
          </wp:anchor>
        </w:drawing>
        <w:drawing>
          <wp:anchor simplePos="0" relativeHeight="251657728" behindDoc="1" locked="0" layoutInCell="0" allowOverlap="1">
            <wp:simplePos x="0" y="0"/>
            <wp:positionH relativeFrom="page">
              <wp:posOffset>3528060</wp:posOffset>
            </wp:positionH>
            <wp:positionV relativeFrom="page">
              <wp:posOffset>542925</wp:posOffset>
            </wp:positionV>
            <wp:extent cx="7620" cy="3524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20" cy="352425"/>
                    </a:xfrm>
                    <a:prstGeom prst="rect">
                      <a:avLst/>
                    </a:prstGeom>
                    <a:noFill/>
                  </pic:spPr>
                </pic:pic>
              </a:graphicData>
            </a:graphic>
          </wp:anchor>
        </w:drawing>
        <w:drawing>
          <wp:anchor simplePos="0" relativeHeight="251657728" behindDoc="1" locked="0" layoutInCell="0" allowOverlap="1">
            <wp:simplePos x="0" y="0"/>
            <wp:positionH relativeFrom="page">
              <wp:posOffset>2667000</wp:posOffset>
            </wp:positionH>
            <wp:positionV relativeFrom="page">
              <wp:posOffset>542925</wp:posOffset>
            </wp:positionV>
            <wp:extent cx="7620" cy="3524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 cy="352425"/>
                    </a:xfrm>
                    <a:prstGeom prst="rect">
                      <a:avLst/>
                    </a:prstGeom>
                    <a:noFill/>
                  </pic:spPr>
                </pic:pic>
              </a:graphicData>
            </a:graphic>
          </wp:anchor>
        </w:drawing>
      </w:r>
    </w:p>
    <w:tbl>
      <w:tblPr>
        <w:tblLayout w:type="fixed"/>
        <w:tblInd w:w="630" w:type="dxa"/>
        <w:tblCellMar>
          <w:top w:w="0" w:type="dxa"/>
          <w:left w:w="0" w:type="dxa"/>
          <w:bottom w:w="0" w:type="dxa"/>
          <w:right w:w="0" w:type="dxa"/>
        </w:tblCellMar>
      </w:tblPr>
      <w:tr>
        <w:trPr>
          <w:trHeight w:val="246"/>
        </w:trPr>
        <w:tc>
          <w:tcPr>
            <w:tcW w:w="2720" w:type="dxa"/>
            <w:vAlign w:val="bottom"/>
            <w:tcBorders>
              <w:left w:val="single" w:sz="8" w:color="58595B"/>
              <w:right w:val="single" w:sz="8" w:color="274F78"/>
            </w:tcBorders>
            <w:shd w:val="clear" w:color="auto" w:fill="274F78"/>
          </w:tcPr>
          <w:p>
            <w:pPr>
              <w:spacing w:after="0"/>
              <w:rPr>
                <w:sz w:val="21"/>
                <w:szCs w:val="21"/>
                <w:color w:val="auto"/>
              </w:rPr>
            </w:pPr>
          </w:p>
        </w:tc>
        <w:tc>
          <w:tcPr>
            <w:tcW w:w="1360" w:type="dxa"/>
            <w:vAlign w:val="bottom"/>
            <w:tcBorders>
              <w:right w:val="single" w:sz="8" w:color="274F78"/>
            </w:tcBorders>
            <w:shd w:val="clear" w:color="auto" w:fill="274F78"/>
          </w:tcPr>
          <w:p>
            <w:pPr>
              <w:jc w:val="right"/>
              <w:ind w:right="106"/>
              <w:spacing w:after="0"/>
              <w:rPr>
                <w:sz w:val="20"/>
                <w:szCs w:val="20"/>
                <w:color w:val="auto"/>
              </w:rPr>
            </w:pPr>
            <w:r>
              <w:rPr>
                <w:rFonts w:ascii="Arial" w:cs="Arial" w:eastAsia="Arial" w:hAnsi="Arial"/>
                <w:sz w:val="15"/>
                <w:szCs w:val="15"/>
                <w:b w:val="1"/>
                <w:bCs w:val="1"/>
                <w:color w:val="FFFFFF"/>
              </w:rPr>
              <w:t>Fees Earned or</w:t>
            </w:r>
          </w:p>
        </w:tc>
        <w:tc>
          <w:tcPr>
            <w:tcW w:w="1800" w:type="dxa"/>
            <w:vAlign w:val="bottom"/>
            <w:tcBorders>
              <w:right w:val="single" w:sz="8" w:color="274F78"/>
            </w:tcBorders>
            <w:shd w:val="clear" w:color="auto" w:fill="274F78"/>
          </w:tcPr>
          <w:p>
            <w:pPr>
              <w:spacing w:after="0"/>
              <w:rPr>
                <w:sz w:val="21"/>
                <w:szCs w:val="21"/>
                <w:color w:val="auto"/>
              </w:rPr>
            </w:pPr>
          </w:p>
        </w:tc>
        <w:tc>
          <w:tcPr>
            <w:tcW w:w="1780" w:type="dxa"/>
            <w:vAlign w:val="bottom"/>
            <w:tcBorders>
              <w:right w:val="single" w:sz="8" w:color="274F78"/>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7"/>
              </w:rPr>
              <w:t>All Other</w:t>
            </w:r>
          </w:p>
        </w:tc>
        <w:tc>
          <w:tcPr>
            <w:tcW w:w="1340" w:type="dxa"/>
            <w:vAlign w:val="bottom"/>
            <w:tcBorders>
              <w:right w:val="single" w:sz="8" w:color="58595B"/>
            </w:tcBorders>
            <w:shd w:val="clear" w:color="auto" w:fill="274F78"/>
          </w:tcPr>
          <w:p>
            <w:pPr>
              <w:spacing w:after="0"/>
              <w:rPr>
                <w:sz w:val="21"/>
                <w:szCs w:val="21"/>
                <w:color w:val="auto"/>
              </w:rPr>
            </w:pPr>
          </w:p>
        </w:tc>
      </w:tr>
      <w:tr>
        <w:trPr>
          <w:trHeight w:val="308"/>
        </w:trPr>
        <w:tc>
          <w:tcPr>
            <w:tcW w:w="2720" w:type="dxa"/>
            <w:vAlign w:val="bottom"/>
            <w:tcBorders>
              <w:left w:val="single" w:sz="8" w:color="58595B"/>
              <w:right w:val="single" w:sz="8" w:color="274F78"/>
            </w:tcBorders>
            <w:shd w:val="clear" w:color="auto" w:fill="274F78"/>
          </w:tcPr>
          <w:p>
            <w:pPr>
              <w:ind w:left="100"/>
              <w:spacing w:after="0"/>
              <w:rPr>
                <w:sz w:val="20"/>
                <w:szCs w:val="20"/>
                <w:color w:val="auto"/>
              </w:rPr>
            </w:pPr>
            <w:r>
              <w:rPr>
                <w:rFonts w:ascii="Arial" w:cs="Arial" w:eastAsia="Arial" w:hAnsi="Arial"/>
                <w:sz w:val="15"/>
                <w:szCs w:val="15"/>
                <w:b w:val="1"/>
                <w:bCs w:val="1"/>
                <w:color w:val="FFFFFF"/>
              </w:rPr>
              <w:t>Name</w:t>
            </w:r>
          </w:p>
        </w:tc>
        <w:tc>
          <w:tcPr>
            <w:tcW w:w="1360" w:type="dxa"/>
            <w:vAlign w:val="bottom"/>
            <w:tcBorders>
              <w:right w:val="single" w:sz="8" w:color="274F78"/>
            </w:tcBorders>
            <w:shd w:val="clear" w:color="auto" w:fill="274F78"/>
          </w:tcPr>
          <w:p>
            <w:pPr>
              <w:jc w:val="right"/>
              <w:ind w:right="26"/>
              <w:spacing w:after="0"/>
              <w:rPr>
                <w:sz w:val="20"/>
                <w:szCs w:val="20"/>
                <w:color w:val="auto"/>
              </w:rPr>
            </w:pPr>
            <w:r>
              <w:rPr>
                <w:rFonts w:ascii="Arial" w:cs="Arial" w:eastAsia="Arial" w:hAnsi="Arial"/>
                <w:sz w:val="15"/>
                <w:szCs w:val="15"/>
                <w:b w:val="1"/>
                <w:bCs w:val="1"/>
                <w:color w:val="FFFFFF"/>
              </w:rPr>
              <w:t>Paid in Cash ($)</w:t>
            </w:r>
            <w:r>
              <w:rPr>
                <w:rFonts w:ascii="Arial" w:cs="Arial" w:eastAsia="Arial" w:hAnsi="Arial"/>
                <w:sz w:val="24"/>
                <w:szCs w:val="24"/>
                <w:b w:val="1"/>
                <w:bCs w:val="1"/>
                <w:color w:val="FFFFFF"/>
                <w:vertAlign w:val="superscript"/>
              </w:rPr>
              <w:t>1</w:t>
            </w:r>
          </w:p>
        </w:tc>
        <w:tc>
          <w:tcPr>
            <w:tcW w:w="1800" w:type="dxa"/>
            <w:vAlign w:val="bottom"/>
            <w:tcBorders>
              <w:right w:val="single" w:sz="8" w:color="274F78"/>
            </w:tcBorders>
            <w:shd w:val="clear" w:color="auto" w:fill="274F78"/>
          </w:tcPr>
          <w:p>
            <w:pPr>
              <w:ind w:left="340"/>
              <w:spacing w:after="0"/>
              <w:rPr>
                <w:sz w:val="20"/>
                <w:szCs w:val="20"/>
                <w:color w:val="auto"/>
              </w:rPr>
            </w:pPr>
            <w:r>
              <w:rPr>
                <w:rFonts w:ascii="Arial" w:cs="Arial" w:eastAsia="Arial" w:hAnsi="Arial"/>
                <w:sz w:val="15"/>
                <w:szCs w:val="15"/>
                <w:b w:val="1"/>
                <w:bCs w:val="1"/>
                <w:color w:val="FFFFFF"/>
              </w:rPr>
              <w:t>Stock Awards ($)</w:t>
            </w:r>
            <w:r>
              <w:rPr>
                <w:rFonts w:ascii="Arial" w:cs="Arial" w:eastAsia="Arial" w:hAnsi="Arial"/>
                <w:sz w:val="24"/>
                <w:szCs w:val="24"/>
                <w:b w:val="1"/>
                <w:bCs w:val="1"/>
                <w:color w:val="FFFFFF"/>
                <w:vertAlign w:val="superscript"/>
              </w:rPr>
              <w:t>2</w:t>
            </w:r>
          </w:p>
        </w:tc>
        <w:tc>
          <w:tcPr>
            <w:tcW w:w="178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Compensation ($)</w:t>
            </w:r>
            <w:r>
              <w:rPr>
                <w:rFonts w:ascii="Arial" w:cs="Arial" w:eastAsia="Arial" w:hAnsi="Arial"/>
                <w:sz w:val="24"/>
                <w:szCs w:val="24"/>
                <w:b w:val="1"/>
                <w:bCs w:val="1"/>
                <w:color w:val="FFFFFF"/>
                <w:w w:val="97"/>
                <w:vertAlign w:val="superscript"/>
              </w:rPr>
              <w:t>3</w:t>
            </w:r>
          </w:p>
        </w:tc>
        <w:tc>
          <w:tcPr>
            <w:tcW w:w="1340" w:type="dxa"/>
            <w:vAlign w:val="bottom"/>
            <w:tcBorders>
              <w:right w:val="single" w:sz="8" w:color="58595B"/>
            </w:tcBorders>
            <w:shd w:val="clear" w:color="auto" w:fill="274F78"/>
          </w:tcPr>
          <w:p>
            <w:pPr>
              <w:ind w:left="460"/>
              <w:spacing w:after="0"/>
              <w:rPr>
                <w:sz w:val="20"/>
                <w:szCs w:val="20"/>
                <w:color w:val="auto"/>
              </w:rPr>
            </w:pPr>
            <w:r>
              <w:rPr>
                <w:rFonts w:ascii="Arial" w:cs="Arial" w:eastAsia="Arial" w:hAnsi="Arial"/>
                <w:sz w:val="15"/>
                <w:szCs w:val="15"/>
                <w:b w:val="1"/>
                <w:bCs w:val="1"/>
                <w:color w:val="FFFFFF"/>
              </w:rPr>
              <w:t>Total ($)</w:t>
            </w:r>
          </w:p>
        </w:tc>
      </w:tr>
      <w:tr>
        <w:trPr>
          <w:trHeight w:val="255"/>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William P. Foley, II</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530,000</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6,500,027</w:t>
            </w:r>
          </w:p>
        </w:tc>
        <w:tc>
          <w:tcPr>
            <w:tcW w:w="1780" w:type="dxa"/>
            <w:vAlign w:val="bottom"/>
            <w:tcBorders>
              <w:right w:val="single" w:sz="8" w:color="58595B"/>
            </w:tcBorders>
          </w:tcPr>
          <w:p>
            <w:pPr>
              <w:jc w:val="right"/>
              <w:ind w:right="426"/>
              <w:spacing w:after="0"/>
              <w:rPr>
                <w:sz w:val="20"/>
                <w:szCs w:val="20"/>
                <w:color w:val="auto"/>
              </w:rPr>
            </w:pPr>
            <w:r>
              <w:rPr>
                <w:rFonts w:ascii="Arial" w:cs="Arial" w:eastAsia="Arial" w:hAnsi="Arial"/>
                <w:sz w:val="15"/>
                <w:szCs w:val="15"/>
                <w:color w:val="58595B"/>
              </w:rPr>
              <w:t>1,279,446</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8,309,473</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Douglas K. Ammerman</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244,293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480,049</w:t>
            </w:r>
          </w:p>
        </w:tc>
        <w:tc>
          <w:tcPr>
            <w:tcW w:w="1780" w:type="dxa"/>
            <w:vAlign w:val="bottom"/>
            <w:tcBorders>
              <w:right w:val="single" w:sz="8" w:color="58595B"/>
            </w:tcBorders>
          </w:tcPr>
          <w:p>
            <w:pPr>
              <w:jc w:val="right"/>
              <w:ind w:right="486"/>
              <w:spacing w:after="0"/>
              <w:rPr>
                <w:sz w:val="20"/>
                <w:szCs w:val="20"/>
                <w:color w:val="auto"/>
              </w:rPr>
            </w:pPr>
            <w:r>
              <w:rPr>
                <w:rFonts w:ascii="Arial" w:cs="Arial" w:eastAsia="Arial" w:hAnsi="Arial"/>
                <w:sz w:val="15"/>
                <w:szCs w:val="15"/>
                <w:color w:val="58595B"/>
              </w:rPr>
              <w:t>217,029</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941,371</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Halim Dhanidina</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169,293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464,492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Thomas M. Hagerty</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144,293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439,492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Daniel D. (Ron) Lane</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134,293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429,492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Sandra D. Morgan</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154,293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449,492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Heather H. Miller</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119,293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414,492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John D. Rood</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164,273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480,049</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218,957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863,279</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Peter O. Shea, Jr.</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174,293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469,492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r>
        <w:trPr>
          <w:trHeight w:val="248"/>
        </w:trPr>
        <w:tc>
          <w:tcPr>
            <w:tcW w:w="2720" w:type="dxa"/>
            <w:vAlign w:val="bottom"/>
            <w:tcBorders>
              <w:left w:val="single" w:sz="8" w:color="58595B"/>
              <w:right w:val="single" w:sz="8" w:color="58595B"/>
            </w:tcBorders>
          </w:tcPr>
          <w:p>
            <w:pPr>
              <w:ind w:left="80"/>
              <w:spacing w:after="0"/>
              <w:rPr>
                <w:sz w:val="20"/>
                <w:szCs w:val="20"/>
                <w:color w:val="auto"/>
              </w:rPr>
            </w:pPr>
            <w:r>
              <w:rPr>
                <w:rFonts w:ascii="Arial" w:cs="Arial" w:eastAsia="Arial" w:hAnsi="Arial"/>
                <w:sz w:val="15"/>
                <w:szCs w:val="15"/>
                <w:color w:val="58595B"/>
              </w:rPr>
              <w:t>Cary H. Thompson</w:t>
            </w:r>
          </w:p>
        </w:tc>
        <w:tc>
          <w:tcPr>
            <w:tcW w:w="1360" w:type="dxa"/>
            <w:vAlign w:val="bottom"/>
            <w:tcBorders>
              <w:right w:val="single" w:sz="8" w:color="58595B"/>
            </w:tcBorders>
          </w:tcPr>
          <w:p>
            <w:pPr>
              <w:jc w:val="right"/>
              <w:ind w:right="306"/>
              <w:spacing w:after="0"/>
              <w:rPr>
                <w:sz w:val="20"/>
                <w:szCs w:val="20"/>
                <w:color w:val="auto"/>
              </w:rPr>
            </w:pPr>
            <w:r>
              <w:rPr>
                <w:rFonts w:ascii="Arial" w:cs="Arial" w:eastAsia="Arial" w:hAnsi="Arial"/>
                <w:sz w:val="15"/>
                <w:szCs w:val="15"/>
                <w:color w:val="58595B"/>
              </w:rPr>
              <w:t>134,293</w:t>
            </w:r>
          </w:p>
        </w:tc>
        <w:tc>
          <w:tcPr>
            <w:tcW w:w="18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270,042</w:t>
            </w:r>
          </w:p>
        </w:tc>
        <w:tc>
          <w:tcPr>
            <w:tcW w:w="1780" w:type="dxa"/>
            <w:vAlign w:val="bottom"/>
            <w:tcBorders>
              <w:right w:val="single" w:sz="8" w:color="58595B"/>
            </w:tcBorders>
          </w:tcPr>
          <w:p>
            <w:pPr>
              <w:jc w:val="center"/>
              <w:ind w:left="66"/>
              <w:spacing w:after="0"/>
              <w:rPr>
                <w:sz w:val="20"/>
                <w:szCs w:val="20"/>
                <w:color w:val="auto"/>
              </w:rPr>
            </w:pPr>
            <w:r>
              <w:rPr>
                <w:rFonts w:ascii="Arial" w:cs="Arial" w:eastAsia="Arial" w:hAnsi="Arial"/>
                <w:sz w:val="15"/>
                <w:szCs w:val="15"/>
                <w:color w:val="58595B"/>
                <w:w w:val="95"/>
              </w:rPr>
              <w:t>25,157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429,492</w:t>
            </w:r>
          </w:p>
        </w:tc>
      </w:tr>
      <w:tr>
        <w:trPr>
          <w:trHeight w:val="65"/>
        </w:trPr>
        <w:tc>
          <w:tcPr>
            <w:tcW w:w="2720" w:type="dxa"/>
            <w:vAlign w:val="bottom"/>
            <w:tcBorders>
              <w:left w:val="single" w:sz="8" w:color="58595B"/>
              <w:bottom w:val="single" w:sz="8" w:color="58595B"/>
              <w:right w:val="single" w:sz="8" w:color="58595B"/>
            </w:tcBorders>
          </w:tcPr>
          <w:p>
            <w:pPr>
              <w:spacing w:after="0"/>
              <w:rPr>
                <w:sz w:val="5"/>
                <w:szCs w:val="5"/>
                <w:color w:val="auto"/>
              </w:rPr>
            </w:pPr>
          </w:p>
        </w:tc>
        <w:tc>
          <w:tcPr>
            <w:tcW w:w="1360" w:type="dxa"/>
            <w:vAlign w:val="bottom"/>
            <w:tcBorders>
              <w:bottom w:val="single" w:sz="8" w:color="58595B"/>
              <w:right w:val="single" w:sz="8" w:color="58595B"/>
            </w:tcBorders>
          </w:tcPr>
          <w:p>
            <w:pPr>
              <w:spacing w:after="0"/>
              <w:rPr>
                <w:sz w:val="5"/>
                <w:szCs w:val="5"/>
                <w:color w:val="auto"/>
              </w:rPr>
            </w:pPr>
          </w:p>
        </w:tc>
        <w:tc>
          <w:tcPr>
            <w:tcW w:w="1800" w:type="dxa"/>
            <w:vAlign w:val="bottom"/>
            <w:tcBorders>
              <w:bottom w:val="single" w:sz="8" w:color="58595B"/>
              <w:right w:val="single" w:sz="8" w:color="58595B"/>
            </w:tcBorders>
          </w:tcPr>
          <w:p>
            <w:pPr>
              <w:spacing w:after="0"/>
              <w:rPr>
                <w:sz w:val="5"/>
                <w:szCs w:val="5"/>
                <w:color w:val="auto"/>
              </w:rPr>
            </w:pPr>
          </w:p>
        </w:tc>
        <w:tc>
          <w:tcPr>
            <w:tcW w:w="1780" w:type="dxa"/>
            <w:vAlign w:val="bottom"/>
            <w:tcBorders>
              <w:bottom w:val="single" w:sz="8" w:color="58595B"/>
              <w:right w:val="single" w:sz="8" w:color="58595B"/>
            </w:tcBorders>
          </w:tcPr>
          <w:p>
            <w:pPr>
              <w:spacing w:after="0"/>
              <w:rPr>
                <w:sz w:val="5"/>
                <w:szCs w:val="5"/>
                <w:color w:val="auto"/>
              </w:rPr>
            </w:pPr>
          </w:p>
        </w:tc>
        <w:tc>
          <w:tcPr>
            <w:tcW w:w="1340" w:type="dxa"/>
            <w:vAlign w:val="bottom"/>
            <w:tcBorders>
              <w:bottom w:val="single" w:sz="8" w:color="58595B"/>
              <w:right w:val="single" w:sz="8" w:color="58595B"/>
            </w:tcBorders>
          </w:tcPr>
          <w:p>
            <w:pPr>
              <w:spacing w:after="0"/>
              <w:rPr>
                <w:sz w:val="5"/>
                <w:szCs w:val="5"/>
                <w:color w:val="auto"/>
              </w:rPr>
            </w:pPr>
          </w:p>
        </w:tc>
      </w:tr>
    </w:tbl>
    <w:p>
      <w:pPr>
        <w:spacing w:after="0" w:line="214" w:lineRule="exact"/>
        <w:rPr>
          <w:sz w:val="20"/>
          <w:szCs w:val="20"/>
          <w:color w:val="auto"/>
        </w:rPr>
      </w:pPr>
    </w:p>
    <w:p>
      <w:pPr>
        <w:ind w:left="920" w:right="280" w:hanging="298"/>
        <w:spacing w:after="0" w:line="274" w:lineRule="auto"/>
        <w:tabs>
          <w:tab w:leader="none" w:pos="920" w:val="left"/>
        </w:tabs>
        <w:numPr>
          <w:ilvl w:val="0"/>
          <w:numId w:val="72"/>
        </w:numPr>
        <w:rPr>
          <w:rFonts w:ascii="Arial" w:cs="Arial" w:eastAsia="Arial" w:hAnsi="Arial"/>
          <w:sz w:val="13"/>
          <w:szCs w:val="13"/>
          <w:color w:val="58595B"/>
        </w:rPr>
      </w:pPr>
      <w:r>
        <w:rPr>
          <w:rFonts w:ascii="Arial" w:cs="Arial" w:eastAsia="Arial" w:hAnsi="Arial"/>
          <w:sz w:val="13"/>
          <w:szCs w:val="13"/>
          <w:color w:val="58595B"/>
        </w:rPr>
        <w:t>Represents the cash portion of annual board and committee retainers and meeting fees earned for services as a FNF director in 2025 for all directors. Amounts shown are not reduced to reflect directors' elections, if any, to defer receipt of retainers into our deferred compensation plan.</w:t>
      </w:r>
    </w:p>
    <w:p>
      <w:pPr>
        <w:spacing w:after="0" w:line="102" w:lineRule="exact"/>
        <w:rPr>
          <w:rFonts w:ascii="Arial" w:cs="Arial" w:eastAsia="Arial" w:hAnsi="Arial"/>
          <w:sz w:val="13"/>
          <w:szCs w:val="13"/>
          <w:color w:val="58595B"/>
        </w:rPr>
      </w:pPr>
    </w:p>
    <w:p>
      <w:pPr>
        <w:ind w:left="920" w:hanging="298"/>
        <w:spacing w:after="0"/>
        <w:tabs>
          <w:tab w:leader="none" w:pos="920" w:val="left"/>
        </w:tabs>
        <w:numPr>
          <w:ilvl w:val="0"/>
          <w:numId w:val="72"/>
        </w:numPr>
        <w:rPr>
          <w:rFonts w:ascii="Arial" w:cs="Arial" w:eastAsia="Arial" w:hAnsi="Arial"/>
          <w:sz w:val="13"/>
          <w:szCs w:val="13"/>
          <w:color w:val="58595B"/>
        </w:rPr>
      </w:pPr>
      <w:r>
        <w:rPr>
          <w:rFonts w:ascii="Arial" w:cs="Arial" w:eastAsia="Arial" w:hAnsi="Arial"/>
          <w:sz w:val="13"/>
          <w:szCs w:val="13"/>
          <w:color w:val="58595B"/>
        </w:rPr>
        <w:t>Amounts shown for all directors represent the grant date fair value of a restricted stock award granted in 2025, computed in accordance with FASB ASC Topic 718. Except for Mr. Foley, the awards vest over a period of three years from the grant date. Mr. Foley did not receive an FNF restricted stock award in 2025 as a result of the special one-time award he received in 2024. Assumptions used in the calculation of the amounts of the FNF awards are included in Note T to our audited financial statements for the fiscal year ended December 31, 2025, included in our Annual Report on Form 10-K filed with the SEC on February 26, 2026. Restricted stock awards granted for the fiscal year ended December 31, 2025 for each director were as follows: Mr. Foley 0; Mr. Ammerman 4,870; Mr. Dhanidina 4,870; Mr. Hagerty 4,870; Mr. Lane 4,870; Ms. Morgan 4,870; Ms. Miller 4,870; Mr. Rood 4,870; Mr. Shea 4,870; and Mr. Thompson 4,870. The fair value of the FNF restricted stock awards as shown above is based on a per share grant date fair value of $55.45 for each director. As of December 31, 2025, FNF restricted stock awards outstanding for each director were as follows: Mr. Foley 419,052; Mr. Ammerman 11,178; Mr. Dhanidina 11,178; Mr. Hagerty 11,178; Mr. Lane 11,178; Ms. Morgan 11,178; Ms. Miller 11,178; Mr. Rood 11,178; Mr. Shea 11,178; and Mr. Thompson 11,178. For Mr. Foley, Mr. Ammerman and Mr. Rood, the amount also includes the grant date fair value of their respective F&amp;G restricted stock awards granted in November 2025, computed in accordance with FASB ASC Topic 718. The F&amp;G restricted stock awards vest over a period of three years from the grant date and, in Mr. Foley's case, subject to achievement of the performance condition described in the award agreement. Assumptions used in the calculation of the amounts of the F&amp;G restricted stock awards are included in Note R of F&amp;G's Annual Report on Form 10-K filed with the SEC on February 26, 2026. F&amp;G restricted stock awards granted for the fiscal year ended December 31, 2025 for each director were as follows: Mr. Foley 199,204; Mr. Ammerman 6,436; and Mr. Rood 6,436. The fair value of the F&amp;G restricted stock awards as shown above is based on a per share grant date fair value of $32.63. As of December 31, 2025, F&amp;G restricted stock awards outstanding for Messrs. Foley, Ammerman and Rood were 346,659, 12,504 and 12,504, respectively.</w:t>
      </w:r>
    </w:p>
    <w:p>
      <w:pPr>
        <w:spacing w:after="0" w:line="106" w:lineRule="exact"/>
        <w:rPr>
          <w:rFonts w:ascii="Arial" w:cs="Arial" w:eastAsia="Arial" w:hAnsi="Arial"/>
          <w:sz w:val="13"/>
          <w:szCs w:val="13"/>
          <w:color w:val="58595B"/>
        </w:rPr>
      </w:pPr>
    </w:p>
    <w:p>
      <w:pPr>
        <w:ind w:left="920" w:hanging="298"/>
        <w:spacing w:after="0" w:line="244" w:lineRule="auto"/>
        <w:tabs>
          <w:tab w:leader="none" w:pos="920" w:val="left"/>
        </w:tabs>
        <w:numPr>
          <w:ilvl w:val="0"/>
          <w:numId w:val="72"/>
        </w:numPr>
        <w:rPr>
          <w:rFonts w:ascii="Arial" w:cs="Arial" w:eastAsia="Arial" w:hAnsi="Arial"/>
          <w:sz w:val="12"/>
          <w:szCs w:val="12"/>
          <w:color w:val="58595B"/>
        </w:rPr>
      </w:pPr>
      <w:r>
        <w:rPr>
          <w:rFonts w:ascii="Arial" w:cs="Arial" w:eastAsia="Arial" w:hAnsi="Arial"/>
          <w:sz w:val="12"/>
          <w:szCs w:val="12"/>
          <w:color w:val="58595B"/>
        </w:rPr>
        <w:t>Amounts shown for all directors reflect dividends paid with respect to restricted stock that vested in 2025, which were withheld during the period of restriction and paid upon vesting. Amounts for Mr. Foley include his base salary as a non-executive employee ($43,888); health insurance fees paid under our executive medical plan ($59,878); dividends paid with respect to restricted stock that vested in 2025 ($922,244); and personal use of corporate aircraft ($253,437). In addition to dividends paid with respect to restricted stock that vested during 2025, amounts for Mr. Ammerman include $89,072 of F&amp;G common stock related to annual board and committee retainers paid for services as a F&amp;G director in 2025, and amounts for Messrs. Ammerman and Rood include $89,000 and $180,000, respectively, of annual board and committee retainers paid in cash for services as a F&amp;G director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219710</wp:posOffset>
            </wp:positionV>
            <wp:extent cx="7144385" cy="297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77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880" w:top="854" w:right="339" w:bottom="1440" w:gutter="0" w:footer="0" w:header="0"/>
        </w:sectPr>
      </w:pPr>
    </w:p>
    <w:bookmarkStart w:id="81" w:name="page82"/>
    <w:bookmarkEnd w:id="81"/>
    <w:p>
      <w:pPr>
        <w:ind w:left="1420" w:right="3040"/>
        <w:spacing w:after="0" w:line="296" w:lineRule="auto"/>
        <w:rPr>
          <w:sz w:val="20"/>
          <w:szCs w:val="20"/>
          <w:color w:val="auto"/>
        </w:rPr>
      </w:pPr>
      <w:r>
        <w:rPr>
          <w:rFonts w:ascii="Arial" w:cs="Arial" w:eastAsia="Arial" w:hAnsi="Arial"/>
          <w:sz w:val="27"/>
          <w:szCs w:val="27"/>
          <w:b w:val="1"/>
          <w:bCs w:val="1"/>
          <w:color w:val="FFFFFF"/>
        </w:rPr>
        <w:drawing>
          <wp:anchor simplePos="0" relativeHeight="251657728" behindDoc="1" locked="0" layoutInCell="0" allowOverlap="1">
            <wp:simplePos x="0" y="0"/>
            <wp:positionH relativeFrom="page">
              <wp:posOffset>953770</wp:posOffset>
            </wp:positionH>
            <wp:positionV relativeFrom="page">
              <wp:posOffset>668020</wp:posOffset>
            </wp:positionV>
            <wp:extent cx="6283325" cy="539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83325" cy="539750"/>
                    </a:xfrm>
                    <a:prstGeom prst="rect">
                      <a:avLst/>
                    </a:prstGeom>
                    <a:noFill/>
                  </pic:spPr>
                </pic:pic>
              </a:graphicData>
            </a:graphic>
          </wp:anchor>
        </w:drawing>
        <w:t>PROPOSAL NO. 3: ADVISORY VOTE ON EXECUTIVE COMPENSATION</w:t>
      </w:r>
    </w:p>
    <w:p>
      <w:pPr>
        <w:spacing w:after="0" w:line="226" w:lineRule="exact"/>
        <w:rPr>
          <w:sz w:val="20"/>
          <w:szCs w:val="20"/>
          <w:color w:val="auto"/>
        </w:rPr>
      </w:pPr>
    </w:p>
    <w:p>
      <w:pPr>
        <w:ind w:left="1180" w:right="520"/>
        <w:spacing w:after="0" w:line="234" w:lineRule="auto"/>
        <w:rPr>
          <w:sz w:val="20"/>
          <w:szCs w:val="20"/>
          <w:color w:val="auto"/>
        </w:rPr>
      </w:pPr>
      <w:r>
        <w:rPr>
          <w:rFonts w:ascii="Arial" w:cs="Arial" w:eastAsia="Arial" w:hAnsi="Arial"/>
          <w:sz w:val="18"/>
          <w:szCs w:val="18"/>
          <w:color w:val="58595B"/>
        </w:rPr>
        <w:t>We believe that our compensation programs are structured to appropriately balance guaranteed base salary and performance-based at-risk annual and long-term incentives so as to incent our executives to drive strong short and long-term performance while providing enough assured annual compensation in the form of base salary to discourage excessive risk-taking. We believe that the success of this approach is evidenced by our long history of delivering consistent, industry-leading operating results and investment returns to our shareholders. FNF continued to outperform the industry in 2025 as we generated $14.3 billion of total revenue (excluding $160 million of noncash, valuation losses on investment securities) and $679 billion of net earnings from continuing operations. For 2025, the annual return to our shareholders was 7.4%, exceeding that of our peer group.</w:t>
      </w:r>
    </w:p>
    <w:p>
      <w:pPr>
        <w:spacing w:after="0" w:line="160" w:lineRule="exact"/>
        <w:rPr>
          <w:sz w:val="20"/>
          <w:szCs w:val="20"/>
          <w:color w:val="auto"/>
        </w:rPr>
      </w:pPr>
    </w:p>
    <w:p>
      <w:pPr>
        <w:ind w:left="1180" w:right="620"/>
        <w:spacing w:after="0" w:line="238" w:lineRule="auto"/>
        <w:rPr>
          <w:sz w:val="20"/>
          <w:szCs w:val="20"/>
          <w:color w:val="auto"/>
        </w:rPr>
      </w:pPr>
      <w:r>
        <w:rPr>
          <w:rFonts w:ascii="Arial" w:cs="Arial" w:eastAsia="Arial" w:hAnsi="Arial"/>
          <w:sz w:val="18"/>
          <w:szCs w:val="18"/>
          <w:color w:val="58595B"/>
        </w:rPr>
        <w:t>We urge our shareholders to read the "Compensation Discussion and Analysis" section of this proxy statement, which describes in detail our compensation philosophy and how our compensation programs operate and are designed to achieve our business and compensation objectives, as well as the Summary Compensation Table and other related compensation tables and disclosures, which provide detailed information on the compensation of our named executive officers.</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8"/>
          <w:szCs w:val="18"/>
          <w:color w:val="58595B"/>
        </w:rPr>
        <w:t>We ask our shareholders to vote on the following resolution at the annual meeting:</w:t>
      </w:r>
    </w:p>
    <w:p>
      <w:pPr>
        <w:spacing w:after="0" w:line="209" w:lineRule="exact"/>
        <w:rPr>
          <w:sz w:val="20"/>
          <w:szCs w:val="20"/>
          <w:color w:val="auto"/>
        </w:rPr>
      </w:pPr>
    </w:p>
    <w:p>
      <w:pPr>
        <w:jc w:val="center"/>
        <w:ind w:left="1020" w:right="640"/>
        <w:spacing w:after="0" w:line="242" w:lineRule="auto"/>
        <w:rPr>
          <w:sz w:val="20"/>
          <w:szCs w:val="20"/>
          <w:color w:val="auto"/>
        </w:rPr>
      </w:pPr>
      <w:r>
        <w:rPr>
          <w:sz w:val="1"/>
          <w:szCs w:val="1"/>
          <w:color w:val="auto"/>
        </w:rPr>
        <w:drawing>
          <wp:inline distT="0" distB="0" distL="0" distR="0">
            <wp:extent cx="226695" cy="16192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6695" cy="161925"/>
                    </a:xfrm>
                    <a:prstGeom prst="rect">
                      <a:avLst/>
                    </a:prstGeom>
                    <a:noFill/>
                    <a:ln>
                      <a:noFill/>
                    </a:ln>
                  </pic:spPr>
                </pic:pic>
              </a:graphicData>
            </a:graphic>
          </wp:inline>
        </w:drawing>
      </w:r>
      <w:r>
        <w:rPr>
          <w:rFonts w:ascii="Arial" w:cs="Arial" w:eastAsia="Arial" w:hAnsi="Arial"/>
          <w:sz w:val="18"/>
          <w:szCs w:val="18"/>
          <w:color w:val="58595B"/>
        </w:rPr>
        <w:t xml:space="preserve"> 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 including the Compensation Discussion and Analysis and executive and Director Compensation section, the compensation tables</w:t>
      </w:r>
    </w:p>
    <w:p>
      <w:pPr>
        <w:spacing w:after="0" w:line="3"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58595B"/>
        </w:rPr>
        <w:t xml:space="preserve">and related narrative. </w:t>
      </w:r>
      <w:r>
        <w:rPr>
          <w:sz w:val="1"/>
          <w:szCs w:val="1"/>
          <w:color w:val="auto"/>
        </w:rPr>
        <w:drawing>
          <wp:inline distT="0" distB="0" distL="0" distR="0">
            <wp:extent cx="226695" cy="1879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6695" cy="187960"/>
                    </a:xfrm>
                    <a:prstGeom prst="rect">
                      <a:avLst/>
                    </a:prstGeom>
                    <a:noFill/>
                    <a:ln>
                      <a:noFill/>
                    </a:ln>
                  </pic:spPr>
                </pic:pic>
              </a:graphicData>
            </a:graphic>
          </wp:inline>
        </w:drawing>
      </w:r>
    </w:p>
    <w:p>
      <w:pPr>
        <w:spacing w:after="0" w:line="175" w:lineRule="exact"/>
        <w:rPr>
          <w:sz w:val="20"/>
          <w:szCs w:val="20"/>
          <w:color w:val="auto"/>
        </w:rPr>
      </w:pPr>
    </w:p>
    <w:p>
      <w:pPr>
        <w:ind w:left="1180" w:right="660"/>
        <w:spacing w:after="0" w:line="241" w:lineRule="auto"/>
        <w:rPr>
          <w:sz w:val="20"/>
          <w:szCs w:val="20"/>
          <w:color w:val="auto"/>
        </w:rPr>
      </w:pPr>
      <w:r>
        <w:rPr>
          <w:rFonts w:ascii="Arial" w:cs="Arial" w:eastAsia="Arial" w:hAnsi="Arial"/>
          <w:sz w:val="18"/>
          <w:szCs w:val="18"/>
          <w:color w:val="58595B"/>
        </w:rPr>
        <w:t>The vote on this resolution is not intended to address any specific element of compensation; rather, the vote relates to the compensation of our named executive officers, as described in this proxy statement in accordance with the compensation disclosure rules of the Securities and Exchange Commission. Approval of this resolution requires the affirmative vote of a majority of the shares of our common stock represented and entitled to vote at the meeting.</w:t>
      </w:r>
    </w:p>
    <w:p>
      <w:pPr>
        <w:spacing w:after="0" w:line="154" w:lineRule="exact"/>
        <w:rPr>
          <w:sz w:val="20"/>
          <w:szCs w:val="20"/>
          <w:color w:val="auto"/>
        </w:rPr>
      </w:pPr>
    </w:p>
    <w:p>
      <w:pPr>
        <w:ind w:left="1180" w:right="740"/>
        <w:spacing w:after="0" w:line="241" w:lineRule="auto"/>
        <w:rPr>
          <w:sz w:val="20"/>
          <w:szCs w:val="20"/>
          <w:color w:val="auto"/>
        </w:rPr>
      </w:pPr>
      <w:r>
        <w:rPr>
          <w:rFonts w:ascii="Arial" w:cs="Arial" w:eastAsia="Arial" w:hAnsi="Arial"/>
          <w:sz w:val="18"/>
          <w:szCs w:val="18"/>
          <w:color w:val="58595B"/>
        </w:rPr>
        <w:t>However, as this is an advisory vote, the results will not be binding on the Company, the board or the compensation committee, and will not require us to take any action. The final decision on the compensation of our named executive officers remains with our compensation committee and the board, although the compensation committee and the board will consider the outcome of this vote when making compensation decisions.</w:t>
      </w:r>
    </w:p>
    <w:p>
      <w:pPr>
        <w:spacing w:after="0" w:line="154" w:lineRule="exact"/>
        <w:rPr>
          <w:sz w:val="20"/>
          <w:szCs w:val="20"/>
          <w:color w:val="auto"/>
        </w:rPr>
      </w:pPr>
    </w:p>
    <w:p>
      <w:pPr>
        <w:jc w:val="both"/>
        <w:ind w:left="1180" w:right="840"/>
        <w:spacing w:after="0" w:line="252" w:lineRule="auto"/>
        <w:rPr>
          <w:sz w:val="20"/>
          <w:szCs w:val="20"/>
          <w:color w:val="auto"/>
        </w:rPr>
      </w:pPr>
      <w:r>
        <w:rPr>
          <w:rFonts w:ascii="Arial" w:cs="Arial" w:eastAsia="Arial" w:hAnsi="Arial"/>
          <w:sz w:val="18"/>
          <w:szCs w:val="18"/>
          <w:b w:val="1"/>
          <w:bCs w:val="1"/>
          <w:color w:val="58595B"/>
        </w:rPr>
        <w:t>THE BOARD RECOMMENDS THAT THE SHAREHOLDERS VOTE “FOR” THE APPROVAL, ON AN ADVISORY BASIS, OF THE COMPENSATION OF OUR NAMED EXECUTIVE OFFICERS, AS DISCLOSED IN THIS PROXY STATEMENT.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78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1" w:right="339" w:bottom="1440" w:gutter="0" w:footer="0" w:header="0"/>
        </w:sectPr>
      </w:pPr>
    </w:p>
    <w:bookmarkStart w:id="82" w:name="page83"/>
    <w:bookmarkEnd w:id="82"/>
    <w:p>
      <w:pPr>
        <w:ind w:left="860" w:right="2840"/>
        <w:spacing w:after="0" w:line="316"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953770</wp:posOffset>
            </wp:positionH>
            <wp:positionV relativeFrom="page">
              <wp:posOffset>542925</wp:posOffset>
            </wp:positionV>
            <wp:extent cx="6283325" cy="5397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83325" cy="539750"/>
                    </a:xfrm>
                    <a:prstGeom prst="rect">
                      <a:avLst/>
                    </a:prstGeom>
                    <a:noFill/>
                  </pic:spPr>
                </pic:pic>
              </a:graphicData>
            </a:graphic>
          </wp:anchor>
        </w:drawing>
        <w:t>PROPOSAL NO. 4: RATIFICATION OF INDEPENDENT REGISTERED PUBLIC ACCOUNTING FIRM</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23"/>
          <w:szCs w:val="23"/>
          <w:b w:val="1"/>
          <w:bCs w:val="1"/>
          <w:color w:val="586D94"/>
        </w:rPr>
        <w:t>GENERAL INFORMATION ABOUT ERNST &amp; YOUNG LLP</w:t>
      </w:r>
    </w:p>
    <w:p>
      <w:pPr>
        <w:spacing w:after="0" w:line="239" w:lineRule="exact"/>
        <w:rPr>
          <w:sz w:val="20"/>
          <w:szCs w:val="20"/>
          <w:color w:val="auto"/>
        </w:rPr>
      </w:pPr>
    </w:p>
    <w:p>
      <w:pPr>
        <w:ind w:left="620"/>
        <w:spacing w:after="0" w:line="248" w:lineRule="auto"/>
        <w:rPr>
          <w:sz w:val="20"/>
          <w:szCs w:val="20"/>
          <w:color w:val="auto"/>
        </w:rPr>
      </w:pPr>
      <w:r>
        <w:rPr>
          <w:rFonts w:ascii="Arial" w:cs="Arial" w:eastAsia="Arial" w:hAnsi="Arial"/>
          <w:sz w:val="17"/>
          <w:szCs w:val="17"/>
          <w:color w:val="58595B"/>
        </w:rPr>
        <w:t>Although shareholder ratification of the appointment of our independent registered public accounting firm is not required by our bylaws or otherwise, we are submitting the selection of Ernst &amp; Young LLP (EY) to our shareholders for ratification as a matter of good corporate governance practice. Even if the selection is ratified, our audit committee in its discretion may select a different independent registered public accounting firm at any time if it determines that such a change would be in the best interests of the Company and our shareholders. If our shareholders do not ratify the audit committee's selection, the audit committee will take that fact into consideration, together with such other factors it deems relevant, in determining its next selection of our independent registered public accounting firm.</w:t>
      </w:r>
    </w:p>
    <w:p>
      <w:pPr>
        <w:spacing w:after="0" w:line="179" w:lineRule="exact"/>
        <w:rPr>
          <w:sz w:val="20"/>
          <w:szCs w:val="20"/>
          <w:color w:val="auto"/>
        </w:rPr>
      </w:pPr>
    </w:p>
    <w:p>
      <w:pPr>
        <w:ind w:left="620" w:right="320"/>
        <w:spacing w:after="0" w:line="236" w:lineRule="auto"/>
        <w:rPr>
          <w:sz w:val="20"/>
          <w:szCs w:val="20"/>
          <w:color w:val="auto"/>
        </w:rPr>
      </w:pPr>
      <w:r>
        <w:rPr>
          <w:rFonts w:ascii="Arial" w:cs="Arial" w:eastAsia="Arial" w:hAnsi="Arial"/>
          <w:sz w:val="18"/>
          <w:szCs w:val="18"/>
          <w:color w:val="58595B"/>
        </w:rPr>
        <w:t>In choosing our independent registered public accounting firm, our audit committee conducts a comprehensive review of the qualifications of those individuals who will lead and serve on the engagement team, the quality control procedures the firm has established, and any issue raised by the most recent quality control review of the firm. The review also includes matters required to be considered under the Securities and Exchange Commission rules on "Auditor Independence," including the nature and extent of non-audit services to ensure that they will not impair the independence of the accountants.</w:t>
      </w:r>
    </w:p>
    <w:p>
      <w:pPr>
        <w:spacing w:after="0" w:line="184" w:lineRule="exact"/>
        <w:rPr>
          <w:sz w:val="20"/>
          <w:szCs w:val="20"/>
          <w:color w:val="auto"/>
        </w:rPr>
      </w:pPr>
    </w:p>
    <w:p>
      <w:pPr>
        <w:ind w:left="620" w:right="340"/>
        <w:spacing w:after="0" w:line="266" w:lineRule="auto"/>
        <w:rPr>
          <w:sz w:val="20"/>
          <w:szCs w:val="20"/>
          <w:color w:val="auto"/>
        </w:rPr>
      </w:pPr>
      <w:r>
        <w:rPr>
          <w:rFonts w:ascii="Arial" w:cs="Arial" w:eastAsia="Arial" w:hAnsi="Arial"/>
          <w:sz w:val="18"/>
          <w:szCs w:val="18"/>
          <w:color w:val="58595B"/>
        </w:rPr>
        <w:t>Representatives of EY are expected to be present at the annual meeting. These representatives will have an opportunity to make a statement if they so desire and will be available to respond to appropriate questions.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3"/>
          <w:szCs w:val="23"/>
          <w:b w:val="1"/>
          <w:bCs w:val="1"/>
          <w:color w:val="586D94"/>
        </w:rPr>
        <w:t>PRINCIPAL ACCOUNTANT FEES AND SERVICES</w:t>
      </w:r>
    </w:p>
    <w:p>
      <w:pPr>
        <w:spacing w:after="0" w:line="239" w:lineRule="exact"/>
        <w:rPr>
          <w:sz w:val="20"/>
          <w:szCs w:val="20"/>
          <w:color w:val="auto"/>
        </w:rPr>
      </w:pPr>
    </w:p>
    <w:p>
      <w:pPr>
        <w:ind w:left="620" w:right="60"/>
        <w:spacing w:after="0" w:line="256" w:lineRule="auto"/>
        <w:rPr>
          <w:sz w:val="20"/>
          <w:szCs w:val="20"/>
          <w:color w:val="auto"/>
        </w:rPr>
      </w:pPr>
      <w:r>
        <w:rPr>
          <w:rFonts w:ascii="Arial" w:cs="Arial" w:eastAsia="Arial" w:hAnsi="Arial"/>
          <w:sz w:val="17"/>
          <w:szCs w:val="17"/>
          <w:color w:val="58595B"/>
        </w:rPr>
        <w:t>The audit committee has appointed EY to audit the consolidated financial statements of the Company for the 2026 fiscal year. EY has continuously acted as our independent registered public accounting firm since August 2, 2017. For services rendered to us during or in connection with our years ended December 31, 2025 and December 31, 2024, we were billed the following fees by EY:</w:t>
      </w:r>
    </w:p>
    <w:p>
      <w:pPr>
        <w:spacing w:after="0" w:line="372" w:lineRule="exact"/>
        <w:rPr>
          <w:sz w:val="20"/>
          <w:szCs w:val="20"/>
          <w:color w:val="auto"/>
        </w:rPr>
      </w:pPr>
    </w:p>
    <w:tbl>
      <w:tblPr>
        <w:tblLayout w:type="fixed"/>
        <w:tblInd w:w="630" w:type="dxa"/>
        <w:tblCellMar>
          <w:top w:w="0" w:type="dxa"/>
          <w:left w:w="0" w:type="dxa"/>
          <w:bottom w:w="0" w:type="dxa"/>
          <w:right w:w="0" w:type="dxa"/>
        </w:tblCellMar>
      </w:tblPr>
      <w:tr>
        <w:trPr>
          <w:trHeight w:val="227"/>
        </w:trPr>
        <w:tc>
          <w:tcPr>
            <w:tcW w:w="5080" w:type="dxa"/>
            <w:vAlign w:val="bottom"/>
            <w:tcBorders>
              <w:right w:val="single" w:sz="8" w:color="58595B"/>
            </w:tcBorders>
          </w:tcPr>
          <w:p>
            <w:pPr>
              <w:spacing w:after="0"/>
              <w:rPr>
                <w:sz w:val="19"/>
                <w:szCs w:val="19"/>
                <w:color w:val="auto"/>
              </w:rPr>
            </w:pPr>
          </w:p>
        </w:tc>
        <w:tc>
          <w:tcPr>
            <w:tcW w:w="22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2025</w:t>
            </w:r>
          </w:p>
        </w:tc>
        <w:tc>
          <w:tcPr>
            <w:tcW w:w="230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rPr>
              <w:t>2024</w:t>
            </w:r>
          </w:p>
        </w:tc>
      </w:tr>
      <w:tr>
        <w:trPr>
          <w:trHeight w:val="278"/>
        </w:trPr>
        <w:tc>
          <w:tcPr>
            <w:tcW w:w="5080" w:type="dxa"/>
            <w:vAlign w:val="bottom"/>
            <w:tcBorders>
              <w:right w:val="single" w:sz="8" w:color="58595B"/>
            </w:tcBorders>
          </w:tcPr>
          <w:p>
            <w:pPr>
              <w:spacing w:after="0"/>
              <w:rPr>
                <w:sz w:val="24"/>
                <w:szCs w:val="24"/>
                <w:color w:val="auto"/>
              </w:rPr>
            </w:pPr>
          </w:p>
        </w:tc>
        <w:tc>
          <w:tcPr>
            <w:tcW w:w="2200" w:type="dxa"/>
            <w:vAlign w:val="bottom"/>
            <w:tcBorders>
              <w:bottom w:val="single" w:sz="8" w:color="274F78"/>
              <w:right w:val="single" w:sz="8" w:color="274F78"/>
            </w:tcBorders>
            <w:shd w:val="clear" w:color="auto" w:fill="274F78"/>
          </w:tcPr>
          <w:p>
            <w:pPr>
              <w:ind w:left="520"/>
              <w:spacing w:after="0"/>
              <w:rPr>
                <w:sz w:val="20"/>
                <w:szCs w:val="20"/>
                <w:color w:val="auto"/>
              </w:rPr>
            </w:pPr>
            <w:r>
              <w:rPr>
                <w:rFonts w:ascii="Arial" w:cs="Arial" w:eastAsia="Arial" w:hAnsi="Arial"/>
                <w:sz w:val="18"/>
                <w:szCs w:val="18"/>
                <w:i w:val="1"/>
                <w:iCs w:val="1"/>
                <w:color w:val="FFFFFF"/>
              </w:rPr>
              <w:t>(In thousands)</w:t>
            </w:r>
          </w:p>
        </w:tc>
        <w:tc>
          <w:tcPr>
            <w:tcW w:w="2300" w:type="dxa"/>
            <w:vAlign w:val="bottom"/>
            <w:tcBorders>
              <w:bottom w:val="single" w:sz="8" w:color="274F78"/>
              <w:right w:val="single" w:sz="8" w:color="58595B"/>
            </w:tcBorders>
            <w:shd w:val="clear" w:color="auto" w:fill="274F78"/>
          </w:tcPr>
          <w:p>
            <w:pPr>
              <w:ind w:left="540"/>
              <w:spacing w:after="0"/>
              <w:rPr>
                <w:sz w:val="20"/>
                <w:szCs w:val="20"/>
                <w:color w:val="auto"/>
              </w:rPr>
            </w:pPr>
            <w:r>
              <w:rPr>
                <w:rFonts w:ascii="Arial" w:cs="Arial" w:eastAsia="Arial" w:hAnsi="Arial"/>
                <w:sz w:val="18"/>
                <w:szCs w:val="18"/>
                <w:i w:val="1"/>
                <w:iCs w:val="1"/>
                <w:color w:val="FFFFFF"/>
              </w:rPr>
              <w:t>(In thousands)</w:t>
            </w:r>
          </w:p>
        </w:tc>
      </w:tr>
      <w:tr>
        <w:trPr>
          <w:trHeight w:val="239"/>
        </w:trPr>
        <w:tc>
          <w:tcPr>
            <w:tcW w:w="5080" w:type="dxa"/>
            <w:vAlign w:val="bottom"/>
            <w:tcBorders>
              <w:top w:val="single" w:sz="8" w:color="58595B"/>
              <w:left w:val="single" w:sz="8" w:color="58595B"/>
              <w:right w:val="single" w:sz="8" w:color="58595B"/>
            </w:tcBorders>
          </w:tcPr>
          <w:p>
            <w:pPr>
              <w:ind w:left="160"/>
              <w:spacing w:after="0"/>
              <w:rPr>
                <w:sz w:val="20"/>
                <w:szCs w:val="20"/>
                <w:color w:val="auto"/>
              </w:rPr>
            </w:pPr>
            <w:r>
              <w:rPr>
                <w:rFonts w:ascii="Arial" w:cs="Arial" w:eastAsia="Arial" w:hAnsi="Arial"/>
                <w:sz w:val="16"/>
                <w:szCs w:val="16"/>
                <w:color w:val="58595B"/>
              </w:rPr>
              <w:t>Audit Fees</w:t>
            </w:r>
          </w:p>
        </w:tc>
        <w:tc>
          <w:tcPr>
            <w:tcW w:w="22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$9,167</w:t>
            </w:r>
          </w:p>
        </w:tc>
        <w:tc>
          <w:tcPr>
            <w:tcW w:w="2300" w:type="dxa"/>
            <w:vAlign w:val="bottom"/>
            <w:tcBorders>
              <w:top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$8,790</w:t>
            </w:r>
          </w:p>
        </w:tc>
      </w:tr>
      <w:tr>
        <w:trPr>
          <w:trHeight w:val="49"/>
        </w:trPr>
        <w:tc>
          <w:tcPr>
            <w:tcW w:w="5080" w:type="dxa"/>
            <w:vAlign w:val="bottom"/>
            <w:tcBorders>
              <w:left w:val="single" w:sz="8" w:color="58595B"/>
              <w:bottom w:val="single" w:sz="8" w:color="58595B"/>
              <w:right w:val="single" w:sz="8" w:color="58595B"/>
            </w:tcBorders>
          </w:tcPr>
          <w:p>
            <w:pPr>
              <w:spacing w:after="0"/>
              <w:rPr>
                <w:sz w:val="4"/>
                <w:szCs w:val="4"/>
                <w:color w:val="auto"/>
              </w:rPr>
            </w:pPr>
          </w:p>
        </w:tc>
        <w:tc>
          <w:tcPr>
            <w:tcW w:w="2200" w:type="dxa"/>
            <w:vAlign w:val="bottom"/>
            <w:tcBorders>
              <w:bottom w:val="single" w:sz="8" w:color="58595B"/>
              <w:right w:val="single" w:sz="8" w:color="58595B"/>
            </w:tcBorders>
          </w:tcPr>
          <w:p>
            <w:pPr>
              <w:spacing w:after="0"/>
              <w:rPr>
                <w:sz w:val="4"/>
                <w:szCs w:val="4"/>
                <w:color w:val="auto"/>
              </w:rPr>
            </w:pPr>
          </w:p>
        </w:tc>
        <w:tc>
          <w:tcPr>
            <w:tcW w:w="2300" w:type="dxa"/>
            <w:vAlign w:val="bottom"/>
            <w:tcBorders>
              <w:bottom w:val="single" w:sz="8" w:color="58595B"/>
              <w:right w:val="single" w:sz="8" w:color="58595B"/>
            </w:tcBorders>
          </w:tcPr>
          <w:p>
            <w:pPr>
              <w:spacing w:after="0"/>
              <w:rPr>
                <w:sz w:val="4"/>
                <w:szCs w:val="4"/>
                <w:color w:val="auto"/>
              </w:rPr>
            </w:pPr>
          </w:p>
        </w:tc>
      </w:tr>
      <w:tr>
        <w:trPr>
          <w:trHeight w:val="239"/>
        </w:trPr>
        <w:tc>
          <w:tcPr>
            <w:tcW w:w="508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6"/>
                <w:szCs w:val="16"/>
                <w:color w:val="58595B"/>
              </w:rPr>
              <w:t>Audit-Related Fees</w:t>
            </w:r>
          </w:p>
        </w:tc>
        <w:tc>
          <w:tcPr>
            <w:tcW w:w="2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$510</w:t>
            </w:r>
          </w:p>
        </w:tc>
        <w:tc>
          <w:tcPr>
            <w:tcW w:w="23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$467</w:t>
            </w:r>
          </w:p>
        </w:tc>
      </w:tr>
      <w:tr>
        <w:trPr>
          <w:trHeight w:val="49"/>
        </w:trPr>
        <w:tc>
          <w:tcPr>
            <w:tcW w:w="5080" w:type="dxa"/>
            <w:vAlign w:val="bottom"/>
            <w:tcBorders>
              <w:left w:val="single" w:sz="8" w:color="58595B"/>
              <w:bottom w:val="single" w:sz="8" w:color="58595B"/>
              <w:right w:val="single" w:sz="8" w:color="58595B"/>
            </w:tcBorders>
          </w:tcPr>
          <w:p>
            <w:pPr>
              <w:spacing w:after="0"/>
              <w:rPr>
                <w:sz w:val="4"/>
                <w:szCs w:val="4"/>
                <w:color w:val="auto"/>
              </w:rPr>
            </w:pPr>
          </w:p>
        </w:tc>
        <w:tc>
          <w:tcPr>
            <w:tcW w:w="2200" w:type="dxa"/>
            <w:vAlign w:val="bottom"/>
            <w:tcBorders>
              <w:bottom w:val="single" w:sz="8" w:color="58595B"/>
              <w:right w:val="single" w:sz="8" w:color="58595B"/>
            </w:tcBorders>
          </w:tcPr>
          <w:p>
            <w:pPr>
              <w:spacing w:after="0"/>
              <w:rPr>
                <w:sz w:val="4"/>
                <w:szCs w:val="4"/>
                <w:color w:val="auto"/>
              </w:rPr>
            </w:pPr>
          </w:p>
        </w:tc>
        <w:tc>
          <w:tcPr>
            <w:tcW w:w="2300" w:type="dxa"/>
            <w:vAlign w:val="bottom"/>
            <w:tcBorders>
              <w:bottom w:val="single" w:sz="8" w:color="58595B"/>
              <w:right w:val="single" w:sz="8" w:color="58595B"/>
            </w:tcBorders>
          </w:tcPr>
          <w:p>
            <w:pPr>
              <w:spacing w:after="0"/>
              <w:rPr>
                <w:sz w:val="4"/>
                <w:szCs w:val="4"/>
                <w:color w:val="auto"/>
              </w:rPr>
            </w:pPr>
          </w:p>
        </w:tc>
      </w:tr>
      <w:tr>
        <w:trPr>
          <w:trHeight w:val="239"/>
        </w:trPr>
        <w:tc>
          <w:tcPr>
            <w:tcW w:w="508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6"/>
                <w:szCs w:val="16"/>
                <w:color w:val="58595B"/>
              </w:rPr>
              <w:t>Tax Fees</w:t>
            </w:r>
          </w:p>
        </w:tc>
        <w:tc>
          <w:tcPr>
            <w:tcW w:w="2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$248</w:t>
            </w:r>
          </w:p>
        </w:tc>
        <w:tc>
          <w:tcPr>
            <w:tcW w:w="23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$99</w:t>
            </w:r>
          </w:p>
        </w:tc>
      </w:tr>
      <w:tr>
        <w:trPr>
          <w:trHeight w:val="49"/>
        </w:trPr>
        <w:tc>
          <w:tcPr>
            <w:tcW w:w="5080" w:type="dxa"/>
            <w:vAlign w:val="bottom"/>
            <w:tcBorders>
              <w:left w:val="single" w:sz="8" w:color="58595B"/>
              <w:bottom w:val="single" w:sz="8" w:color="58595B"/>
              <w:right w:val="single" w:sz="8" w:color="58595B"/>
            </w:tcBorders>
          </w:tcPr>
          <w:p>
            <w:pPr>
              <w:spacing w:after="0"/>
              <w:rPr>
                <w:sz w:val="4"/>
                <w:szCs w:val="4"/>
                <w:color w:val="auto"/>
              </w:rPr>
            </w:pPr>
          </w:p>
        </w:tc>
        <w:tc>
          <w:tcPr>
            <w:tcW w:w="2200" w:type="dxa"/>
            <w:vAlign w:val="bottom"/>
            <w:tcBorders>
              <w:bottom w:val="single" w:sz="8" w:color="58595B"/>
              <w:right w:val="single" w:sz="8" w:color="58595B"/>
            </w:tcBorders>
          </w:tcPr>
          <w:p>
            <w:pPr>
              <w:spacing w:after="0"/>
              <w:rPr>
                <w:sz w:val="4"/>
                <w:szCs w:val="4"/>
                <w:color w:val="auto"/>
              </w:rPr>
            </w:pPr>
          </w:p>
        </w:tc>
        <w:tc>
          <w:tcPr>
            <w:tcW w:w="2300" w:type="dxa"/>
            <w:vAlign w:val="bottom"/>
            <w:tcBorders>
              <w:bottom w:val="single" w:sz="8" w:color="58595B"/>
              <w:right w:val="single" w:sz="8" w:color="58595B"/>
            </w:tcBorders>
          </w:tcPr>
          <w:p>
            <w:pPr>
              <w:spacing w:after="0"/>
              <w:rPr>
                <w:sz w:val="4"/>
                <w:szCs w:val="4"/>
                <w:color w:val="auto"/>
              </w:rPr>
            </w:pPr>
          </w:p>
        </w:tc>
      </w:tr>
      <w:tr>
        <w:trPr>
          <w:trHeight w:val="239"/>
        </w:trPr>
        <w:tc>
          <w:tcPr>
            <w:tcW w:w="508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6"/>
                <w:szCs w:val="16"/>
                <w:color w:val="58595B"/>
              </w:rPr>
              <w:t>All Other Fees</w:t>
            </w:r>
          </w:p>
        </w:tc>
        <w:tc>
          <w:tcPr>
            <w:tcW w:w="22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auto"/>
                <w:w w:val="93"/>
              </w:rPr>
              <w:t>—</w:t>
            </w:r>
          </w:p>
        </w:tc>
        <w:tc>
          <w:tcPr>
            <w:tcW w:w="23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$14</w:t>
            </w:r>
          </w:p>
        </w:tc>
      </w:tr>
      <w:tr>
        <w:trPr>
          <w:trHeight w:val="49"/>
        </w:trPr>
        <w:tc>
          <w:tcPr>
            <w:tcW w:w="5080" w:type="dxa"/>
            <w:vAlign w:val="bottom"/>
            <w:tcBorders>
              <w:left w:val="single" w:sz="8" w:color="58595B"/>
              <w:bottom w:val="single" w:sz="8" w:color="58595B"/>
              <w:right w:val="single" w:sz="8" w:color="58595B"/>
            </w:tcBorders>
          </w:tcPr>
          <w:p>
            <w:pPr>
              <w:spacing w:after="0"/>
              <w:rPr>
                <w:sz w:val="4"/>
                <w:szCs w:val="4"/>
                <w:color w:val="auto"/>
              </w:rPr>
            </w:pPr>
          </w:p>
        </w:tc>
        <w:tc>
          <w:tcPr>
            <w:tcW w:w="2200" w:type="dxa"/>
            <w:vAlign w:val="bottom"/>
            <w:tcBorders>
              <w:bottom w:val="single" w:sz="8" w:color="58595B"/>
              <w:right w:val="single" w:sz="8" w:color="58595B"/>
            </w:tcBorders>
          </w:tcPr>
          <w:p>
            <w:pPr>
              <w:spacing w:after="0"/>
              <w:rPr>
                <w:sz w:val="4"/>
                <w:szCs w:val="4"/>
                <w:color w:val="auto"/>
              </w:rPr>
            </w:pPr>
          </w:p>
        </w:tc>
        <w:tc>
          <w:tcPr>
            <w:tcW w:w="2300" w:type="dxa"/>
            <w:vAlign w:val="bottom"/>
            <w:tcBorders>
              <w:bottom w:val="single" w:sz="8" w:color="58595B"/>
              <w:right w:val="single" w:sz="8" w:color="58595B"/>
            </w:tcBorders>
          </w:tcPr>
          <w:p>
            <w:pPr>
              <w:spacing w:after="0"/>
              <w:rPr>
                <w:sz w:val="4"/>
                <w:szCs w:val="4"/>
                <w:color w:val="auto"/>
              </w:rPr>
            </w:pPr>
          </w:p>
        </w:tc>
      </w:tr>
    </w:tbl>
    <w:p>
      <w:pPr>
        <w:spacing w:after="0" w:line="373" w:lineRule="exact"/>
        <w:rPr>
          <w:sz w:val="20"/>
          <w:szCs w:val="20"/>
          <w:color w:val="auto"/>
        </w:rPr>
      </w:pPr>
    </w:p>
    <w:p>
      <w:pPr>
        <w:ind w:left="620" w:right="120"/>
        <w:spacing w:after="0" w:line="247" w:lineRule="auto"/>
        <w:rPr>
          <w:sz w:val="20"/>
          <w:szCs w:val="20"/>
          <w:color w:val="auto"/>
        </w:rPr>
      </w:pPr>
      <w:r>
        <w:rPr>
          <w:rFonts w:ascii="Arial" w:cs="Arial" w:eastAsia="Arial" w:hAnsi="Arial"/>
          <w:sz w:val="18"/>
          <w:szCs w:val="18"/>
          <w:b w:val="1"/>
          <w:bCs w:val="1"/>
          <w:color w:val="062A5D"/>
        </w:rPr>
        <w:t xml:space="preserve">Audit Fees. </w:t>
      </w:r>
      <w:r>
        <w:rPr>
          <w:rFonts w:ascii="Arial" w:cs="Arial" w:eastAsia="Arial" w:hAnsi="Arial"/>
          <w:sz w:val="18"/>
          <w:szCs w:val="18"/>
          <w:color w:val="58595B"/>
        </w:rPr>
        <w:t>Audit fees consisted principally of fees for the audits, registration statements and other filings related to the</w:t>
      </w:r>
      <w:r>
        <w:rPr>
          <w:rFonts w:ascii="Arial" w:cs="Arial" w:eastAsia="Arial" w:hAnsi="Arial"/>
          <w:sz w:val="18"/>
          <w:szCs w:val="18"/>
          <w:b w:val="1"/>
          <w:bCs w:val="1"/>
          <w:color w:val="062A5D"/>
        </w:rPr>
        <w:t xml:space="preserve"> </w:t>
      </w:r>
      <w:r>
        <w:rPr>
          <w:rFonts w:ascii="Arial" w:cs="Arial" w:eastAsia="Arial" w:hAnsi="Arial"/>
          <w:sz w:val="18"/>
          <w:szCs w:val="18"/>
          <w:color w:val="58595B"/>
        </w:rPr>
        <w:t>Company's 2025 and 2024 financial statements, and audits of the Company's subsidiaries required for regulatory reporting purposes, including billings for out-of-pocket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124460</wp:posOffset>
            </wp:positionV>
            <wp:extent cx="7144385" cy="297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79</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520"/>
          </w:cols>
          <w:pgMar w:left="880" w:top="914" w:right="499" w:bottom="1440" w:gutter="0" w:footer="0" w:header="0"/>
        </w:sectPr>
      </w:pPr>
    </w:p>
    <w:bookmarkStart w:id="83" w:name="page84"/>
    <w:bookmarkEnd w:id="83"/>
    <w:p>
      <w:pPr>
        <w:ind w:left="1180" w:right="580"/>
        <w:spacing w:after="0" w:line="266" w:lineRule="auto"/>
        <w:rPr>
          <w:sz w:val="20"/>
          <w:szCs w:val="20"/>
          <w:color w:val="auto"/>
        </w:rPr>
      </w:pPr>
      <w:r>
        <w:rPr>
          <w:rFonts w:ascii="Arial" w:cs="Arial" w:eastAsia="Arial" w:hAnsi="Arial"/>
          <w:sz w:val="18"/>
          <w:szCs w:val="18"/>
          <w:b w:val="1"/>
          <w:bCs w:val="1"/>
          <w:color w:val="062A5D"/>
        </w:rPr>
        <w:t xml:space="preserve">Audit-Related Fees. </w:t>
      </w:r>
      <w:r>
        <w:rPr>
          <w:rFonts w:ascii="Arial" w:cs="Arial" w:eastAsia="Arial" w:hAnsi="Arial"/>
          <w:sz w:val="18"/>
          <w:szCs w:val="18"/>
          <w:color w:val="58595B"/>
        </w:rPr>
        <w:t>Audit-related fees in 2025 and 2024 consisted principally of fees for Service Organization Control</w:t>
      </w:r>
      <w:r>
        <w:rPr>
          <w:rFonts w:ascii="Arial" w:cs="Arial" w:eastAsia="Arial" w:hAnsi="Arial"/>
          <w:sz w:val="18"/>
          <w:szCs w:val="18"/>
          <w:b w:val="1"/>
          <w:bCs w:val="1"/>
          <w:color w:val="062A5D"/>
        </w:rPr>
        <w:t xml:space="preserve"> </w:t>
      </w:r>
      <w:r>
        <w:rPr>
          <w:rFonts w:ascii="Arial" w:cs="Arial" w:eastAsia="Arial" w:hAnsi="Arial"/>
          <w:sz w:val="18"/>
          <w:szCs w:val="18"/>
          <w:color w:val="58595B"/>
        </w:rPr>
        <w:t>Reports.</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62A5D"/>
        </w:rPr>
        <w:t xml:space="preserve">Tax Fees. </w:t>
      </w:r>
      <w:r>
        <w:rPr>
          <w:rFonts w:ascii="Arial" w:cs="Arial" w:eastAsia="Arial" w:hAnsi="Arial"/>
          <w:sz w:val="18"/>
          <w:szCs w:val="18"/>
          <w:color w:val="58595B"/>
        </w:rPr>
        <w:t>Tax fees for 2025 and 2024 consisted principally of fees for tax compliance, tax planning and tax advice.</w:t>
      </w:r>
    </w:p>
    <w:p>
      <w:pPr>
        <w:spacing w:after="0" w:line="212" w:lineRule="exact"/>
        <w:rPr>
          <w:sz w:val="20"/>
          <w:szCs w:val="20"/>
          <w:color w:val="auto"/>
        </w:rPr>
      </w:pPr>
    </w:p>
    <w:p>
      <w:pPr>
        <w:ind w:left="1180" w:right="480"/>
        <w:spacing w:after="0" w:line="266" w:lineRule="auto"/>
        <w:rPr>
          <w:sz w:val="20"/>
          <w:szCs w:val="20"/>
          <w:color w:val="auto"/>
        </w:rPr>
      </w:pPr>
      <w:r>
        <w:rPr>
          <w:rFonts w:ascii="Arial" w:cs="Arial" w:eastAsia="Arial" w:hAnsi="Arial"/>
          <w:sz w:val="18"/>
          <w:szCs w:val="18"/>
          <w:b w:val="1"/>
          <w:bCs w:val="1"/>
          <w:color w:val="062A5D"/>
        </w:rPr>
        <w:t xml:space="preserve">All Other Fees. </w:t>
      </w:r>
      <w:r>
        <w:rPr>
          <w:rFonts w:ascii="Arial" w:cs="Arial" w:eastAsia="Arial" w:hAnsi="Arial"/>
          <w:sz w:val="18"/>
          <w:szCs w:val="18"/>
          <w:color w:val="58595B"/>
        </w:rPr>
        <w:t>All other fees for 2024 consisted principally of fees associated with the use of EY's accounting research</w:t>
      </w:r>
      <w:r>
        <w:rPr>
          <w:rFonts w:ascii="Arial" w:cs="Arial" w:eastAsia="Arial" w:hAnsi="Arial"/>
          <w:sz w:val="18"/>
          <w:szCs w:val="18"/>
          <w:b w:val="1"/>
          <w:bCs w:val="1"/>
          <w:color w:val="062A5D"/>
        </w:rPr>
        <w:t xml:space="preserve"> </w:t>
      </w:r>
      <w:r>
        <w:rPr>
          <w:rFonts w:ascii="Arial" w:cs="Arial" w:eastAsia="Arial" w:hAnsi="Arial"/>
          <w:sz w:val="18"/>
          <w:szCs w:val="18"/>
          <w:color w:val="58595B"/>
        </w:rPr>
        <w:t>product. No such fees were paid in 2025.</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APPROVAL OF ACCOUNTANTS’ SERVICES</w:t>
      </w:r>
    </w:p>
    <w:p>
      <w:pPr>
        <w:spacing w:after="0" w:line="230" w:lineRule="exact"/>
        <w:rPr>
          <w:sz w:val="20"/>
          <w:szCs w:val="20"/>
          <w:color w:val="auto"/>
        </w:rPr>
      </w:pPr>
    </w:p>
    <w:p>
      <w:pPr>
        <w:ind w:left="1180" w:right="300"/>
        <w:spacing w:after="0" w:line="234" w:lineRule="auto"/>
        <w:rPr>
          <w:sz w:val="20"/>
          <w:szCs w:val="20"/>
          <w:color w:val="auto"/>
        </w:rPr>
      </w:pPr>
      <w:r>
        <w:rPr>
          <w:rFonts w:ascii="Arial" w:cs="Arial" w:eastAsia="Arial" w:hAnsi="Arial"/>
          <w:sz w:val="18"/>
          <w:szCs w:val="18"/>
          <w:color w:val="58595B"/>
        </w:rPr>
        <w:t>In accordance with the requirements of the Sarbanes-Oxley Act of 2002, all audit and audit-related work and all non-audit work performed by EY is approved in advance by the audit committee, including the proposed fees for such work. Our pre-approval policy provides that, unless a type of service to be provided by EY has been generally pre-approved by the audit committee, it will require specific pre-approval by the audit committee. In addition, any proposed services exceeding pre-approved maximum fee amounts also require pre-approval by the audit committee. Our pre-approval policy provides that specific pre-approval authority is delegated to our audit committee chairman, provided that the estimated fee for the proposed service does not exceed a pre-approved maximum amount set by the committee. Our audit committee chairman must report any pre-approval decisions to the audit committee at its next scheduled meeting.</w:t>
      </w:r>
    </w:p>
    <w:p>
      <w:pPr>
        <w:spacing w:after="0" w:line="185" w:lineRule="exact"/>
        <w:rPr>
          <w:sz w:val="20"/>
          <w:szCs w:val="20"/>
          <w:color w:val="auto"/>
        </w:rPr>
      </w:pPr>
    </w:p>
    <w:p>
      <w:pPr>
        <w:ind w:left="1180" w:right="220"/>
        <w:spacing w:after="0" w:line="275" w:lineRule="auto"/>
        <w:rPr>
          <w:sz w:val="20"/>
          <w:szCs w:val="20"/>
          <w:color w:val="auto"/>
        </w:rPr>
      </w:pPr>
      <w:r>
        <w:rPr>
          <w:rFonts w:ascii="Arial" w:cs="Arial" w:eastAsia="Arial" w:hAnsi="Arial"/>
          <w:sz w:val="18"/>
          <w:szCs w:val="18"/>
          <w:b w:val="1"/>
          <w:bCs w:val="1"/>
          <w:color w:val="58595B"/>
        </w:rPr>
        <w:t>THE BOARD RECOMMENDS THAT THE SHAREHOLDERS VOTE "FOR" THE RATIFICATION OF ERNST &amp; YOUNG LLP AS THE COMPANY'S INDEPENDENT REGISTERED PUBLIC ACCOUNTING FIRM FOR THE 2026 FISCAL YEAR.</w:t>
      </w:r>
    </w:p>
    <w:p>
      <w:pPr>
        <w:spacing w:after="0" w:line="132" w:lineRule="exact"/>
        <w:rPr>
          <w:sz w:val="20"/>
          <w:szCs w:val="20"/>
          <w:color w:val="auto"/>
        </w:rPr>
      </w:pPr>
    </w:p>
    <w:p>
      <w:pPr>
        <w:ind w:left="1180" w:right="960"/>
        <w:spacing w:after="0" w:line="290" w:lineRule="auto"/>
        <w:rPr>
          <w:sz w:val="20"/>
          <w:szCs w:val="20"/>
          <w:color w:val="auto"/>
        </w:rPr>
      </w:pPr>
      <w:r>
        <w:rPr>
          <w:rFonts w:ascii="Arial" w:cs="Arial" w:eastAsia="Arial" w:hAnsi="Arial"/>
          <w:sz w:val="31"/>
          <w:szCs w:val="31"/>
          <w:b w:val="1"/>
          <w:bCs w:val="1"/>
          <w:color w:val="254F79"/>
        </w:rPr>
        <w:t>SECURITY OWNERSHIP OF CERTAIN BENEFICIAL OWNERS, DIRECTORS AND EXECUTIVE OFFICERS</w:t>
      </w:r>
    </w:p>
    <w:p>
      <w:pPr>
        <w:spacing w:after="0" w:line="89" w:lineRule="exact"/>
        <w:rPr>
          <w:sz w:val="20"/>
          <w:szCs w:val="20"/>
          <w:color w:val="auto"/>
        </w:rPr>
      </w:pPr>
    </w:p>
    <w:p>
      <w:pPr>
        <w:ind w:left="1180" w:right="180"/>
        <w:spacing w:after="0" w:line="249" w:lineRule="auto"/>
        <w:rPr>
          <w:sz w:val="20"/>
          <w:szCs w:val="20"/>
          <w:color w:val="auto"/>
        </w:rPr>
      </w:pPr>
      <w:r>
        <w:rPr>
          <w:rFonts w:ascii="Arial" w:cs="Arial" w:eastAsia="Arial" w:hAnsi="Arial"/>
          <w:sz w:val="16"/>
          <w:szCs w:val="16"/>
          <w:color w:val="58595B"/>
        </w:rPr>
        <w:t>The number of our common shares beneficially owned by each individual or group is based upon information in documents filed by such person with the Securities and Exchange Commission, other publicly available information or information available to us. Percentage ownership in the following tables is based on 269,157,540 shares of our common stock outstanding as of April 13, 2026. Unless otherwise indicated, each of the shareholders has sole voting and investment power with respect to the shares of our common stock beneficially owned by that shareholder. The number of shares beneficially owned by each shareholder is determined under rules issued by the Securities and Exchange Commission.</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SECURITY OWNERSHIP OF CERTAIN BENEFICIAL OWNERS</w:t>
      </w:r>
    </w:p>
    <w:p>
      <w:pPr>
        <w:spacing w:after="0" w:line="239" w:lineRule="exact"/>
        <w:rPr>
          <w:sz w:val="20"/>
          <w:szCs w:val="20"/>
          <w:color w:val="auto"/>
        </w:rPr>
      </w:pPr>
    </w:p>
    <w:p>
      <w:pPr>
        <w:ind w:left="1180" w:right="240"/>
        <w:spacing w:after="0" w:line="279" w:lineRule="auto"/>
        <w:rPr>
          <w:sz w:val="20"/>
          <w:szCs w:val="20"/>
          <w:color w:val="auto"/>
        </w:rPr>
      </w:pPr>
      <w:r>
        <w:rPr>
          <w:rFonts w:ascii="Arial" w:cs="Arial" w:eastAsia="Arial" w:hAnsi="Arial"/>
          <w:sz w:val="17"/>
          <w:szCs w:val="17"/>
          <w:color w:val="58595B"/>
        </w:rPr>
        <w:t>The following table sets forth information regarding beneficial ownership of our common stock by each shareholder who is known by the Company to beneficially own 5% or more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94615</wp:posOffset>
            </wp:positionV>
            <wp:extent cx="7620" cy="2114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21145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94615</wp:posOffset>
            </wp:positionV>
            <wp:extent cx="7620" cy="2114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0" cy="211455"/>
                    </a:xfrm>
                    <a:prstGeom prst="rect">
                      <a:avLst/>
                    </a:prstGeom>
                    <a:noFill/>
                  </pic:spPr>
                </pic:pic>
              </a:graphicData>
            </a:graphic>
          </wp:anchor>
        </w:drawing>
      </w:r>
    </w:p>
    <w:p>
      <w:pPr>
        <w:spacing w:after="0" w:line="129" w:lineRule="exact"/>
        <w:rPr>
          <w:sz w:val="20"/>
          <w:szCs w:val="20"/>
          <w:color w:val="auto"/>
        </w:rPr>
      </w:pPr>
    </w:p>
    <w:tbl>
      <w:tblPr>
        <w:tblLayout w:type="fixed"/>
        <w:tblInd w:w="1190" w:type="dxa"/>
        <w:tblCellMar>
          <w:top w:w="0" w:type="dxa"/>
          <w:left w:w="0" w:type="dxa"/>
          <w:bottom w:w="0" w:type="dxa"/>
          <w:right w:w="0" w:type="dxa"/>
        </w:tblCellMar>
      </w:tblPr>
      <w:tr>
        <w:trPr>
          <w:trHeight w:val="333"/>
        </w:trPr>
        <w:tc>
          <w:tcPr>
            <w:tcW w:w="4060" w:type="dxa"/>
            <w:vAlign w:val="bottom"/>
            <w:tcBorders>
              <w:left w:val="single" w:sz="8" w:color="58595B"/>
              <w:right w:val="single" w:sz="8" w:color="274F78"/>
            </w:tcBorders>
            <w:shd w:val="clear" w:color="auto" w:fill="274F78"/>
          </w:tcPr>
          <w:p>
            <w:pPr>
              <w:ind w:left="100"/>
              <w:spacing w:after="0"/>
              <w:rPr>
                <w:sz w:val="20"/>
                <w:szCs w:val="20"/>
                <w:color w:val="auto"/>
              </w:rPr>
            </w:pPr>
            <w:r>
              <w:rPr>
                <w:rFonts w:ascii="Arial" w:cs="Arial" w:eastAsia="Arial" w:hAnsi="Arial"/>
                <w:sz w:val="16"/>
                <w:szCs w:val="16"/>
                <w:b w:val="1"/>
                <w:bCs w:val="1"/>
                <w:color w:val="FFFFFF"/>
              </w:rPr>
              <w:t>Name</w:t>
            </w:r>
          </w:p>
        </w:tc>
        <w:tc>
          <w:tcPr>
            <w:tcW w:w="2520" w:type="dxa"/>
            <w:vAlign w:val="bottom"/>
            <w:tcBorders>
              <w:right w:val="single" w:sz="8" w:color="274F78"/>
            </w:tcBorders>
            <w:shd w:val="clear" w:color="auto" w:fill="274F78"/>
          </w:tcPr>
          <w:p>
            <w:pPr>
              <w:jc w:val="center"/>
              <w:ind w:left="6"/>
              <w:spacing w:after="0"/>
              <w:rPr>
                <w:sz w:val="20"/>
                <w:szCs w:val="20"/>
                <w:color w:val="auto"/>
              </w:rPr>
            </w:pPr>
            <w:r>
              <w:rPr>
                <w:rFonts w:ascii="Arial" w:cs="Arial" w:eastAsia="Arial" w:hAnsi="Arial"/>
                <w:sz w:val="15"/>
                <w:szCs w:val="15"/>
                <w:b w:val="1"/>
                <w:bCs w:val="1"/>
                <w:color w:val="FFFFFF"/>
                <w:w w:val="97"/>
              </w:rPr>
              <w:t>Shares Beneficially Owned</w:t>
            </w:r>
            <w:r>
              <w:rPr>
                <w:rFonts w:ascii="Arial" w:cs="Arial" w:eastAsia="Arial" w:hAnsi="Arial"/>
                <w:sz w:val="24"/>
                <w:szCs w:val="24"/>
                <w:b w:val="1"/>
                <w:bCs w:val="1"/>
                <w:color w:val="FFFFFF"/>
                <w:w w:val="97"/>
                <w:vertAlign w:val="superscript"/>
              </w:rPr>
              <w:t>1</w:t>
            </w:r>
          </w:p>
        </w:tc>
        <w:tc>
          <w:tcPr>
            <w:tcW w:w="1860" w:type="dxa"/>
            <w:vAlign w:val="bottom"/>
            <w:tcBorders>
              <w:right w:val="single" w:sz="8" w:color="58595B"/>
            </w:tcBorders>
            <w:shd w:val="clear" w:color="auto" w:fill="274F78"/>
          </w:tcPr>
          <w:p>
            <w:pPr>
              <w:ind w:left="360"/>
              <w:spacing w:after="0"/>
              <w:rPr>
                <w:sz w:val="20"/>
                <w:szCs w:val="20"/>
                <w:color w:val="auto"/>
              </w:rPr>
            </w:pPr>
            <w:r>
              <w:rPr>
                <w:rFonts w:ascii="Arial" w:cs="Arial" w:eastAsia="Arial" w:hAnsi="Arial"/>
                <w:sz w:val="15"/>
                <w:szCs w:val="15"/>
                <w:b w:val="1"/>
                <w:bCs w:val="1"/>
                <w:color w:val="FFFFFF"/>
              </w:rPr>
              <w:t>Percent of Series</w:t>
            </w:r>
          </w:p>
        </w:tc>
      </w:tr>
      <w:tr>
        <w:trPr>
          <w:trHeight w:val="210"/>
        </w:trPr>
        <w:tc>
          <w:tcPr>
            <w:tcW w:w="4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color w:val="58595B"/>
              </w:rPr>
              <w:t>BlackRock, Inc.</w:t>
            </w:r>
          </w:p>
        </w:tc>
        <w:tc>
          <w:tcPr>
            <w:tcW w:w="2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29,146,020</w:t>
            </w:r>
          </w:p>
        </w:tc>
        <w:tc>
          <w:tcPr>
            <w:tcW w:w="1860" w:type="dxa"/>
            <w:vAlign w:val="bottom"/>
            <w:tcBorders>
              <w:right w:val="single" w:sz="8" w:color="58595B"/>
            </w:tcBorders>
          </w:tcPr>
          <w:p>
            <w:pPr>
              <w:jc w:val="right"/>
              <w:ind w:right="606"/>
              <w:spacing w:after="0"/>
              <w:rPr>
                <w:sz w:val="20"/>
                <w:szCs w:val="20"/>
                <w:color w:val="auto"/>
              </w:rPr>
            </w:pPr>
            <w:r>
              <w:rPr>
                <w:rFonts w:ascii="Arial" w:cs="Arial" w:eastAsia="Arial" w:hAnsi="Arial"/>
                <w:sz w:val="15"/>
                <w:szCs w:val="15"/>
                <w:color w:val="58595B"/>
              </w:rPr>
              <w:t>10.8%</w:t>
            </w:r>
          </w:p>
        </w:tc>
      </w:tr>
      <w:tr>
        <w:trPr>
          <w:trHeight w:val="194"/>
        </w:trPr>
        <w:tc>
          <w:tcPr>
            <w:tcW w:w="4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color w:val="58595B"/>
              </w:rPr>
              <w:t>50 Hudson Yards, New York, NY 10001</w:t>
            </w:r>
          </w:p>
        </w:tc>
        <w:tc>
          <w:tcPr>
            <w:tcW w:w="2520" w:type="dxa"/>
            <w:vAlign w:val="bottom"/>
            <w:tcBorders>
              <w:right w:val="single" w:sz="8" w:color="58595B"/>
            </w:tcBorders>
          </w:tcPr>
          <w:p>
            <w:pPr>
              <w:spacing w:after="0"/>
              <w:rPr>
                <w:sz w:val="16"/>
                <w:szCs w:val="16"/>
                <w:color w:val="auto"/>
              </w:rPr>
            </w:pPr>
          </w:p>
        </w:tc>
        <w:tc>
          <w:tcPr>
            <w:tcW w:w="1860" w:type="dxa"/>
            <w:vAlign w:val="bottom"/>
            <w:tcBorders>
              <w:right w:val="single" w:sz="8" w:color="58595B"/>
            </w:tcBorders>
          </w:tcPr>
          <w:p>
            <w:pPr>
              <w:spacing w:after="0"/>
              <w:rPr>
                <w:sz w:val="16"/>
                <w:szCs w:val="16"/>
                <w:color w:val="auto"/>
              </w:rPr>
            </w:pPr>
          </w:p>
        </w:tc>
      </w:tr>
      <w:tr>
        <w:trPr>
          <w:trHeight w:val="40"/>
        </w:trPr>
        <w:tc>
          <w:tcPr>
            <w:tcW w:w="4060" w:type="dxa"/>
            <w:vAlign w:val="bottom"/>
            <w:tcBorders>
              <w:left w:val="single" w:sz="8" w:color="58595B"/>
              <w:bottom w:val="single" w:sz="8" w:color="58595B"/>
              <w:right w:val="single" w:sz="8" w:color="58595B"/>
            </w:tcBorders>
          </w:tcPr>
          <w:p>
            <w:pPr>
              <w:spacing w:after="0"/>
              <w:rPr>
                <w:sz w:val="3"/>
                <w:szCs w:val="3"/>
                <w:color w:val="auto"/>
              </w:rPr>
            </w:pPr>
          </w:p>
        </w:tc>
        <w:tc>
          <w:tcPr>
            <w:tcW w:w="2520" w:type="dxa"/>
            <w:vAlign w:val="bottom"/>
            <w:tcBorders>
              <w:bottom w:val="single" w:sz="8" w:color="58595B"/>
              <w:right w:val="single" w:sz="8" w:color="58595B"/>
            </w:tcBorders>
          </w:tcPr>
          <w:p>
            <w:pPr>
              <w:spacing w:after="0"/>
              <w:rPr>
                <w:sz w:val="3"/>
                <w:szCs w:val="3"/>
                <w:color w:val="auto"/>
              </w:rPr>
            </w:pPr>
          </w:p>
        </w:tc>
        <w:tc>
          <w:tcPr>
            <w:tcW w:w="1860" w:type="dxa"/>
            <w:vAlign w:val="bottom"/>
            <w:tcBorders>
              <w:bottom w:val="single" w:sz="8" w:color="58595B"/>
              <w:right w:val="single" w:sz="8" w:color="58595B"/>
            </w:tcBorders>
          </w:tcPr>
          <w:p>
            <w:pPr>
              <w:spacing w:after="0"/>
              <w:rPr>
                <w:sz w:val="3"/>
                <w:szCs w:val="3"/>
                <w:color w:val="auto"/>
              </w:rPr>
            </w:pPr>
          </w:p>
        </w:tc>
      </w:tr>
      <w:tr>
        <w:trPr>
          <w:trHeight w:val="202"/>
        </w:trPr>
        <w:tc>
          <w:tcPr>
            <w:tcW w:w="4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color w:val="58595B"/>
              </w:rPr>
              <w:t>The Windacre Partnership, LLC</w:t>
            </w:r>
          </w:p>
        </w:tc>
        <w:tc>
          <w:tcPr>
            <w:tcW w:w="25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18,905,100</w:t>
            </w:r>
          </w:p>
        </w:tc>
        <w:tc>
          <w:tcPr>
            <w:tcW w:w="1860" w:type="dxa"/>
            <w:vAlign w:val="bottom"/>
            <w:tcBorders>
              <w:right w:val="single" w:sz="8" w:color="58595B"/>
            </w:tcBorders>
          </w:tcPr>
          <w:p>
            <w:pPr>
              <w:jc w:val="right"/>
              <w:ind w:right="666"/>
              <w:spacing w:after="0"/>
              <w:rPr>
                <w:sz w:val="20"/>
                <w:szCs w:val="20"/>
                <w:color w:val="auto"/>
              </w:rPr>
            </w:pPr>
            <w:r>
              <w:rPr>
                <w:rFonts w:ascii="Arial" w:cs="Arial" w:eastAsia="Arial" w:hAnsi="Arial"/>
                <w:sz w:val="15"/>
                <w:szCs w:val="15"/>
                <w:color w:val="58595B"/>
              </w:rPr>
              <w:t>7.0%</w:t>
            </w:r>
          </w:p>
        </w:tc>
      </w:tr>
      <w:tr>
        <w:trPr>
          <w:trHeight w:val="194"/>
        </w:trPr>
        <w:tc>
          <w:tcPr>
            <w:tcW w:w="4060" w:type="dxa"/>
            <w:vAlign w:val="bottom"/>
            <w:tcBorders>
              <w:left w:val="single" w:sz="8" w:color="58595B"/>
              <w:right w:val="single" w:sz="8" w:color="58595B"/>
            </w:tcBorders>
          </w:tcPr>
          <w:p>
            <w:pPr>
              <w:ind w:left="100"/>
              <w:spacing w:after="0"/>
              <w:rPr>
                <w:sz w:val="20"/>
                <w:szCs w:val="20"/>
                <w:color w:val="auto"/>
              </w:rPr>
            </w:pPr>
            <w:r>
              <w:rPr>
                <w:rFonts w:ascii="Arial" w:cs="Arial" w:eastAsia="Arial" w:hAnsi="Arial"/>
                <w:sz w:val="15"/>
                <w:szCs w:val="15"/>
                <w:color w:val="58595B"/>
              </w:rPr>
              <w:t>2200 Post Oak Blvd., Suite 1580, Houston, TX 77056</w:t>
            </w:r>
          </w:p>
        </w:tc>
        <w:tc>
          <w:tcPr>
            <w:tcW w:w="2520" w:type="dxa"/>
            <w:vAlign w:val="bottom"/>
            <w:tcBorders>
              <w:right w:val="single" w:sz="8" w:color="58595B"/>
            </w:tcBorders>
          </w:tcPr>
          <w:p>
            <w:pPr>
              <w:spacing w:after="0"/>
              <w:rPr>
                <w:sz w:val="16"/>
                <w:szCs w:val="16"/>
                <w:color w:val="auto"/>
              </w:rPr>
            </w:pPr>
          </w:p>
        </w:tc>
        <w:tc>
          <w:tcPr>
            <w:tcW w:w="1860" w:type="dxa"/>
            <w:vAlign w:val="bottom"/>
            <w:tcBorders>
              <w:right w:val="single" w:sz="8" w:color="58595B"/>
            </w:tcBorders>
          </w:tcPr>
          <w:p>
            <w:pPr>
              <w:spacing w:after="0"/>
              <w:rPr>
                <w:sz w:val="16"/>
                <w:szCs w:val="16"/>
                <w:color w:val="auto"/>
              </w:rPr>
            </w:pPr>
          </w:p>
        </w:tc>
      </w:tr>
      <w:tr>
        <w:trPr>
          <w:trHeight w:val="40"/>
        </w:trPr>
        <w:tc>
          <w:tcPr>
            <w:tcW w:w="4060" w:type="dxa"/>
            <w:vAlign w:val="bottom"/>
            <w:tcBorders>
              <w:left w:val="single" w:sz="8" w:color="58595B"/>
              <w:bottom w:val="single" w:sz="8" w:color="58595B"/>
              <w:right w:val="single" w:sz="8" w:color="58595B"/>
            </w:tcBorders>
          </w:tcPr>
          <w:p>
            <w:pPr>
              <w:spacing w:after="0"/>
              <w:rPr>
                <w:sz w:val="3"/>
                <w:szCs w:val="3"/>
                <w:color w:val="auto"/>
              </w:rPr>
            </w:pPr>
          </w:p>
        </w:tc>
        <w:tc>
          <w:tcPr>
            <w:tcW w:w="2520" w:type="dxa"/>
            <w:vAlign w:val="bottom"/>
            <w:tcBorders>
              <w:bottom w:val="single" w:sz="8" w:color="58595B"/>
              <w:right w:val="single" w:sz="8" w:color="58595B"/>
            </w:tcBorders>
          </w:tcPr>
          <w:p>
            <w:pPr>
              <w:spacing w:after="0"/>
              <w:rPr>
                <w:sz w:val="3"/>
                <w:szCs w:val="3"/>
                <w:color w:val="auto"/>
              </w:rPr>
            </w:pPr>
          </w:p>
        </w:tc>
        <w:tc>
          <w:tcPr>
            <w:tcW w:w="1860" w:type="dxa"/>
            <w:vAlign w:val="bottom"/>
            <w:tcBorders>
              <w:bottom w:val="single" w:sz="8" w:color="58595B"/>
              <w:right w:val="single" w:sz="8" w:color="58595B"/>
            </w:tcBorders>
          </w:tcPr>
          <w:p>
            <w:pPr>
              <w:spacing w:after="0"/>
              <w:rPr>
                <w:sz w:val="3"/>
                <w:szCs w:val="3"/>
                <w:color w:val="auto"/>
              </w:rPr>
            </w:pPr>
          </w:p>
        </w:tc>
      </w:tr>
    </w:tbl>
    <w:p>
      <w:pPr>
        <w:spacing w:after="0" w:line="239" w:lineRule="exact"/>
        <w:rPr>
          <w:sz w:val="20"/>
          <w:szCs w:val="20"/>
          <w:color w:val="auto"/>
        </w:rPr>
      </w:pPr>
    </w:p>
    <w:p>
      <w:pPr>
        <w:ind w:left="1560" w:hanging="378"/>
        <w:spacing w:after="0"/>
        <w:tabs>
          <w:tab w:leader="none" w:pos="1560" w:val="left"/>
        </w:tabs>
        <w:numPr>
          <w:ilvl w:val="0"/>
          <w:numId w:val="73"/>
        </w:numPr>
        <w:rPr>
          <w:rFonts w:ascii="Arial" w:cs="Arial" w:eastAsia="Arial" w:hAnsi="Arial"/>
          <w:sz w:val="13"/>
          <w:szCs w:val="13"/>
          <w:color w:val="58595B"/>
        </w:rPr>
      </w:pPr>
      <w:r>
        <w:rPr>
          <w:rFonts w:ascii="Arial" w:cs="Arial" w:eastAsia="Arial" w:hAnsi="Arial"/>
          <w:sz w:val="13"/>
          <w:szCs w:val="13"/>
          <w:color w:val="58595B"/>
        </w:rPr>
        <w:t>Based on most recent Schedule 13G filings with the SEC.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80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3" w:right="339" w:bottom="1440" w:gutter="0" w:footer="0" w:header="0"/>
        </w:sectPr>
      </w:pPr>
    </w:p>
    <w:bookmarkStart w:id="84" w:name="page85"/>
    <w:bookmarkEnd w:id="84"/>
    <w:p>
      <w:pPr>
        <w:ind w:left="620"/>
        <w:spacing w:after="0"/>
        <w:rPr>
          <w:sz w:val="20"/>
          <w:szCs w:val="20"/>
          <w:color w:val="auto"/>
        </w:rPr>
      </w:pPr>
      <w:r>
        <w:rPr>
          <w:rFonts w:ascii="Arial" w:cs="Arial" w:eastAsia="Arial" w:hAnsi="Arial"/>
          <w:sz w:val="23"/>
          <w:szCs w:val="23"/>
          <w:b w:val="1"/>
          <w:bCs w:val="1"/>
          <w:color w:val="586D94"/>
        </w:rPr>
        <w:t>SECURITY OWNERSHIP OF MANAGEMENT AND DIRECTORS</w:t>
      </w: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58595B"/>
        </w:rPr>
        <w:t>The following table sets forth information regarding beneficial ownership as of April 13, 2026 of our common stock by:</w:t>
      </w:r>
    </w:p>
    <w:p>
      <w:pPr>
        <w:spacing w:after="0" w:line="212" w:lineRule="exact"/>
        <w:rPr>
          <w:sz w:val="20"/>
          <w:szCs w:val="20"/>
          <w:color w:val="auto"/>
        </w:rPr>
      </w:pPr>
    </w:p>
    <w:p>
      <w:pPr>
        <w:ind w:left="860" w:hanging="238"/>
        <w:spacing w:after="0"/>
        <w:tabs>
          <w:tab w:leader="none" w:pos="860" w:val="left"/>
        </w:tabs>
        <w:numPr>
          <w:ilvl w:val="0"/>
          <w:numId w:val="74"/>
        </w:numPr>
        <w:rPr>
          <w:rFonts w:ascii="Arial" w:cs="Arial" w:eastAsia="Arial" w:hAnsi="Arial"/>
          <w:sz w:val="18"/>
          <w:szCs w:val="18"/>
          <w:color w:val="58595B"/>
        </w:rPr>
      </w:pPr>
      <w:r>
        <w:rPr>
          <w:rFonts w:ascii="Arial" w:cs="Arial" w:eastAsia="Arial" w:hAnsi="Arial"/>
          <w:sz w:val="18"/>
          <w:szCs w:val="18"/>
          <w:color w:val="58595B"/>
        </w:rPr>
        <w:t>Each of our directors and nominees for director;</w:t>
      </w:r>
    </w:p>
    <w:p>
      <w:pPr>
        <w:spacing w:after="0" w:line="187" w:lineRule="exact"/>
        <w:rPr>
          <w:rFonts w:ascii="Arial" w:cs="Arial" w:eastAsia="Arial" w:hAnsi="Arial"/>
          <w:sz w:val="18"/>
          <w:szCs w:val="18"/>
          <w:color w:val="58595B"/>
        </w:rPr>
      </w:pPr>
    </w:p>
    <w:p>
      <w:pPr>
        <w:ind w:left="860" w:right="840" w:hanging="238"/>
        <w:spacing w:after="0" w:line="266" w:lineRule="auto"/>
        <w:tabs>
          <w:tab w:leader="none" w:pos="860" w:val="left"/>
        </w:tabs>
        <w:numPr>
          <w:ilvl w:val="0"/>
          <w:numId w:val="74"/>
        </w:numPr>
        <w:rPr>
          <w:rFonts w:ascii="Arial" w:cs="Arial" w:eastAsia="Arial" w:hAnsi="Arial"/>
          <w:sz w:val="18"/>
          <w:szCs w:val="18"/>
          <w:color w:val="58595B"/>
        </w:rPr>
      </w:pPr>
      <w:r>
        <w:rPr>
          <w:rFonts w:ascii="Arial" w:cs="Arial" w:eastAsia="Arial" w:hAnsi="Arial"/>
          <w:sz w:val="18"/>
          <w:szCs w:val="18"/>
          <w:color w:val="58595B"/>
        </w:rPr>
        <w:t>Each of the named executive officers as defined in Item 402(a)(3) of Regulation S-K promulgated by the Securities and Exchange Commission; and</w:t>
      </w:r>
    </w:p>
    <w:p>
      <w:pPr>
        <w:spacing w:after="0" w:line="132" w:lineRule="exact"/>
        <w:rPr>
          <w:rFonts w:ascii="Arial" w:cs="Arial" w:eastAsia="Arial" w:hAnsi="Arial"/>
          <w:sz w:val="18"/>
          <w:szCs w:val="18"/>
          <w:color w:val="58595B"/>
        </w:rPr>
      </w:pPr>
    </w:p>
    <w:p>
      <w:pPr>
        <w:ind w:left="860" w:hanging="238"/>
        <w:spacing w:after="0"/>
        <w:tabs>
          <w:tab w:leader="none" w:pos="860" w:val="left"/>
        </w:tabs>
        <w:numPr>
          <w:ilvl w:val="0"/>
          <w:numId w:val="74"/>
        </w:numPr>
        <w:rPr>
          <w:rFonts w:ascii="Arial" w:cs="Arial" w:eastAsia="Arial" w:hAnsi="Arial"/>
          <w:sz w:val="18"/>
          <w:szCs w:val="18"/>
          <w:color w:val="58595B"/>
        </w:rPr>
      </w:pPr>
      <w:r>
        <w:rPr>
          <w:rFonts w:ascii="Arial" w:cs="Arial" w:eastAsia="Arial" w:hAnsi="Arial"/>
          <w:sz w:val="18"/>
          <w:szCs w:val="18"/>
          <w:color w:val="58595B"/>
        </w:rPr>
        <w:t>All of our executive officers and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147955</wp:posOffset>
            </wp:positionV>
            <wp:extent cx="7620" cy="3676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20" cy="36766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147955</wp:posOffset>
            </wp:positionV>
            <wp:extent cx="7620" cy="3676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367665"/>
                    </a:xfrm>
                    <a:prstGeom prst="rect">
                      <a:avLst/>
                    </a:prstGeom>
                    <a:noFill/>
                  </pic:spPr>
                </pic:pic>
              </a:graphicData>
            </a:graphic>
          </wp:anchor>
        </w:drawing>
      </w:r>
    </w:p>
    <w:p>
      <w:pPr>
        <w:spacing w:after="0" w:line="213" w:lineRule="exact"/>
        <w:rPr>
          <w:sz w:val="20"/>
          <w:szCs w:val="20"/>
          <w:color w:val="auto"/>
        </w:rPr>
      </w:pPr>
    </w:p>
    <w:tbl>
      <w:tblPr>
        <w:tblLayout w:type="fixed"/>
        <w:tblInd w:w="1710" w:type="dxa"/>
        <w:tblCellMar>
          <w:top w:w="0" w:type="dxa"/>
          <w:left w:w="0" w:type="dxa"/>
          <w:bottom w:w="0" w:type="dxa"/>
          <w:right w:w="0" w:type="dxa"/>
        </w:tblCellMar>
      </w:tblPr>
      <w:tr>
        <w:trPr>
          <w:trHeight w:val="246"/>
        </w:trPr>
        <w:tc>
          <w:tcPr>
            <w:tcW w:w="4000" w:type="dxa"/>
            <w:vAlign w:val="bottom"/>
            <w:tcBorders>
              <w:left w:val="single" w:sz="8" w:color="58595B"/>
              <w:right w:val="single" w:sz="8" w:color="254F79"/>
            </w:tcBorders>
            <w:vMerge w:val="restart"/>
            <w:shd w:val="clear" w:color="auto" w:fill="254F79"/>
          </w:tcPr>
          <w:p>
            <w:pPr>
              <w:ind w:left="14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31"/>
                <w:szCs w:val="31"/>
                <w:b w:val="1"/>
                <w:bCs w:val="1"/>
                <w:color w:val="FFFFFF"/>
                <w:vertAlign w:val="superscript"/>
              </w:rPr>
              <w:t>1</w:t>
            </w:r>
          </w:p>
        </w:tc>
        <w:tc>
          <w:tcPr>
            <w:tcW w:w="1400" w:type="dxa"/>
            <w:vAlign w:val="bottom"/>
            <w:tcBorders>
              <w:right w:val="single" w:sz="8" w:color="254F79"/>
            </w:tcBorders>
            <w:shd w:val="clear" w:color="auto" w:fill="254F79"/>
          </w:tcPr>
          <w:p>
            <w:pPr>
              <w:jc w:val="right"/>
              <w:ind w:right="466"/>
              <w:spacing w:after="0"/>
              <w:rPr>
                <w:sz w:val="20"/>
                <w:szCs w:val="20"/>
                <w:color w:val="auto"/>
              </w:rPr>
            </w:pPr>
            <w:r>
              <w:rPr>
                <w:rFonts w:ascii="Arial" w:cs="Arial" w:eastAsia="Arial" w:hAnsi="Arial"/>
                <w:sz w:val="15"/>
                <w:szCs w:val="15"/>
                <w:b w:val="1"/>
                <w:bCs w:val="1"/>
                <w:color w:val="FFFFFF"/>
              </w:rPr>
              <w:t>Number</w:t>
            </w:r>
          </w:p>
        </w:tc>
        <w:tc>
          <w:tcPr>
            <w:tcW w:w="1340" w:type="dxa"/>
            <w:vAlign w:val="bottom"/>
            <w:tcBorders>
              <w:right w:val="single" w:sz="8" w:color="58595B"/>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8"/>
              </w:rPr>
              <w:t>Percent of</w:t>
            </w:r>
          </w:p>
        </w:tc>
        <w:tc>
          <w:tcPr>
            <w:tcW w:w="0" w:type="dxa"/>
            <w:vAlign w:val="bottom"/>
          </w:tcPr>
          <w:p>
            <w:pPr>
              <w:spacing w:after="0"/>
              <w:rPr>
                <w:sz w:val="1"/>
                <w:szCs w:val="1"/>
                <w:color w:val="auto"/>
              </w:rPr>
            </w:pPr>
          </w:p>
        </w:tc>
      </w:tr>
      <w:tr>
        <w:trPr>
          <w:trHeight w:val="333"/>
        </w:trPr>
        <w:tc>
          <w:tcPr>
            <w:tcW w:w="4000" w:type="dxa"/>
            <w:vAlign w:val="bottom"/>
            <w:tcBorders>
              <w:left w:val="single" w:sz="8" w:color="58595B"/>
              <w:right w:val="single" w:sz="8" w:color="254F79"/>
            </w:tcBorders>
            <w:vMerge w:val="continue"/>
            <w:shd w:val="clear" w:color="auto" w:fill="254F79"/>
          </w:tcPr>
          <w:p>
            <w:pPr>
              <w:spacing w:after="0"/>
              <w:rPr>
                <w:sz w:val="24"/>
                <w:szCs w:val="24"/>
                <w:color w:val="auto"/>
              </w:rPr>
            </w:pPr>
          </w:p>
        </w:tc>
        <w:tc>
          <w:tcPr>
            <w:tcW w:w="1400" w:type="dxa"/>
            <w:vAlign w:val="bottom"/>
            <w:tcBorders>
              <w:right w:val="single" w:sz="8" w:color="254F79"/>
            </w:tcBorders>
            <w:shd w:val="clear" w:color="auto" w:fill="254F79"/>
          </w:tcPr>
          <w:p>
            <w:pPr>
              <w:jc w:val="right"/>
              <w:ind w:right="406"/>
              <w:spacing w:after="0"/>
              <w:rPr>
                <w:sz w:val="20"/>
                <w:szCs w:val="20"/>
                <w:color w:val="auto"/>
              </w:rPr>
            </w:pPr>
            <w:r>
              <w:rPr>
                <w:rFonts w:ascii="Arial" w:cs="Arial" w:eastAsia="Arial" w:hAnsi="Arial"/>
                <w:sz w:val="15"/>
                <w:szCs w:val="15"/>
                <w:b w:val="1"/>
                <w:bCs w:val="1"/>
                <w:color w:val="FFFFFF"/>
              </w:rPr>
              <w:t>of Shares</w:t>
            </w:r>
          </w:p>
        </w:tc>
        <w:tc>
          <w:tcPr>
            <w:tcW w:w="1340" w:type="dxa"/>
            <w:vAlign w:val="bottom"/>
            <w:tcBorders>
              <w:right w:val="single" w:sz="8" w:color="58595B"/>
            </w:tcBorders>
            <w:shd w:val="clear" w:color="auto" w:fill="254F79"/>
          </w:tcPr>
          <w:p>
            <w:pPr>
              <w:jc w:val="center"/>
              <w:spacing w:after="0"/>
              <w:rPr>
                <w:sz w:val="20"/>
                <w:szCs w:val="20"/>
                <w:color w:val="auto"/>
              </w:rPr>
            </w:pPr>
            <w:r>
              <w:rPr>
                <w:rFonts w:ascii="Arial" w:cs="Arial" w:eastAsia="Arial" w:hAnsi="Arial"/>
                <w:sz w:val="15"/>
                <w:szCs w:val="15"/>
                <w:b w:val="1"/>
                <w:bCs w:val="1"/>
                <w:color w:val="FFFFFF"/>
                <w:w w:val="94"/>
              </w:rPr>
              <w:t>Total</w:t>
            </w:r>
          </w:p>
        </w:tc>
        <w:tc>
          <w:tcPr>
            <w:tcW w:w="0" w:type="dxa"/>
            <w:vAlign w:val="bottom"/>
          </w:tcPr>
          <w:p>
            <w:pPr>
              <w:spacing w:after="0"/>
              <w:rPr>
                <w:sz w:val="1"/>
                <w:szCs w:val="1"/>
                <w:color w:val="auto"/>
              </w:rPr>
            </w:pPr>
          </w:p>
        </w:tc>
      </w:tr>
      <w:tr>
        <w:trPr>
          <w:trHeight w:val="261"/>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Douglas K. Ammerman</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149,341</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Halim Dhanidina</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13,186</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53"/>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William P. Foley, II</w:t>
            </w:r>
            <w:r>
              <w:rPr>
                <w:rFonts w:ascii="Arial" w:cs="Arial" w:eastAsia="Arial" w:hAnsi="Arial"/>
                <w:sz w:val="27"/>
                <w:szCs w:val="27"/>
                <w:color w:val="58595B"/>
                <w:vertAlign w:val="superscript"/>
              </w:rPr>
              <w:t>2</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10,023,025</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w w:val="99"/>
              </w:rPr>
              <w:t>3.7%</w:t>
            </w:r>
          </w:p>
        </w:tc>
        <w:tc>
          <w:tcPr>
            <w:tcW w:w="0" w:type="dxa"/>
            <w:vAlign w:val="bottom"/>
          </w:tcPr>
          <w:p>
            <w:pPr>
              <w:spacing w:after="0"/>
              <w:rPr>
                <w:sz w:val="1"/>
                <w:szCs w:val="1"/>
                <w:color w:val="auto"/>
              </w:rPr>
            </w:pPr>
          </w:p>
        </w:tc>
      </w:tr>
      <w:tr>
        <w:trPr>
          <w:trHeight w:val="235"/>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Michael L. Gravelle</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306,110</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53"/>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Thomas M. Hagerty</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349,512</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Daniel D. (Ron) Lane</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276,308</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Heather H. Miller</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43,117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Sandra D. Morgan</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37,256</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Michael J. Nolan</w:t>
            </w:r>
            <w:r>
              <w:rPr>
                <w:rFonts w:ascii="Arial" w:cs="Arial" w:eastAsia="Arial" w:hAnsi="Arial"/>
                <w:sz w:val="27"/>
                <w:szCs w:val="27"/>
                <w:color w:val="58595B"/>
                <w:vertAlign w:val="superscript"/>
              </w:rPr>
              <w:t>3</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577,129</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Anthony J. Park</w:t>
            </w:r>
            <w:r>
              <w:rPr>
                <w:rFonts w:ascii="Arial" w:cs="Arial" w:eastAsia="Arial" w:hAnsi="Arial"/>
                <w:sz w:val="27"/>
                <w:szCs w:val="27"/>
                <w:color w:val="58595B"/>
                <w:vertAlign w:val="superscript"/>
              </w:rPr>
              <w:t>4</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409,720</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Raymond R. Quirk</w:t>
            </w:r>
            <w:r>
              <w:rPr>
                <w:rFonts w:ascii="Arial" w:cs="Arial" w:eastAsia="Arial" w:hAnsi="Arial"/>
                <w:sz w:val="27"/>
                <w:szCs w:val="27"/>
                <w:color w:val="58595B"/>
                <w:vertAlign w:val="superscript"/>
              </w:rPr>
              <w:t>5</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2,340,811</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254"/>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John D. Rood</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235,439</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47"/>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Peter T. Sadowski</w:t>
            </w:r>
            <w:r>
              <w:rPr>
                <w:rFonts w:ascii="Arial" w:cs="Arial" w:eastAsia="Arial" w:hAnsi="Arial"/>
                <w:sz w:val="27"/>
                <w:szCs w:val="27"/>
                <w:color w:val="58595B"/>
                <w:vertAlign w:val="superscript"/>
              </w:rPr>
              <w:t>6</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269,704</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337"/>
        </w:trPr>
        <w:tc>
          <w:tcPr>
            <w:tcW w:w="4000" w:type="dxa"/>
            <w:vAlign w:val="bottom"/>
            <w:tcBorders>
              <w:left w:val="single" w:sz="8" w:color="58595B"/>
              <w:bottom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Peter O. Shea, Jr.</w:t>
            </w:r>
            <w:r>
              <w:rPr>
                <w:rFonts w:ascii="Arial" w:cs="Arial" w:eastAsia="Arial" w:hAnsi="Arial"/>
                <w:sz w:val="27"/>
                <w:szCs w:val="27"/>
                <w:color w:val="58595B"/>
                <w:vertAlign w:val="superscript"/>
              </w:rPr>
              <w:t>7</w:t>
            </w:r>
          </w:p>
        </w:tc>
        <w:tc>
          <w:tcPr>
            <w:tcW w:w="1400" w:type="dxa"/>
            <w:vAlign w:val="bottom"/>
            <w:tcBorders>
              <w:bottom w:val="single" w:sz="8" w:color="58595B"/>
              <w:right w:val="single" w:sz="8" w:color="58595B"/>
            </w:tcBorders>
          </w:tcPr>
          <w:p>
            <w:pPr>
              <w:jc w:val="right"/>
              <w:ind w:right="166"/>
              <w:spacing w:after="0"/>
              <w:rPr>
                <w:sz w:val="20"/>
                <w:szCs w:val="20"/>
                <w:color w:val="auto"/>
              </w:rPr>
            </w:pPr>
            <w:r>
              <w:rPr>
                <w:rFonts w:ascii="Arial" w:cs="Arial" w:eastAsia="Arial" w:hAnsi="Arial"/>
                <w:sz w:val="15"/>
                <w:szCs w:val="15"/>
                <w:color w:val="58595B"/>
              </w:rPr>
              <w:t>269,908</w:t>
            </w:r>
          </w:p>
        </w:tc>
        <w:tc>
          <w:tcPr>
            <w:tcW w:w="1340" w:type="dxa"/>
            <w:vAlign w:val="bottom"/>
            <w:tcBorders>
              <w:bottom w:val="single" w:sz="8" w:color="58595B"/>
              <w:right w:val="single" w:sz="8" w:color="58595B"/>
            </w:tcBorders>
          </w:tcPr>
          <w:p>
            <w:pPr>
              <w:jc w:val="center"/>
              <w:spacing w:after="0"/>
              <w:rPr>
                <w:sz w:val="20"/>
                <w:szCs w:val="20"/>
                <w:color w:val="auto"/>
              </w:rPr>
            </w:pPr>
            <w:r>
              <w:rPr>
                <w:rFonts w:ascii="Arial" w:cs="Arial" w:eastAsia="Arial" w:hAnsi="Arial"/>
                <w:sz w:val="16"/>
                <w:szCs w:val="16"/>
                <w:color w:val="58595B"/>
                <w:w w:val="95"/>
              </w:rPr>
              <w:t>*</w:t>
            </w:r>
          </w:p>
        </w:tc>
        <w:tc>
          <w:tcPr>
            <w:tcW w:w="0" w:type="dxa"/>
            <w:vAlign w:val="bottom"/>
          </w:tcPr>
          <w:p>
            <w:pPr>
              <w:spacing w:after="0"/>
              <w:rPr>
                <w:sz w:val="1"/>
                <w:szCs w:val="1"/>
                <w:color w:val="auto"/>
              </w:rPr>
            </w:pPr>
          </w:p>
        </w:tc>
      </w:tr>
      <w:tr>
        <w:trPr>
          <w:trHeight w:val="235"/>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Cary H. Thompson</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51,497</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rPr>
              <w:t>*</w:t>
            </w:r>
          </w:p>
        </w:tc>
        <w:tc>
          <w:tcPr>
            <w:tcW w:w="0" w:type="dxa"/>
            <w:vAlign w:val="bottom"/>
          </w:tcPr>
          <w:p>
            <w:pPr>
              <w:spacing w:after="0"/>
              <w:rPr>
                <w:sz w:val="1"/>
                <w:szCs w:val="1"/>
                <w:color w:val="auto"/>
              </w:rPr>
            </w:pPr>
          </w:p>
        </w:tc>
      </w:tr>
      <w:tr>
        <w:trPr>
          <w:trHeight w:val="53"/>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000" w:type="dxa"/>
            <w:vAlign w:val="bottom"/>
            <w:tcBorders>
              <w:left w:val="single" w:sz="8" w:color="58595B"/>
              <w:right w:val="single" w:sz="8" w:color="58595B"/>
            </w:tcBorders>
          </w:tcPr>
          <w:p>
            <w:pPr>
              <w:ind w:left="140"/>
              <w:spacing w:after="0"/>
              <w:rPr>
                <w:sz w:val="20"/>
                <w:szCs w:val="20"/>
                <w:color w:val="auto"/>
              </w:rPr>
            </w:pPr>
            <w:r>
              <w:rPr>
                <w:rFonts w:ascii="Arial" w:cs="Arial" w:eastAsia="Arial" w:hAnsi="Arial"/>
                <w:sz w:val="15"/>
                <w:szCs w:val="15"/>
                <w:color w:val="58595B"/>
              </w:rPr>
              <w:t>All directors and officers (15 persons)</w:t>
            </w:r>
          </w:p>
        </w:tc>
        <w:tc>
          <w:tcPr>
            <w:tcW w:w="1400" w:type="dxa"/>
            <w:vAlign w:val="bottom"/>
            <w:tcBorders>
              <w:right w:val="single" w:sz="8" w:color="58595B"/>
            </w:tcBorders>
          </w:tcPr>
          <w:p>
            <w:pPr>
              <w:jc w:val="right"/>
              <w:ind w:right="166"/>
              <w:spacing w:after="0"/>
              <w:rPr>
                <w:sz w:val="20"/>
                <w:szCs w:val="20"/>
                <w:color w:val="auto"/>
              </w:rPr>
            </w:pPr>
            <w:r>
              <w:rPr>
                <w:rFonts w:ascii="Arial" w:cs="Arial" w:eastAsia="Arial" w:hAnsi="Arial"/>
                <w:sz w:val="15"/>
                <w:szCs w:val="15"/>
                <w:color w:val="58595B"/>
              </w:rPr>
              <w:t>15,352,063</w:t>
            </w:r>
          </w:p>
        </w:tc>
        <w:tc>
          <w:tcPr>
            <w:tcW w:w="134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9"/>
              </w:rPr>
              <w:t>5.7%</w:t>
            </w:r>
          </w:p>
        </w:tc>
        <w:tc>
          <w:tcPr>
            <w:tcW w:w="0" w:type="dxa"/>
            <w:vAlign w:val="bottom"/>
          </w:tcPr>
          <w:p>
            <w:pPr>
              <w:spacing w:after="0"/>
              <w:rPr>
                <w:sz w:val="1"/>
                <w:szCs w:val="1"/>
                <w:color w:val="auto"/>
              </w:rPr>
            </w:pPr>
          </w:p>
        </w:tc>
      </w:tr>
      <w:tr>
        <w:trPr>
          <w:trHeight w:val="53"/>
        </w:trPr>
        <w:tc>
          <w:tcPr>
            <w:tcW w:w="4000" w:type="dxa"/>
            <w:vAlign w:val="bottom"/>
            <w:tcBorders>
              <w:left w:val="single" w:sz="8" w:color="58595B"/>
              <w:bottom w:val="single" w:sz="8" w:color="58595B"/>
              <w:right w:val="single" w:sz="8" w:color="58595B"/>
            </w:tcBorders>
          </w:tcPr>
          <w:p>
            <w:pPr>
              <w:spacing w:after="0"/>
              <w:rPr>
                <w:sz w:val="4"/>
                <w:szCs w:val="4"/>
                <w:color w:val="auto"/>
              </w:rPr>
            </w:pPr>
          </w:p>
        </w:tc>
        <w:tc>
          <w:tcPr>
            <w:tcW w:w="1400" w:type="dxa"/>
            <w:vAlign w:val="bottom"/>
            <w:tcBorders>
              <w:bottom w:val="single" w:sz="8" w:color="58595B"/>
              <w:right w:val="single" w:sz="8" w:color="58595B"/>
            </w:tcBorders>
          </w:tcPr>
          <w:p>
            <w:pPr>
              <w:spacing w:after="0"/>
              <w:rPr>
                <w:sz w:val="4"/>
                <w:szCs w:val="4"/>
                <w:color w:val="auto"/>
              </w:rPr>
            </w:pPr>
          </w:p>
        </w:tc>
        <w:tc>
          <w:tcPr>
            <w:tcW w:w="134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spacing w:after="0"/>
        <w:rPr>
          <w:sz w:val="20"/>
          <w:szCs w:val="20"/>
          <w:color w:val="auto"/>
        </w:rPr>
      </w:pPr>
      <w:r>
        <w:rPr>
          <w:rFonts w:ascii="Arial" w:cs="Arial" w:eastAsia="Arial" w:hAnsi="Arial"/>
          <w:sz w:val="13"/>
          <w:szCs w:val="13"/>
          <w:color w:val="58595B"/>
        </w:rPr>
        <w:t>* Represents less than 1% of our common stock.</w:t>
      </w:r>
    </w:p>
    <w:p>
      <w:pPr>
        <w:spacing w:after="0" w:line="146" w:lineRule="exact"/>
        <w:rPr>
          <w:sz w:val="20"/>
          <w:szCs w:val="20"/>
          <w:color w:val="auto"/>
        </w:rPr>
      </w:pPr>
    </w:p>
    <w:p>
      <w:pPr>
        <w:ind w:left="920" w:hanging="298"/>
        <w:spacing w:after="0"/>
        <w:tabs>
          <w:tab w:leader="none" w:pos="920" w:val="left"/>
        </w:tabs>
        <w:numPr>
          <w:ilvl w:val="0"/>
          <w:numId w:val="75"/>
        </w:numPr>
        <w:rPr>
          <w:rFonts w:ascii="Arial" w:cs="Arial" w:eastAsia="Arial" w:hAnsi="Arial"/>
          <w:sz w:val="13"/>
          <w:szCs w:val="13"/>
          <w:color w:val="58595B"/>
        </w:rPr>
      </w:pPr>
      <w:r>
        <w:rPr>
          <w:rFonts w:ascii="Arial" w:cs="Arial" w:eastAsia="Arial" w:hAnsi="Arial"/>
          <w:sz w:val="13"/>
          <w:szCs w:val="13"/>
          <w:color w:val="58595B"/>
        </w:rPr>
        <w:t>The business address of each beneficial owner is c/o Fidelity National Financial, Inc., 601 Riverside Avenue, Jacksonville, Florida 32204.</w:t>
      </w:r>
    </w:p>
    <w:p>
      <w:pPr>
        <w:spacing w:after="0" w:line="141" w:lineRule="exact"/>
        <w:rPr>
          <w:rFonts w:ascii="Arial" w:cs="Arial" w:eastAsia="Arial" w:hAnsi="Arial"/>
          <w:sz w:val="13"/>
          <w:szCs w:val="13"/>
          <w:color w:val="58595B"/>
        </w:rPr>
      </w:pPr>
    </w:p>
    <w:p>
      <w:pPr>
        <w:ind w:left="920" w:right="300" w:hanging="298"/>
        <w:spacing w:after="0" w:line="256" w:lineRule="auto"/>
        <w:tabs>
          <w:tab w:leader="none" w:pos="920" w:val="left"/>
        </w:tabs>
        <w:numPr>
          <w:ilvl w:val="0"/>
          <w:numId w:val="75"/>
        </w:numPr>
        <w:rPr>
          <w:rFonts w:ascii="Arial" w:cs="Arial" w:eastAsia="Arial" w:hAnsi="Arial"/>
          <w:sz w:val="12"/>
          <w:szCs w:val="12"/>
          <w:color w:val="58595B"/>
        </w:rPr>
      </w:pPr>
      <w:r>
        <w:rPr>
          <w:rFonts w:ascii="Arial" w:cs="Arial" w:eastAsia="Arial" w:hAnsi="Arial"/>
          <w:sz w:val="12"/>
          <w:szCs w:val="12"/>
          <w:color w:val="58595B"/>
        </w:rPr>
        <w:t>Includes 2,245,122 shares of our common stock held by Folco Development Corporation, of which Mr. Foley and his spouse are the sole shareholders; 708,106 shares of our common stock owned by the Foley Family Charitable Foundation, and 1,265,826 shares held by Bilcar LLC. Includes 2,500,000 directly owned shares and 1,700,000 shares owned by Folco Development Corporation that are pledged as security in accordance with a previously granted waiver to our hedging and pledging policy.</w:t>
      </w:r>
    </w:p>
    <w:p>
      <w:pPr>
        <w:spacing w:after="0" w:line="105" w:lineRule="exact"/>
        <w:rPr>
          <w:rFonts w:ascii="Arial" w:cs="Arial" w:eastAsia="Arial" w:hAnsi="Arial"/>
          <w:sz w:val="12"/>
          <w:szCs w:val="12"/>
          <w:color w:val="58595B"/>
        </w:rPr>
      </w:pPr>
    </w:p>
    <w:p>
      <w:pPr>
        <w:ind w:left="920" w:hanging="298"/>
        <w:spacing w:after="0"/>
        <w:tabs>
          <w:tab w:leader="none" w:pos="920" w:val="left"/>
        </w:tabs>
        <w:numPr>
          <w:ilvl w:val="0"/>
          <w:numId w:val="75"/>
        </w:numPr>
        <w:rPr>
          <w:rFonts w:ascii="Arial" w:cs="Arial" w:eastAsia="Arial" w:hAnsi="Arial"/>
          <w:sz w:val="13"/>
          <w:szCs w:val="13"/>
          <w:color w:val="58595B"/>
        </w:rPr>
      </w:pPr>
      <w:r>
        <w:rPr>
          <w:rFonts w:ascii="Arial" w:cs="Arial" w:eastAsia="Arial" w:hAnsi="Arial"/>
          <w:sz w:val="13"/>
          <w:szCs w:val="13"/>
          <w:color w:val="58595B"/>
        </w:rPr>
        <w:t>Includes 14,585 shares held by the Michael J. Nolan Trust.</w:t>
      </w:r>
    </w:p>
    <w:p>
      <w:pPr>
        <w:spacing w:after="0" w:line="146" w:lineRule="exact"/>
        <w:rPr>
          <w:rFonts w:ascii="Arial" w:cs="Arial" w:eastAsia="Arial" w:hAnsi="Arial"/>
          <w:sz w:val="13"/>
          <w:szCs w:val="13"/>
          <w:color w:val="58595B"/>
        </w:rPr>
      </w:pPr>
    </w:p>
    <w:p>
      <w:pPr>
        <w:ind w:left="920" w:hanging="298"/>
        <w:spacing w:after="0"/>
        <w:tabs>
          <w:tab w:leader="none" w:pos="920" w:val="left"/>
        </w:tabs>
        <w:numPr>
          <w:ilvl w:val="0"/>
          <w:numId w:val="75"/>
        </w:numPr>
        <w:rPr>
          <w:rFonts w:ascii="Arial" w:cs="Arial" w:eastAsia="Arial" w:hAnsi="Arial"/>
          <w:sz w:val="13"/>
          <w:szCs w:val="13"/>
          <w:color w:val="58595B"/>
        </w:rPr>
      </w:pPr>
      <w:r>
        <w:rPr>
          <w:rFonts w:ascii="Arial" w:cs="Arial" w:eastAsia="Arial" w:hAnsi="Arial"/>
          <w:sz w:val="13"/>
          <w:szCs w:val="13"/>
          <w:color w:val="58595B"/>
        </w:rPr>
        <w:t>Includes 272,759 shares owned by the Anthony J. Park and Deborah L. Park Living Trust.</w:t>
      </w:r>
    </w:p>
    <w:p>
      <w:pPr>
        <w:spacing w:after="0" w:line="146" w:lineRule="exact"/>
        <w:rPr>
          <w:rFonts w:ascii="Arial" w:cs="Arial" w:eastAsia="Arial" w:hAnsi="Arial"/>
          <w:sz w:val="13"/>
          <w:szCs w:val="13"/>
          <w:color w:val="58595B"/>
        </w:rPr>
      </w:pPr>
    </w:p>
    <w:p>
      <w:pPr>
        <w:ind w:left="920" w:hanging="298"/>
        <w:spacing w:after="0"/>
        <w:tabs>
          <w:tab w:leader="none" w:pos="920" w:val="left"/>
        </w:tabs>
        <w:numPr>
          <w:ilvl w:val="0"/>
          <w:numId w:val="75"/>
        </w:numPr>
        <w:rPr>
          <w:rFonts w:ascii="Arial" w:cs="Arial" w:eastAsia="Arial" w:hAnsi="Arial"/>
          <w:sz w:val="13"/>
          <w:szCs w:val="13"/>
          <w:color w:val="58595B"/>
        </w:rPr>
      </w:pPr>
      <w:r>
        <w:rPr>
          <w:rFonts w:ascii="Arial" w:cs="Arial" w:eastAsia="Arial" w:hAnsi="Arial"/>
          <w:sz w:val="13"/>
          <w:szCs w:val="13"/>
          <w:color w:val="58595B"/>
        </w:rPr>
        <w:t>Includes 2,150,955 shares held by the Quirk 2002 Trust.</w:t>
      </w:r>
    </w:p>
    <w:p>
      <w:pPr>
        <w:spacing w:after="0" w:line="141" w:lineRule="exact"/>
        <w:rPr>
          <w:rFonts w:ascii="Arial" w:cs="Arial" w:eastAsia="Arial" w:hAnsi="Arial"/>
          <w:sz w:val="13"/>
          <w:szCs w:val="13"/>
          <w:color w:val="58595B"/>
        </w:rPr>
      </w:pPr>
    </w:p>
    <w:p>
      <w:pPr>
        <w:ind w:left="920" w:hanging="298"/>
        <w:spacing w:after="0"/>
        <w:tabs>
          <w:tab w:leader="none" w:pos="920" w:val="left"/>
        </w:tabs>
        <w:numPr>
          <w:ilvl w:val="0"/>
          <w:numId w:val="75"/>
        </w:numPr>
        <w:rPr>
          <w:rFonts w:ascii="Arial" w:cs="Arial" w:eastAsia="Arial" w:hAnsi="Arial"/>
          <w:sz w:val="12"/>
          <w:szCs w:val="12"/>
          <w:color w:val="58595B"/>
        </w:rPr>
      </w:pPr>
      <w:r>
        <w:rPr>
          <w:rFonts w:ascii="Arial" w:cs="Arial" w:eastAsia="Arial" w:hAnsi="Arial"/>
          <w:sz w:val="12"/>
          <w:szCs w:val="12"/>
          <w:color w:val="58595B"/>
        </w:rPr>
        <w:t>Includes 74,898 shares held by the Sadowski Living Trust and 473 shares held in an individual retirement arrangement account.</w:t>
      </w:r>
    </w:p>
    <w:p>
      <w:pPr>
        <w:spacing w:after="0" w:line="138" w:lineRule="exact"/>
        <w:rPr>
          <w:rFonts w:ascii="Arial" w:cs="Arial" w:eastAsia="Arial" w:hAnsi="Arial"/>
          <w:sz w:val="12"/>
          <w:szCs w:val="12"/>
          <w:color w:val="58595B"/>
        </w:rPr>
      </w:pPr>
    </w:p>
    <w:p>
      <w:pPr>
        <w:ind w:left="920" w:hanging="298"/>
        <w:spacing w:after="0" w:line="274" w:lineRule="auto"/>
        <w:tabs>
          <w:tab w:leader="none" w:pos="920" w:val="left"/>
        </w:tabs>
        <w:numPr>
          <w:ilvl w:val="0"/>
          <w:numId w:val="75"/>
        </w:numPr>
        <w:rPr>
          <w:rFonts w:ascii="Arial" w:cs="Arial" w:eastAsia="Arial" w:hAnsi="Arial"/>
          <w:sz w:val="13"/>
          <w:szCs w:val="13"/>
          <w:color w:val="58595B"/>
        </w:rPr>
      </w:pPr>
      <w:r>
        <w:rPr>
          <w:rFonts w:ascii="Arial" w:cs="Arial" w:eastAsia="Arial" w:hAnsi="Arial"/>
          <w:sz w:val="13"/>
          <w:szCs w:val="13"/>
          <w:color w:val="58595B"/>
        </w:rPr>
        <w:t>Includes 15,101 shares held by the Peter O. Shea, Jr. Family Trust, 3,773 shares held by the Sarah H. Shea Trust, 3,773 shares held by the Selva Family Trust, 18,874 shares held by Siam II Partners and 3,773 shares held by Toyopa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116840</wp:posOffset>
            </wp:positionV>
            <wp:extent cx="7144385" cy="297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5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81</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880" w:top="832" w:right="359" w:bottom="1440" w:gutter="0" w:footer="0" w:header="0"/>
        </w:sectPr>
      </w:pPr>
    </w:p>
    <w:bookmarkStart w:id="85" w:name="page86"/>
    <w:bookmarkEnd w:id="85"/>
    <w:p>
      <w:pPr>
        <w:ind w:left="1180"/>
        <w:spacing w:after="0"/>
        <w:rPr>
          <w:sz w:val="20"/>
          <w:szCs w:val="20"/>
          <w:color w:val="auto"/>
        </w:rPr>
      </w:pPr>
      <w:r>
        <w:rPr>
          <w:rFonts w:ascii="Arial" w:cs="Arial" w:eastAsia="Arial" w:hAnsi="Arial"/>
          <w:sz w:val="23"/>
          <w:szCs w:val="23"/>
          <w:b w:val="1"/>
          <w:bCs w:val="1"/>
          <w:color w:val="586D94"/>
        </w:rPr>
        <w:t>SECURITIES AUTHORIZED FOR ISSUANCE UNDER EQUITY COMPENSATION PLANS</w:t>
      </w:r>
    </w:p>
    <w:p>
      <w:pPr>
        <w:spacing w:after="0" w:line="230" w:lineRule="exact"/>
        <w:rPr>
          <w:sz w:val="20"/>
          <w:szCs w:val="20"/>
          <w:color w:val="auto"/>
        </w:rPr>
      </w:pPr>
    </w:p>
    <w:p>
      <w:pPr>
        <w:ind w:left="1180" w:right="220"/>
        <w:spacing w:after="0" w:line="266" w:lineRule="auto"/>
        <w:rPr>
          <w:sz w:val="20"/>
          <w:szCs w:val="20"/>
          <w:color w:val="auto"/>
        </w:rPr>
      </w:pPr>
      <w:r>
        <w:rPr>
          <w:rFonts w:ascii="Arial" w:cs="Arial" w:eastAsia="Arial" w:hAnsi="Arial"/>
          <w:sz w:val="18"/>
          <w:szCs w:val="18"/>
          <w:color w:val="58595B"/>
        </w:rPr>
        <w:t>The following table provides information as of December 31, 2025 about our common stock which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113665</wp:posOffset>
            </wp:positionV>
            <wp:extent cx="7620" cy="7512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20" cy="75120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113665</wp:posOffset>
            </wp:positionV>
            <wp:extent cx="7620" cy="7512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20" cy="751205"/>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113665</wp:posOffset>
            </wp:positionV>
            <wp:extent cx="7620" cy="7512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20" cy="751205"/>
                    </a:xfrm>
                    <a:prstGeom prst="rect">
                      <a:avLst/>
                    </a:prstGeom>
                    <a:noFill/>
                  </pic:spPr>
                </pic:pic>
              </a:graphicData>
            </a:graphic>
          </wp:anchor>
        </w:drawing>
      </w:r>
    </w:p>
    <w:p>
      <w:pPr>
        <w:spacing w:after="0" w:line="159" w:lineRule="exact"/>
        <w:rPr>
          <w:sz w:val="20"/>
          <w:szCs w:val="20"/>
          <w:color w:val="auto"/>
        </w:rPr>
      </w:pPr>
    </w:p>
    <w:tbl>
      <w:tblPr>
        <w:tblLayout w:type="fixed"/>
        <w:tblInd w:w="1190" w:type="dxa"/>
        <w:tblCellMar>
          <w:top w:w="0" w:type="dxa"/>
          <w:left w:w="0" w:type="dxa"/>
          <w:bottom w:w="0" w:type="dxa"/>
          <w:right w:w="0" w:type="dxa"/>
        </w:tblCellMar>
      </w:tblPr>
      <w:tr>
        <w:trPr>
          <w:trHeight w:val="234"/>
        </w:trPr>
        <w:tc>
          <w:tcPr>
            <w:tcW w:w="2600" w:type="dxa"/>
            <w:vAlign w:val="bottom"/>
            <w:tcBorders>
              <w:left w:val="single" w:sz="8" w:color="274F78"/>
              <w:right w:val="single" w:sz="8" w:color="274F78"/>
            </w:tcBorders>
            <w:shd w:val="clear" w:color="auto" w:fill="274F78"/>
          </w:tcPr>
          <w:p>
            <w:pPr>
              <w:spacing w:after="0"/>
              <w:rPr>
                <w:sz w:val="20"/>
                <w:szCs w:val="20"/>
                <w:color w:val="auto"/>
              </w:rPr>
            </w:pPr>
          </w:p>
        </w:tc>
        <w:tc>
          <w:tcPr>
            <w:tcW w:w="2120" w:type="dxa"/>
            <w:vAlign w:val="bottom"/>
            <w:tcBorders>
              <w:right w:val="single" w:sz="8" w:color="274F78"/>
            </w:tcBorders>
            <w:shd w:val="clear" w:color="auto" w:fill="274F78"/>
          </w:tcPr>
          <w:p>
            <w:pPr>
              <w:spacing w:after="0"/>
              <w:rPr>
                <w:sz w:val="20"/>
                <w:szCs w:val="20"/>
                <w:color w:val="auto"/>
              </w:rPr>
            </w:pPr>
          </w:p>
        </w:tc>
        <w:tc>
          <w:tcPr>
            <w:tcW w:w="1700" w:type="dxa"/>
            <w:vAlign w:val="bottom"/>
            <w:tcBorders>
              <w:right w:val="single" w:sz="8" w:color="274F78"/>
            </w:tcBorders>
            <w:shd w:val="clear" w:color="auto" w:fill="274F78"/>
          </w:tcPr>
          <w:p>
            <w:pPr>
              <w:spacing w:after="0"/>
              <w:rPr>
                <w:sz w:val="20"/>
                <w:szCs w:val="20"/>
                <w:color w:val="auto"/>
              </w:rPr>
            </w:pPr>
          </w:p>
        </w:tc>
        <w:tc>
          <w:tcPr>
            <w:tcW w:w="3160" w:type="dxa"/>
            <w:vAlign w:val="bottom"/>
            <w:tcBorders>
              <w:right w:val="single" w:sz="8" w:color="58595B"/>
            </w:tcBorders>
            <w:shd w:val="clear" w:color="auto" w:fill="274F78"/>
          </w:tcPr>
          <w:p>
            <w:pPr>
              <w:jc w:val="center"/>
              <w:ind w:right="6"/>
              <w:spacing w:after="0"/>
              <w:rPr>
                <w:sz w:val="20"/>
                <w:szCs w:val="20"/>
                <w:color w:val="auto"/>
              </w:rPr>
            </w:pPr>
            <w:r>
              <w:rPr>
                <w:rFonts w:ascii="Arial" w:cs="Arial" w:eastAsia="Arial" w:hAnsi="Arial"/>
                <w:sz w:val="15"/>
                <w:szCs w:val="15"/>
                <w:b w:val="1"/>
                <w:bCs w:val="1"/>
                <w:color w:val="FFFFFF"/>
                <w:w w:val="98"/>
              </w:rPr>
              <w:t>Number of Securities Remaining</w:t>
            </w:r>
          </w:p>
        </w:tc>
        <w:tc>
          <w:tcPr>
            <w:tcW w:w="0" w:type="dxa"/>
            <w:vAlign w:val="bottom"/>
          </w:tcPr>
          <w:p>
            <w:pPr>
              <w:spacing w:after="0"/>
              <w:rPr>
                <w:sz w:val="1"/>
                <w:szCs w:val="1"/>
                <w:color w:val="auto"/>
              </w:rPr>
            </w:pPr>
          </w:p>
        </w:tc>
      </w:tr>
      <w:tr>
        <w:trPr>
          <w:trHeight w:val="173"/>
        </w:trPr>
        <w:tc>
          <w:tcPr>
            <w:tcW w:w="2600" w:type="dxa"/>
            <w:vAlign w:val="bottom"/>
            <w:tcBorders>
              <w:left w:val="single" w:sz="8" w:color="274F78"/>
              <w:right w:val="single" w:sz="8" w:color="274F78"/>
            </w:tcBorders>
            <w:shd w:val="clear" w:color="auto" w:fill="274F78"/>
          </w:tcPr>
          <w:p>
            <w:pPr>
              <w:spacing w:after="0"/>
              <w:rPr>
                <w:sz w:val="15"/>
                <w:szCs w:val="15"/>
                <w:color w:val="auto"/>
              </w:rPr>
            </w:pPr>
          </w:p>
        </w:tc>
        <w:tc>
          <w:tcPr>
            <w:tcW w:w="21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Number of Securities</w:t>
            </w:r>
          </w:p>
        </w:tc>
        <w:tc>
          <w:tcPr>
            <w:tcW w:w="1700" w:type="dxa"/>
            <w:vAlign w:val="bottom"/>
            <w:tcBorders>
              <w:right w:val="single" w:sz="8" w:color="274F78"/>
            </w:tcBorders>
            <w:shd w:val="clear" w:color="auto" w:fill="274F78"/>
          </w:tcPr>
          <w:p>
            <w:pPr>
              <w:ind w:left="240"/>
              <w:spacing w:after="0"/>
              <w:rPr>
                <w:sz w:val="20"/>
                <w:szCs w:val="20"/>
                <w:color w:val="auto"/>
              </w:rPr>
            </w:pPr>
            <w:r>
              <w:rPr>
                <w:rFonts w:ascii="Arial" w:cs="Arial" w:eastAsia="Arial" w:hAnsi="Arial"/>
                <w:sz w:val="15"/>
                <w:szCs w:val="15"/>
                <w:b w:val="1"/>
                <w:bCs w:val="1"/>
                <w:color w:val="FFFFFF"/>
              </w:rPr>
              <w:t>Weighted Average</w:t>
            </w:r>
          </w:p>
        </w:tc>
        <w:tc>
          <w:tcPr>
            <w:tcW w:w="316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Available for Future Issuance</w:t>
            </w:r>
          </w:p>
        </w:tc>
        <w:tc>
          <w:tcPr>
            <w:tcW w:w="0" w:type="dxa"/>
            <w:vAlign w:val="bottom"/>
          </w:tcPr>
          <w:p>
            <w:pPr>
              <w:spacing w:after="0"/>
              <w:rPr>
                <w:sz w:val="1"/>
                <w:szCs w:val="1"/>
                <w:color w:val="auto"/>
              </w:rPr>
            </w:pPr>
          </w:p>
        </w:tc>
      </w:tr>
      <w:tr>
        <w:trPr>
          <w:trHeight w:val="173"/>
        </w:trPr>
        <w:tc>
          <w:tcPr>
            <w:tcW w:w="2600" w:type="dxa"/>
            <w:vAlign w:val="bottom"/>
            <w:tcBorders>
              <w:left w:val="single" w:sz="8" w:color="274F78"/>
              <w:right w:val="single" w:sz="8" w:color="274F78"/>
            </w:tcBorders>
            <w:shd w:val="clear" w:color="auto" w:fill="274F78"/>
          </w:tcPr>
          <w:p>
            <w:pPr>
              <w:spacing w:after="0"/>
              <w:rPr>
                <w:sz w:val="15"/>
                <w:szCs w:val="15"/>
                <w:color w:val="auto"/>
              </w:rPr>
            </w:pPr>
          </w:p>
        </w:tc>
        <w:tc>
          <w:tcPr>
            <w:tcW w:w="2120" w:type="dxa"/>
            <w:vAlign w:val="bottom"/>
            <w:tcBorders>
              <w:right w:val="single" w:sz="8" w:color="274F78"/>
            </w:tcBorders>
            <w:shd w:val="clear" w:color="auto" w:fill="274F78"/>
          </w:tcPr>
          <w:p>
            <w:pPr>
              <w:ind w:left="600"/>
              <w:spacing w:after="0"/>
              <w:rPr>
                <w:sz w:val="20"/>
                <w:szCs w:val="20"/>
                <w:color w:val="auto"/>
              </w:rPr>
            </w:pPr>
            <w:r>
              <w:rPr>
                <w:rFonts w:ascii="Arial" w:cs="Arial" w:eastAsia="Arial" w:hAnsi="Arial"/>
                <w:sz w:val="15"/>
                <w:szCs w:val="15"/>
                <w:b w:val="1"/>
                <w:bCs w:val="1"/>
                <w:color w:val="FFFFFF"/>
              </w:rPr>
              <w:t>to be Issued</w:t>
            </w:r>
          </w:p>
        </w:tc>
        <w:tc>
          <w:tcPr>
            <w:tcW w:w="17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Exercise Price</w:t>
            </w:r>
          </w:p>
        </w:tc>
        <w:tc>
          <w:tcPr>
            <w:tcW w:w="316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Under Equity Compensation Plans</w:t>
            </w:r>
          </w:p>
        </w:tc>
        <w:tc>
          <w:tcPr>
            <w:tcW w:w="0" w:type="dxa"/>
            <w:vAlign w:val="bottom"/>
          </w:tcPr>
          <w:p>
            <w:pPr>
              <w:spacing w:after="0"/>
              <w:rPr>
                <w:sz w:val="1"/>
                <w:szCs w:val="1"/>
                <w:color w:val="auto"/>
              </w:rPr>
            </w:pPr>
          </w:p>
        </w:tc>
      </w:tr>
      <w:tr>
        <w:trPr>
          <w:trHeight w:val="173"/>
        </w:trPr>
        <w:tc>
          <w:tcPr>
            <w:tcW w:w="2600" w:type="dxa"/>
            <w:vAlign w:val="bottom"/>
            <w:tcBorders>
              <w:left w:val="single" w:sz="8" w:color="274F78"/>
              <w:right w:val="single" w:sz="8" w:color="274F78"/>
            </w:tcBorders>
            <w:shd w:val="clear" w:color="auto" w:fill="274F78"/>
          </w:tcPr>
          <w:p>
            <w:pPr>
              <w:spacing w:after="0"/>
              <w:rPr>
                <w:sz w:val="15"/>
                <w:szCs w:val="15"/>
                <w:color w:val="auto"/>
              </w:rPr>
            </w:pPr>
          </w:p>
        </w:tc>
        <w:tc>
          <w:tcPr>
            <w:tcW w:w="21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Upon Exercise of</w:t>
            </w:r>
          </w:p>
        </w:tc>
        <w:tc>
          <w:tcPr>
            <w:tcW w:w="17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of Outstanding</w:t>
            </w:r>
          </w:p>
        </w:tc>
        <w:tc>
          <w:tcPr>
            <w:tcW w:w="316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9"/>
              </w:rPr>
              <w:t>(Excluding Securities to be Issued</w:t>
            </w:r>
          </w:p>
        </w:tc>
        <w:tc>
          <w:tcPr>
            <w:tcW w:w="0" w:type="dxa"/>
            <w:vAlign w:val="bottom"/>
          </w:tcPr>
          <w:p>
            <w:pPr>
              <w:spacing w:after="0"/>
              <w:rPr>
                <w:sz w:val="1"/>
                <w:szCs w:val="1"/>
                <w:color w:val="auto"/>
              </w:rPr>
            </w:pPr>
          </w:p>
        </w:tc>
      </w:tr>
      <w:tr>
        <w:trPr>
          <w:trHeight w:val="173"/>
        </w:trPr>
        <w:tc>
          <w:tcPr>
            <w:tcW w:w="2600" w:type="dxa"/>
            <w:vAlign w:val="bottom"/>
            <w:tcBorders>
              <w:left w:val="single" w:sz="8" w:color="274F78"/>
              <w:right w:val="single" w:sz="8" w:color="274F78"/>
            </w:tcBorders>
            <w:shd w:val="clear" w:color="auto" w:fill="274F78"/>
          </w:tcPr>
          <w:p>
            <w:pPr>
              <w:spacing w:after="0"/>
              <w:rPr>
                <w:sz w:val="15"/>
                <w:szCs w:val="15"/>
                <w:color w:val="auto"/>
              </w:rPr>
            </w:pPr>
          </w:p>
        </w:tc>
        <w:tc>
          <w:tcPr>
            <w:tcW w:w="212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Outstanding Options,</w:t>
            </w:r>
          </w:p>
        </w:tc>
        <w:tc>
          <w:tcPr>
            <w:tcW w:w="1700" w:type="dxa"/>
            <w:vAlign w:val="bottom"/>
            <w:tcBorders>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Options, Warrants</w:t>
            </w:r>
          </w:p>
        </w:tc>
        <w:tc>
          <w:tcPr>
            <w:tcW w:w="3160" w:type="dxa"/>
            <w:vAlign w:val="bottom"/>
            <w:tcBorders>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Upon Exercise of Outstanding</w:t>
            </w:r>
          </w:p>
        </w:tc>
        <w:tc>
          <w:tcPr>
            <w:tcW w:w="0" w:type="dxa"/>
            <w:vAlign w:val="bottom"/>
          </w:tcPr>
          <w:p>
            <w:pPr>
              <w:spacing w:after="0"/>
              <w:rPr>
                <w:sz w:val="1"/>
                <w:szCs w:val="1"/>
                <w:color w:val="auto"/>
              </w:rPr>
            </w:pPr>
          </w:p>
        </w:tc>
      </w:tr>
      <w:tr>
        <w:trPr>
          <w:trHeight w:val="239"/>
        </w:trPr>
        <w:tc>
          <w:tcPr>
            <w:tcW w:w="2600" w:type="dxa"/>
            <w:vAlign w:val="bottom"/>
            <w:tcBorders>
              <w:left w:val="single" w:sz="8" w:color="274F78"/>
              <w:bottom w:val="single" w:sz="8" w:color="274F78"/>
              <w:right w:val="single" w:sz="8" w:color="274F78"/>
            </w:tcBorders>
            <w:shd w:val="clear" w:color="auto" w:fill="274F78"/>
          </w:tcPr>
          <w:p>
            <w:pPr>
              <w:ind w:left="140"/>
              <w:spacing w:after="0"/>
              <w:rPr>
                <w:sz w:val="20"/>
                <w:szCs w:val="20"/>
                <w:color w:val="auto"/>
              </w:rPr>
            </w:pPr>
            <w:r>
              <w:rPr>
                <w:rFonts w:ascii="Arial" w:cs="Arial" w:eastAsia="Arial" w:hAnsi="Arial"/>
                <w:sz w:val="15"/>
                <w:szCs w:val="15"/>
                <w:b w:val="1"/>
                <w:bCs w:val="1"/>
                <w:color w:val="FFFFFF"/>
              </w:rPr>
              <w:t>Plan Category</w:t>
            </w:r>
          </w:p>
        </w:tc>
        <w:tc>
          <w:tcPr>
            <w:tcW w:w="212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Warrants and Rights</w:t>
            </w:r>
          </w:p>
        </w:tc>
        <w:tc>
          <w:tcPr>
            <w:tcW w:w="1700" w:type="dxa"/>
            <w:vAlign w:val="bottom"/>
            <w:tcBorders>
              <w:bottom w:val="single" w:sz="8" w:color="274F78"/>
              <w:right w:val="single" w:sz="8" w:color="274F78"/>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7"/>
              </w:rPr>
              <w:t>and Rights</w:t>
            </w:r>
          </w:p>
        </w:tc>
        <w:tc>
          <w:tcPr>
            <w:tcW w:w="3160" w:type="dxa"/>
            <w:vAlign w:val="bottom"/>
            <w:tcBorders>
              <w:bottom w:val="single" w:sz="8" w:color="274F78"/>
              <w:right w:val="single" w:sz="8" w:color="58595B"/>
            </w:tcBorders>
            <w:shd w:val="clear" w:color="auto" w:fill="274F78"/>
          </w:tcPr>
          <w:p>
            <w:pPr>
              <w:jc w:val="center"/>
              <w:spacing w:after="0"/>
              <w:rPr>
                <w:sz w:val="20"/>
                <w:szCs w:val="20"/>
                <w:color w:val="auto"/>
              </w:rPr>
            </w:pPr>
            <w:r>
              <w:rPr>
                <w:rFonts w:ascii="Arial" w:cs="Arial" w:eastAsia="Arial" w:hAnsi="Arial"/>
                <w:sz w:val="15"/>
                <w:szCs w:val="15"/>
                <w:b w:val="1"/>
                <w:bCs w:val="1"/>
                <w:color w:val="FFFFFF"/>
                <w:w w:val="98"/>
              </w:rPr>
              <w:t>Options, Warrants and Rights)</w:t>
            </w:r>
          </w:p>
        </w:tc>
        <w:tc>
          <w:tcPr>
            <w:tcW w:w="0" w:type="dxa"/>
            <w:vAlign w:val="bottom"/>
          </w:tcPr>
          <w:p>
            <w:pPr>
              <w:spacing w:after="0"/>
              <w:rPr>
                <w:sz w:val="1"/>
                <w:szCs w:val="1"/>
                <w:color w:val="auto"/>
              </w:rPr>
            </w:pPr>
          </w:p>
        </w:tc>
      </w:tr>
      <w:tr>
        <w:trPr>
          <w:trHeight w:val="222"/>
        </w:trPr>
        <w:tc>
          <w:tcPr>
            <w:tcW w:w="260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w w:val="97"/>
              </w:rPr>
              <w:t>Equity compensation plans approved</w:t>
            </w:r>
          </w:p>
        </w:tc>
        <w:tc>
          <w:tcPr>
            <w:tcW w:w="21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3"/>
              </w:rPr>
              <w:t>—</w:t>
            </w:r>
          </w:p>
        </w:tc>
        <w:tc>
          <w:tcPr>
            <w:tcW w:w="17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5"/>
              </w:rPr>
              <w:t>$0.00</w:t>
            </w:r>
          </w:p>
        </w:tc>
        <w:tc>
          <w:tcPr>
            <w:tcW w:w="31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7"/>
              </w:rPr>
              <w:t>7,852,968</w:t>
            </w:r>
            <w:r>
              <w:rPr>
                <w:rFonts w:ascii="Arial" w:cs="Arial" w:eastAsia="Arial" w:hAnsi="Arial"/>
                <w:sz w:val="24"/>
                <w:szCs w:val="24"/>
                <w:color w:val="auto"/>
                <w:w w:val="97"/>
                <w:vertAlign w:val="superscript"/>
              </w:rPr>
              <w:t>1</w:t>
            </w:r>
          </w:p>
        </w:tc>
        <w:tc>
          <w:tcPr>
            <w:tcW w:w="0" w:type="dxa"/>
            <w:vAlign w:val="bottom"/>
          </w:tcPr>
          <w:p>
            <w:pPr>
              <w:spacing w:after="0"/>
              <w:rPr>
                <w:sz w:val="1"/>
                <w:szCs w:val="1"/>
                <w:color w:val="auto"/>
              </w:rPr>
            </w:pPr>
          </w:p>
        </w:tc>
      </w:tr>
      <w:tr>
        <w:trPr>
          <w:trHeight w:val="148"/>
        </w:trPr>
        <w:tc>
          <w:tcPr>
            <w:tcW w:w="2600" w:type="dxa"/>
            <w:vAlign w:val="bottom"/>
            <w:tcBorders>
              <w:left w:val="single" w:sz="8" w:color="58595B"/>
              <w:right w:val="single" w:sz="8" w:color="58595B"/>
            </w:tcBorders>
            <w:vMerge w:val="restart"/>
          </w:tcPr>
          <w:p>
            <w:pPr>
              <w:ind w:left="160"/>
              <w:spacing w:after="0"/>
              <w:rPr>
                <w:sz w:val="20"/>
                <w:szCs w:val="20"/>
                <w:color w:val="auto"/>
              </w:rPr>
            </w:pPr>
            <w:r>
              <w:rPr>
                <w:rFonts w:ascii="Arial" w:cs="Arial" w:eastAsia="Arial" w:hAnsi="Arial"/>
                <w:sz w:val="15"/>
                <w:szCs w:val="15"/>
                <w:color w:val="58595B"/>
              </w:rPr>
              <w:t>by security holders</w:t>
            </w:r>
          </w:p>
        </w:tc>
        <w:tc>
          <w:tcPr>
            <w:tcW w:w="2120" w:type="dxa"/>
            <w:vAlign w:val="bottom"/>
            <w:tcBorders>
              <w:right w:val="single" w:sz="8" w:color="58595B"/>
            </w:tcBorders>
            <w:vMerge w:val="continue"/>
          </w:tcPr>
          <w:p>
            <w:pPr>
              <w:spacing w:after="0"/>
              <w:rPr>
                <w:sz w:val="12"/>
                <w:szCs w:val="12"/>
                <w:color w:val="auto"/>
              </w:rPr>
            </w:pPr>
          </w:p>
        </w:tc>
        <w:tc>
          <w:tcPr>
            <w:tcW w:w="1700" w:type="dxa"/>
            <w:vAlign w:val="bottom"/>
            <w:tcBorders>
              <w:right w:val="single" w:sz="8" w:color="58595B"/>
            </w:tcBorders>
            <w:vMerge w:val="continue"/>
          </w:tcPr>
          <w:p>
            <w:pPr>
              <w:spacing w:after="0"/>
              <w:rPr>
                <w:sz w:val="12"/>
                <w:szCs w:val="12"/>
                <w:color w:val="auto"/>
              </w:rPr>
            </w:pPr>
          </w:p>
        </w:tc>
        <w:tc>
          <w:tcPr>
            <w:tcW w:w="3160" w:type="dxa"/>
            <w:vAlign w:val="bottom"/>
            <w:tcBorders>
              <w:right w:val="single" w:sz="8" w:color="58595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600" w:type="dxa"/>
            <w:vAlign w:val="bottom"/>
            <w:tcBorders>
              <w:left w:val="single" w:sz="8" w:color="58595B"/>
              <w:right w:val="single" w:sz="8" w:color="58595B"/>
            </w:tcBorders>
            <w:vMerge w:val="continue"/>
          </w:tcPr>
          <w:p>
            <w:pPr>
              <w:spacing w:after="0"/>
              <w:rPr>
                <w:sz w:val="4"/>
                <w:szCs w:val="4"/>
                <w:color w:val="auto"/>
              </w:rPr>
            </w:pPr>
          </w:p>
        </w:tc>
        <w:tc>
          <w:tcPr>
            <w:tcW w:w="2120" w:type="dxa"/>
            <w:vAlign w:val="bottom"/>
            <w:tcBorders>
              <w:right w:val="single" w:sz="8" w:color="58595B"/>
            </w:tcBorders>
          </w:tcPr>
          <w:p>
            <w:pPr>
              <w:spacing w:after="0"/>
              <w:rPr>
                <w:sz w:val="4"/>
                <w:szCs w:val="4"/>
                <w:color w:val="auto"/>
              </w:rPr>
            </w:pPr>
          </w:p>
        </w:tc>
        <w:tc>
          <w:tcPr>
            <w:tcW w:w="1700" w:type="dxa"/>
            <w:vAlign w:val="bottom"/>
            <w:tcBorders>
              <w:right w:val="single" w:sz="8" w:color="58595B"/>
            </w:tcBorders>
          </w:tcPr>
          <w:p>
            <w:pPr>
              <w:spacing w:after="0"/>
              <w:rPr>
                <w:sz w:val="4"/>
                <w:szCs w:val="4"/>
                <w:color w:val="auto"/>
              </w:rPr>
            </w:pPr>
          </w:p>
        </w:tc>
        <w:tc>
          <w:tcPr>
            <w:tcW w:w="316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600" w:type="dxa"/>
            <w:vAlign w:val="bottom"/>
            <w:tcBorders>
              <w:left w:val="single" w:sz="8" w:color="58595B"/>
              <w:bottom w:val="single" w:sz="8" w:color="58595B"/>
              <w:right w:val="single" w:sz="8" w:color="58595B"/>
            </w:tcBorders>
          </w:tcPr>
          <w:p>
            <w:pPr>
              <w:spacing w:after="0"/>
              <w:rPr>
                <w:sz w:val="4"/>
                <w:szCs w:val="4"/>
                <w:color w:val="auto"/>
              </w:rPr>
            </w:pPr>
          </w:p>
        </w:tc>
        <w:tc>
          <w:tcPr>
            <w:tcW w:w="2120" w:type="dxa"/>
            <w:vAlign w:val="bottom"/>
            <w:tcBorders>
              <w:bottom w:val="single" w:sz="8" w:color="58595B"/>
              <w:right w:val="single" w:sz="8" w:color="58595B"/>
            </w:tcBorders>
          </w:tcPr>
          <w:p>
            <w:pPr>
              <w:spacing w:after="0"/>
              <w:rPr>
                <w:sz w:val="4"/>
                <w:szCs w:val="4"/>
                <w:color w:val="auto"/>
              </w:rPr>
            </w:pPr>
          </w:p>
        </w:tc>
        <w:tc>
          <w:tcPr>
            <w:tcW w:w="1700" w:type="dxa"/>
            <w:vAlign w:val="bottom"/>
            <w:tcBorders>
              <w:bottom w:val="single" w:sz="8" w:color="58595B"/>
              <w:right w:val="single" w:sz="8" w:color="58595B"/>
            </w:tcBorders>
          </w:tcPr>
          <w:p>
            <w:pPr>
              <w:spacing w:after="0"/>
              <w:rPr>
                <w:sz w:val="4"/>
                <w:szCs w:val="4"/>
                <w:color w:val="auto"/>
              </w:rPr>
            </w:pPr>
          </w:p>
        </w:tc>
        <w:tc>
          <w:tcPr>
            <w:tcW w:w="316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0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color w:val="58595B"/>
              </w:rPr>
              <w:t>Equity compensation plans not</w:t>
            </w:r>
          </w:p>
        </w:tc>
        <w:tc>
          <w:tcPr>
            <w:tcW w:w="212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3"/>
              </w:rPr>
              <w:t>—</w:t>
            </w:r>
          </w:p>
        </w:tc>
        <w:tc>
          <w:tcPr>
            <w:tcW w:w="170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5"/>
              </w:rPr>
              <w:t>$0.00</w:t>
            </w:r>
          </w:p>
        </w:tc>
        <w:tc>
          <w:tcPr>
            <w:tcW w:w="316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5"/>
                <w:szCs w:val="15"/>
                <w:color w:val="auto"/>
                <w:w w:val="97"/>
              </w:rPr>
              <w:t>1,673,587</w:t>
            </w:r>
            <w:r>
              <w:rPr>
                <w:rFonts w:ascii="Arial" w:cs="Arial" w:eastAsia="Arial" w:hAnsi="Arial"/>
                <w:sz w:val="24"/>
                <w:szCs w:val="24"/>
                <w:color w:val="auto"/>
                <w:w w:val="97"/>
                <w:vertAlign w:val="superscript"/>
              </w:rPr>
              <w:t>2</w:t>
            </w:r>
          </w:p>
        </w:tc>
        <w:tc>
          <w:tcPr>
            <w:tcW w:w="0" w:type="dxa"/>
            <w:vAlign w:val="bottom"/>
          </w:tcPr>
          <w:p>
            <w:pPr>
              <w:spacing w:after="0"/>
              <w:rPr>
                <w:sz w:val="1"/>
                <w:szCs w:val="1"/>
                <w:color w:val="auto"/>
              </w:rPr>
            </w:pPr>
          </w:p>
        </w:tc>
      </w:tr>
      <w:tr>
        <w:trPr>
          <w:trHeight w:val="148"/>
        </w:trPr>
        <w:tc>
          <w:tcPr>
            <w:tcW w:w="2600" w:type="dxa"/>
            <w:vAlign w:val="bottom"/>
            <w:tcBorders>
              <w:left w:val="single" w:sz="8" w:color="58595B"/>
              <w:right w:val="single" w:sz="8" w:color="58595B"/>
            </w:tcBorders>
            <w:vMerge w:val="restart"/>
          </w:tcPr>
          <w:p>
            <w:pPr>
              <w:ind w:left="160"/>
              <w:spacing w:after="0"/>
              <w:rPr>
                <w:sz w:val="20"/>
                <w:szCs w:val="20"/>
                <w:color w:val="auto"/>
              </w:rPr>
            </w:pPr>
            <w:r>
              <w:rPr>
                <w:rFonts w:ascii="Arial" w:cs="Arial" w:eastAsia="Arial" w:hAnsi="Arial"/>
                <w:sz w:val="15"/>
                <w:szCs w:val="15"/>
                <w:color w:val="58595B"/>
              </w:rPr>
              <w:t>approved by security holders</w:t>
            </w:r>
          </w:p>
        </w:tc>
        <w:tc>
          <w:tcPr>
            <w:tcW w:w="2120" w:type="dxa"/>
            <w:vAlign w:val="bottom"/>
            <w:tcBorders>
              <w:right w:val="single" w:sz="8" w:color="58595B"/>
            </w:tcBorders>
            <w:vMerge w:val="continue"/>
          </w:tcPr>
          <w:p>
            <w:pPr>
              <w:spacing w:after="0"/>
              <w:rPr>
                <w:sz w:val="12"/>
                <w:szCs w:val="12"/>
                <w:color w:val="auto"/>
              </w:rPr>
            </w:pPr>
          </w:p>
        </w:tc>
        <w:tc>
          <w:tcPr>
            <w:tcW w:w="1700" w:type="dxa"/>
            <w:vAlign w:val="bottom"/>
            <w:tcBorders>
              <w:right w:val="single" w:sz="8" w:color="58595B"/>
            </w:tcBorders>
            <w:vMerge w:val="continue"/>
          </w:tcPr>
          <w:p>
            <w:pPr>
              <w:spacing w:after="0"/>
              <w:rPr>
                <w:sz w:val="12"/>
                <w:szCs w:val="12"/>
                <w:color w:val="auto"/>
              </w:rPr>
            </w:pPr>
          </w:p>
        </w:tc>
        <w:tc>
          <w:tcPr>
            <w:tcW w:w="3160" w:type="dxa"/>
            <w:vAlign w:val="bottom"/>
            <w:tcBorders>
              <w:right w:val="single" w:sz="8" w:color="58595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600" w:type="dxa"/>
            <w:vAlign w:val="bottom"/>
            <w:tcBorders>
              <w:left w:val="single" w:sz="8" w:color="58595B"/>
              <w:right w:val="single" w:sz="8" w:color="58595B"/>
            </w:tcBorders>
            <w:vMerge w:val="continue"/>
          </w:tcPr>
          <w:p>
            <w:pPr>
              <w:spacing w:after="0"/>
              <w:rPr>
                <w:sz w:val="4"/>
                <w:szCs w:val="4"/>
                <w:color w:val="auto"/>
              </w:rPr>
            </w:pPr>
          </w:p>
        </w:tc>
        <w:tc>
          <w:tcPr>
            <w:tcW w:w="2120" w:type="dxa"/>
            <w:vAlign w:val="bottom"/>
            <w:tcBorders>
              <w:right w:val="single" w:sz="8" w:color="58595B"/>
            </w:tcBorders>
          </w:tcPr>
          <w:p>
            <w:pPr>
              <w:spacing w:after="0"/>
              <w:rPr>
                <w:sz w:val="4"/>
                <w:szCs w:val="4"/>
                <w:color w:val="auto"/>
              </w:rPr>
            </w:pPr>
          </w:p>
        </w:tc>
        <w:tc>
          <w:tcPr>
            <w:tcW w:w="1700" w:type="dxa"/>
            <w:vAlign w:val="bottom"/>
            <w:tcBorders>
              <w:right w:val="single" w:sz="8" w:color="58595B"/>
            </w:tcBorders>
          </w:tcPr>
          <w:p>
            <w:pPr>
              <w:spacing w:after="0"/>
              <w:rPr>
                <w:sz w:val="4"/>
                <w:szCs w:val="4"/>
                <w:color w:val="auto"/>
              </w:rPr>
            </w:pPr>
          </w:p>
        </w:tc>
        <w:tc>
          <w:tcPr>
            <w:tcW w:w="3160" w:type="dxa"/>
            <w:vAlign w:val="bottom"/>
            <w:tcBorders>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600" w:type="dxa"/>
            <w:vAlign w:val="bottom"/>
            <w:tcBorders>
              <w:left w:val="single" w:sz="8" w:color="58595B"/>
              <w:bottom w:val="single" w:sz="8" w:color="58595B"/>
              <w:right w:val="single" w:sz="8" w:color="58595B"/>
            </w:tcBorders>
          </w:tcPr>
          <w:p>
            <w:pPr>
              <w:spacing w:after="0"/>
              <w:rPr>
                <w:sz w:val="4"/>
                <w:szCs w:val="4"/>
                <w:color w:val="auto"/>
              </w:rPr>
            </w:pPr>
          </w:p>
        </w:tc>
        <w:tc>
          <w:tcPr>
            <w:tcW w:w="2120" w:type="dxa"/>
            <w:vAlign w:val="bottom"/>
            <w:tcBorders>
              <w:bottom w:val="single" w:sz="8" w:color="58595B"/>
              <w:right w:val="single" w:sz="8" w:color="58595B"/>
            </w:tcBorders>
          </w:tcPr>
          <w:p>
            <w:pPr>
              <w:spacing w:after="0"/>
              <w:rPr>
                <w:sz w:val="4"/>
                <w:szCs w:val="4"/>
                <w:color w:val="auto"/>
              </w:rPr>
            </w:pPr>
          </w:p>
        </w:tc>
        <w:tc>
          <w:tcPr>
            <w:tcW w:w="1700" w:type="dxa"/>
            <w:vAlign w:val="bottom"/>
            <w:tcBorders>
              <w:bottom w:val="single" w:sz="8" w:color="58595B"/>
              <w:right w:val="single" w:sz="8" w:color="58595B"/>
            </w:tcBorders>
          </w:tcPr>
          <w:p>
            <w:pPr>
              <w:spacing w:after="0"/>
              <w:rPr>
                <w:sz w:val="4"/>
                <w:szCs w:val="4"/>
                <w:color w:val="auto"/>
              </w:rPr>
            </w:pPr>
          </w:p>
        </w:tc>
        <w:tc>
          <w:tcPr>
            <w:tcW w:w="3160" w:type="dxa"/>
            <w:vAlign w:val="bottom"/>
            <w:tcBorders>
              <w:bottom w:val="single" w:sz="8" w:color="58595B"/>
              <w:right w:val="single" w:sz="8" w:color="58595B"/>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0" w:type="dxa"/>
            <w:vAlign w:val="bottom"/>
            <w:tcBorders>
              <w:left w:val="single" w:sz="8" w:color="58595B"/>
              <w:right w:val="single" w:sz="8" w:color="58595B"/>
            </w:tcBorders>
          </w:tcPr>
          <w:p>
            <w:pPr>
              <w:ind w:left="160"/>
              <w:spacing w:after="0"/>
              <w:rPr>
                <w:sz w:val="20"/>
                <w:szCs w:val="20"/>
                <w:color w:val="auto"/>
              </w:rPr>
            </w:pPr>
            <w:r>
              <w:rPr>
                <w:rFonts w:ascii="Arial" w:cs="Arial" w:eastAsia="Arial" w:hAnsi="Arial"/>
                <w:sz w:val="15"/>
                <w:szCs w:val="15"/>
                <w:b w:val="1"/>
                <w:bCs w:val="1"/>
                <w:color w:val="58595B"/>
              </w:rPr>
              <w:t>Total</w:t>
            </w:r>
          </w:p>
        </w:tc>
        <w:tc>
          <w:tcPr>
            <w:tcW w:w="212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3"/>
              </w:rPr>
              <w:t>—</w:t>
            </w:r>
          </w:p>
        </w:tc>
        <w:tc>
          <w:tcPr>
            <w:tcW w:w="170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5"/>
              </w:rPr>
              <w:t>$0.00</w:t>
            </w:r>
          </w:p>
        </w:tc>
        <w:tc>
          <w:tcPr>
            <w:tcW w:w="3160" w:type="dxa"/>
            <w:vAlign w:val="bottom"/>
            <w:tcBorders>
              <w:right w:val="single" w:sz="8" w:color="58595B"/>
            </w:tcBorders>
          </w:tcPr>
          <w:p>
            <w:pPr>
              <w:jc w:val="center"/>
              <w:spacing w:after="0"/>
              <w:rPr>
                <w:sz w:val="20"/>
                <w:szCs w:val="20"/>
                <w:color w:val="auto"/>
              </w:rPr>
            </w:pPr>
            <w:r>
              <w:rPr>
                <w:rFonts w:ascii="Arial" w:cs="Arial" w:eastAsia="Arial" w:hAnsi="Arial"/>
                <w:sz w:val="15"/>
                <w:szCs w:val="15"/>
                <w:color w:val="58595B"/>
                <w:w w:val="98"/>
              </w:rPr>
              <w:t>9,526,555</w:t>
            </w:r>
          </w:p>
        </w:tc>
        <w:tc>
          <w:tcPr>
            <w:tcW w:w="0" w:type="dxa"/>
            <w:vAlign w:val="bottom"/>
          </w:tcPr>
          <w:p>
            <w:pPr>
              <w:spacing w:after="0"/>
              <w:rPr>
                <w:sz w:val="1"/>
                <w:szCs w:val="1"/>
                <w:color w:val="auto"/>
              </w:rPr>
            </w:pPr>
          </w:p>
        </w:tc>
      </w:tr>
      <w:tr>
        <w:trPr>
          <w:trHeight w:val="45"/>
        </w:trPr>
        <w:tc>
          <w:tcPr>
            <w:tcW w:w="2600" w:type="dxa"/>
            <w:vAlign w:val="bottom"/>
            <w:tcBorders>
              <w:left w:val="single" w:sz="8" w:color="58595B"/>
              <w:bottom w:val="single" w:sz="8" w:color="58595B"/>
              <w:right w:val="single" w:sz="8" w:color="58595B"/>
            </w:tcBorders>
          </w:tcPr>
          <w:p>
            <w:pPr>
              <w:spacing w:after="0"/>
              <w:rPr>
                <w:sz w:val="3"/>
                <w:szCs w:val="3"/>
                <w:color w:val="auto"/>
              </w:rPr>
            </w:pPr>
          </w:p>
        </w:tc>
        <w:tc>
          <w:tcPr>
            <w:tcW w:w="2120" w:type="dxa"/>
            <w:vAlign w:val="bottom"/>
            <w:tcBorders>
              <w:bottom w:val="single" w:sz="8" w:color="58595B"/>
              <w:right w:val="single" w:sz="8" w:color="58595B"/>
            </w:tcBorders>
          </w:tcPr>
          <w:p>
            <w:pPr>
              <w:spacing w:after="0"/>
              <w:rPr>
                <w:sz w:val="3"/>
                <w:szCs w:val="3"/>
                <w:color w:val="auto"/>
              </w:rPr>
            </w:pPr>
          </w:p>
        </w:tc>
        <w:tc>
          <w:tcPr>
            <w:tcW w:w="1700" w:type="dxa"/>
            <w:vAlign w:val="bottom"/>
            <w:tcBorders>
              <w:bottom w:val="single" w:sz="8" w:color="58595B"/>
              <w:right w:val="single" w:sz="8" w:color="58595B"/>
            </w:tcBorders>
          </w:tcPr>
          <w:p>
            <w:pPr>
              <w:spacing w:after="0"/>
              <w:rPr>
                <w:sz w:val="3"/>
                <w:szCs w:val="3"/>
                <w:color w:val="auto"/>
              </w:rPr>
            </w:pPr>
          </w:p>
        </w:tc>
        <w:tc>
          <w:tcPr>
            <w:tcW w:w="3160" w:type="dxa"/>
            <w:vAlign w:val="bottom"/>
            <w:tcBorders>
              <w:bottom w:val="single" w:sz="8" w:color="58595B"/>
              <w:right w:val="single" w:sz="8" w:color="58595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80" w:right="440" w:hanging="298"/>
        <w:spacing w:after="0" w:line="274" w:lineRule="auto"/>
        <w:tabs>
          <w:tab w:leader="none" w:pos="1480" w:val="left"/>
        </w:tabs>
        <w:numPr>
          <w:ilvl w:val="0"/>
          <w:numId w:val="76"/>
        </w:numPr>
        <w:rPr>
          <w:rFonts w:ascii="Arial" w:cs="Arial" w:eastAsia="Arial" w:hAnsi="Arial"/>
          <w:sz w:val="13"/>
          <w:szCs w:val="13"/>
          <w:color w:val="58595B"/>
        </w:rPr>
      </w:pPr>
      <w:r>
        <w:rPr>
          <w:rFonts w:ascii="Arial" w:cs="Arial" w:eastAsia="Arial" w:hAnsi="Arial"/>
          <w:sz w:val="13"/>
          <w:szCs w:val="13"/>
          <w:color w:val="58595B"/>
        </w:rPr>
        <w:t>Shares of common stock may be issued in connection with new awards of restricted stock, restricted stock units, performance shares, performance units, options or other stock-based awards under the FNF omnibus plan.</w:t>
      </w:r>
    </w:p>
    <w:p>
      <w:pPr>
        <w:spacing w:after="0" w:line="102" w:lineRule="exact"/>
        <w:rPr>
          <w:rFonts w:ascii="Arial" w:cs="Arial" w:eastAsia="Arial" w:hAnsi="Arial"/>
          <w:sz w:val="13"/>
          <w:szCs w:val="13"/>
          <w:color w:val="58595B"/>
        </w:rPr>
      </w:pPr>
    </w:p>
    <w:p>
      <w:pPr>
        <w:ind w:left="1480" w:right="180" w:hanging="298"/>
        <w:spacing w:after="0" w:line="246" w:lineRule="auto"/>
        <w:tabs>
          <w:tab w:leader="none" w:pos="1480" w:val="left"/>
        </w:tabs>
        <w:numPr>
          <w:ilvl w:val="0"/>
          <w:numId w:val="76"/>
        </w:numPr>
        <w:rPr>
          <w:rFonts w:ascii="Arial" w:cs="Arial" w:eastAsia="Arial" w:hAnsi="Arial"/>
          <w:sz w:val="13"/>
          <w:szCs w:val="13"/>
          <w:color w:val="58595B"/>
        </w:rPr>
      </w:pPr>
      <w:r>
        <w:rPr>
          <w:rFonts w:ascii="Arial" w:cs="Arial" w:eastAsia="Arial" w:hAnsi="Arial"/>
          <w:sz w:val="13"/>
          <w:szCs w:val="13"/>
          <w:color w:val="58595B"/>
        </w:rPr>
        <w:t>1,673,587 shares may be issued under the FNF FGL Holdings 2017 Omnibus Incentive Plan, which was assumed and amended by FNF in connection with the acquisition of F&amp;G. In accordance with New York Stock Exchange Rules, no stockholder approval was required for the listing of the shares under the plan or for the assumption and amendment of the plan by FNF. Awards under the plan may be made to employees, directors and consultants of FNF and its subsidiaries, other than individuals who were employed or providing services to FNF or any of its subsidiaries immediately prior to date of the merger, June 1, 2020. No awards may be made under the plan after July 24, 2027.</w:t>
      </w:r>
    </w:p>
    <w:p>
      <w:pPr>
        <w:spacing w:after="0" w:line="389" w:lineRule="exact"/>
        <w:rPr>
          <w:sz w:val="20"/>
          <w:szCs w:val="20"/>
          <w:color w:val="auto"/>
        </w:rPr>
      </w:pPr>
    </w:p>
    <w:p>
      <w:pPr>
        <w:ind w:left="1180" w:right="2000"/>
        <w:spacing w:after="0" w:line="288" w:lineRule="auto"/>
        <w:rPr>
          <w:sz w:val="20"/>
          <w:szCs w:val="20"/>
          <w:color w:val="auto"/>
        </w:rPr>
      </w:pPr>
      <w:r>
        <w:rPr>
          <w:rFonts w:ascii="Arial" w:cs="Arial" w:eastAsia="Arial" w:hAnsi="Arial"/>
          <w:sz w:val="33"/>
          <w:szCs w:val="33"/>
          <w:b w:val="1"/>
          <w:bCs w:val="1"/>
          <w:color w:val="254F79"/>
        </w:rPr>
        <w:t>CERTAIN RELATIONSHIPS AND RELATED PERSON TRANSACTIONS</w:t>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AGREEMENTS WITH F&amp;G</w:t>
      </w:r>
    </w:p>
    <w:p>
      <w:pPr>
        <w:spacing w:after="0" w:line="230" w:lineRule="exact"/>
        <w:rPr>
          <w:sz w:val="20"/>
          <w:szCs w:val="20"/>
          <w:color w:val="auto"/>
        </w:rPr>
      </w:pPr>
    </w:p>
    <w:p>
      <w:pPr>
        <w:ind w:left="1180" w:right="320"/>
        <w:spacing w:after="0" w:line="238" w:lineRule="auto"/>
        <w:rPr>
          <w:sz w:val="20"/>
          <w:szCs w:val="20"/>
          <w:color w:val="auto"/>
        </w:rPr>
      </w:pPr>
      <w:r>
        <w:rPr>
          <w:rFonts w:ascii="Arial" w:cs="Arial" w:eastAsia="Arial" w:hAnsi="Arial"/>
          <w:sz w:val="18"/>
          <w:szCs w:val="18"/>
          <w:color w:val="58595B"/>
        </w:rPr>
        <w:t>On December 1, 2022, FNF distributed, on a pro rata basis, approximately 15% of the common stock of F&amp;G (the First F&amp;G Distribution). The purpose of the First F&amp;G Distribution was to enhance and more fully recognize the overall market value of each company. Subsequently, on December 31, 2025, we distributed an additional 12% of the outstanding shares of F&amp;G, to our shareholders of record on December 17, 2025 (the Second F&amp;G Distribution). We continue to control F&amp;G through our 70% ownership interest of F&amp;G common stock.</w:t>
      </w:r>
    </w:p>
    <w:p>
      <w:pPr>
        <w:spacing w:after="0" w:line="191" w:lineRule="exact"/>
        <w:rPr>
          <w:sz w:val="20"/>
          <w:szCs w:val="20"/>
          <w:color w:val="auto"/>
        </w:rPr>
      </w:pPr>
    </w:p>
    <w:p>
      <w:pPr>
        <w:ind w:left="1180" w:right="320"/>
        <w:spacing w:after="0" w:line="248" w:lineRule="auto"/>
        <w:rPr>
          <w:sz w:val="20"/>
          <w:szCs w:val="20"/>
          <w:color w:val="auto"/>
        </w:rPr>
      </w:pPr>
      <w:r>
        <w:rPr>
          <w:rFonts w:ascii="Arial" w:cs="Arial" w:eastAsia="Arial" w:hAnsi="Arial"/>
          <w:sz w:val="17"/>
          <w:szCs w:val="17"/>
          <w:color w:val="58595B"/>
        </w:rPr>
        <w:t>We and F&amp;G have overlapping executive officers and directors. William P. Foley, II, our non-executive Chairman, also serves as Executive Chairman and is a director of F&amp;G. In addition, our Executive Vice-Chairman Raymond R. Quirk and our Chief Executive Officer Michael J. Nolan each serve as directors of F&amp;G; Douglas K. Ammerman and John D. Rood, each of whom serve as directors of FNF, also serve as directors of F&amp;G; and Michael L. Gravelle, our Executive Vice President, General Counsel and Corporate Secretary, also serves as Executive Vice President, General Counsel and Corporate Secretary of F&amp;G since May 2024. In order to govern certain of the ongoing relationships between us, we have entered into certain agreements with F&amp;G, the terms of which are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82</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2" w:right="339" w:bottom="1440" w:gutter="0" w:footer="0" w:header="0"/>
        </w:sectPr>
      </w:pPr>
    </w:p>
    <w:bookmarkStart w:id="86" w:name="page87"/>
    <w:bookmarkEnd w:id="86"/>
    <w:p>
      <w:pPr>
        <w:ind w:left="620"/>
        <w:spacing w:after="0"/>
        <w:rPr>
          <w:sz w:val="20"/>
          <w:szCs w:val="20"/>
          <w:color w:val="auto"/>
        </w:rPr>
      </w:pPr>
      <w:r>
        <w:rPr>
          <w:rFonts w:ascii="Arial" w:cs="Arial" w:eastAsia="Arial" w:hAnsi="Arial"/>
          <w:sz w:val="20"/>
          <w:szCs w:val="20"/>
          <w:b w:val="1"/>
          <w:bCs w:val="1"/>
          <w:color w:val="727898"/>
        </w:rPr>
        <w:t>CORPORATE SERVICES AGREEMENT</w:t>
      </w:r>
    </w:p>
    <w:p>
      <w:pPr>
        <w:spacing w:after="0" w:line="228" w:lineRule="exact"/>
        <w:rPr>
          <w:sz w:val="20"/>
          <w:szCs w:val="20"/>
          <w:color w:val="auto"/>
        </w:rPr>
      </w:pPr>
    </w:p>
    <w:p>
      <w:pPr>
        <w:ind w:left="620" w:right="100"/>
        <w:spacing w:after="0" w:line="247" w:lineRule="auto"/>
        <w:rPr>
          <w:sz w:val="20"/>
          <w:szCs w:val="20"/>
          <w:color w:val="auto"/>
        </w:rPr>
      </w:pPr>
      <w:r>
        <w:rPr>
          <w:rFonts w:ascii="Arial" w:cs="Arial" w:eastAsia="Arial" w:hAnsi="Arial"/>
          <w:sz w:val="17"/>
          <w:szCs w:val="17"/>
          <w:color w:val="58595B"/>
        </w:rPr>
        <w:t>On November 30, 2022, FNF entered into a Corporate Services Agreement with F&amp;G. Pursuant to such agreement, FNF provides F&amp;G with certain corporate services, including internal audit services, litigation and dispute management services, compliance services, corporate and transactional support services, Securities and Exchange Commission &amp; reporting services, insurance and risk management services, human resources support services and real estate services. FNF will also provide knowledge transfer services and take such steps as are reasonably required to facilitate a smooth and efficient transition of records and responsibilities to F&amp;G prior to the termination of the agreement. The Corporate Services Agreement terminates after the date upon which all corporate services or transition assistance have been terminated or upon the mutual agreement of the parties. F&amp;G may terminate corporate services by providing 90 days written notice to FNF.</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727898"/>
        </w:rPr>
        <w:t>REVERSE CORPORATE SERVICES AGREEMENT</w:t>
      </w:r>
    </w:p>
    <w:p>
      <w:pPr>
        <w:spacing w:after="0" w:line="218" w:lineRule="exact"/>
        <w:rPr>
          <w:sz w:val="20"/>
          <w:szCs w:val="20"/>
          <w:color w:val="auto"/>
        </w:rPr>
      </w:pPr>
    </w:p>
    <w:p>
      <w:pPr>
        <w:ind w:left="620" w:right="280"/>
        <w:spacing w:after="0" w:line="235" w:lineRule="auto"/>
        <w:rPr>
          <w:sz w:val="20"/>
          <w:szCs w:val="20"/>
          <w:color w:val="auto"/>
        </w:rPr>
      </w:pPr>
      <w:r>
        <w:rPr>
          <w:rFonts w:ascii="Arial" w:cs="Arial" w:eastAsia="Arial" w:hAnsi="Arial"/>
          <w:sz w:val="18"/>
          <w:szCs w:val="18"/>
          <w:color w:val="58595B"/>
        </w:rPr>
        <w:t>On November 30, 2022, F&amp;G entered into a Reverse Corporate Services Agreement with FNF. Pursuant to such agreement, F&amp;G provides FNF with certain services, including the services of certain F&amp;G employees and investor relations services. F&amp;G will also provide knowledge transfer services and take such steps as are reasonably required in order to facilitate a smooth and efficient transition of records and responsibilities to FNF prior to the termination of the agreement. The Reverse Corporate Services Agreement terminates after the date upon which all corporate services or transition assistance has been terminated or upon the mutual agreement of the parties. FNF may terminate corporate services by providing 90 days written notice to F&amp;G.</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727898"/>
        </w:rPr>
        <w:t>TAX SHARING AGREEMENT</w:t>
      </w:r>
    </w:p>
    <w:p>
      <w:pPr>
        <w:spacing w:after="0" w:line="228" w:lineRule="exact"/>
        <w:rPr>
          <w:sz w:val="20"/>
          <w:szCs w:val="20"/>
          <w:color w:val="auto"/>
        </w:rPr>
      </w:pPr>
    </w:p>
    <w:p>
      <w:pPr>
        <w:ind w:left="620"/>
        <w:spacing w:after="0" w:line="245" w:lineRule="auto"/>
        <w:rPr>
          <w:sz w:val="20"/>
          <w:szCs w:val="20"/>
          <w:color w:val="auto"/>
        </w:rPr>
      </w:pPr>
      <w:r>
        <w:rPr>
          <w:rFonts w:ascii="Arial" w:cs="Arial" w:eastAsia="Arial" w:hAnsi="Arial"/>
          <w:sz w:val="17"/>
          <w:szCs w:val="17"/>
          <w:color w:val="58595B"/>
        </w:rPr>
        <w:t>On November 30, 2022, FNF entered into a Tax Sharing Agreement with F&amp;G and its domestic subsidiaries. Pursuant to such agreement, FNF will file, and F&amp;G and its domestic subsidiaries that are treated as corporations for U.S. federal income tax purposes, will join in the filing of, a consolidated U.S. federal income tax return on behalf of FNF and its domestic subsidiaries. F&amp;G and its subsidiaries will periodically make payments to FNF equal to the U.S. federal income taxes that F&amp;G and its subsidiaries would otherwise be required to pay if each were to file a separate U.S. federal income tax return for the applicable tax period. FNF will pay to F&amp;G and its subsidiaries any actual U.S. federal income tax savings attributable to any losses or tax credits generated by F&amp;G and its subsidiaries and used by FNF and its subsidiaries. FNF will generally control the conduct of any tax examination, audit or challenge involving such consolidated tax returns. To the extent appropriate, the provisions of the Tax Sharing Agreement apply with the same force and effect to any state or local income tax liabilities that are computed on a combined, consolidated or unitary method. The Tax Sharing Agreement will generally remain in effect with respect to any taxable periods for which F&amp;G and FNF are affiliated for U.S. federal income tax purposes until the expiration of the applicable statute of limitations.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727898"/>
        </w:rPr>
        <w:t>F&amp;G COMMON STOCK OFFERING</w:t>
      </w:r>
    </w:p>
    <w:p>
      <w:pPr>
        <w:spacing w:after="0" w:line="228" w:lineRule="exact"/>
        <w:rPr>
          <w:sz w:val="20"/>
          <w:szCs w:val="20"/>
          <w:color w:val="auto"/>
        </w:rPr>
      </w:pPr>
    </w:p>
    <w:p>
      <w:pPr>
        <w:jc w:val="both"/>
        <w:ind w:left="620" w:right="40"/>
        <w:spacing w:after="0" w:line="251" w:lineRule="auto"/>
        <w:rPr>
          <w:sz w:val="20"/>
          <w:szCs w:val="20"/>
          <w:color w:val="auto"/>
        </w:rPr>
      </w:pPr>
      <w:r>
        <w:rPr>
          <w:rFonts w:ascii="Arial" w:cs="Arial" w:eastAsia="Arial" w:hAnsi="Arial"/>
          <w:sz w:val="17"/>
          <w:szCs w:val="17"/>
          <w:color w:val="58595B"/>
        </w:rPr>
        <w:t xml:space="preserve">On March 24, 2025, F&amp;G completed the public offering of 8 million shares of its common stock. In connection with the offering, F&amp;G entered into an underwriting agreement (the </w:t>
      </w:r>
      <w:r>
        <w:rPr>
          <w:rFonts w:ascii="Arial" w:cs="Arial" w:eastAsia="Arial" w:hAnsi="Arial"/>
          <w:sz w:val="17"/>
          <w:szCs w:val="17"/>
          <w:i w:val="1"/>
          <w:iCs w:val="1"/>
          <w:color w:val="58595B"/>
        </w:rPr>
        <w:t>Underwriting Agreement</w:t>
      </w:r>
      <w:r>
        <w:rPr>
          <w:rFonts w:ascii="Arial" w:cs="Arial" w:eastAsia="Arial" w:hAnsi="Arial"/>
          <w:sz w:val="17"/>
          <w:szCs w:val="17"/>
          <w:color w:val="58595B"/>
        </w:rPr>
        <w:t>), pursuant to which F&amp;G granted the underwriters of the offering a 30-day option to purchase up to an additional 1.2 million shares of its common stock. Pursuant to the Underwriting Agreement, the underwriters of the offering agreed to resell to FNF 4.5 million of FG Common Stock in the offering, at the same price paid by the underwriters, which was $33.60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125095</wp:posOffset>
            </wp:positionV>
            <wp:extent cx="7144385" cy="2971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6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83</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420"/>
          </w:cols>
          <w:pgMar w:left="880" w:top="828" w:right="599" w:bottom="1440" w:gutter="0" w:footer="0" w:header="0"/>
        </w:sectPr>
      </w:pPr>
    </w:p>
    <w:bookmarkStart w:id="87" w:name="page88"/>
    <w:bookmarkEnd w:id="87"/>
    <w:p>
      <w:pPr>
        <w:ind w:left="1180"/>
        <w:spacing w:after="0"/>
        <w:rPr>
          <w:sz w:val="20"/>
          <w:szCs w:val="20"/>
          <w:color w:val="auto"/>
        </w:rPr>
      </w:pPr>
      <w:r>
        <w:rPr>
          <w:rFonts w:ascii="Arial" w:cs="Arial" w:eastAsia="Arial" w:hAnsi="Arial"/>
          <w:sz w:val="20"/>
          <w:szCs w:val="20"/>
          <w:b w:val="1"/>
          <w:bCs w:val="1"/>
          <w:color w:val="727898"/>
        </w:rPr>
        <w:t>SECOND F&amp;G DISTRIBUTION</w:t>
      </w:r>
    </w:p>
    <w:p>
      <w:pPr>
        <w:spacing w:after="0" w:line="218" w:lineRule="exact"/>
        <w:rPr>
          <w:sz w:val="20"/>
          <w:szCs w:val="20"/>
          <w:color w:val="auto"/>
        </w:rPr>
      </w:pPr>
    </w:p>
    <w:p>
      <w:pPr>
        <w:ind w:left="1180" w:right="400"/>
        <w:spacing w:after="0" w:line="241" w:lineRule="auto"/>
        <w:rPr>
          <w:sz w:val="20"/>
          <w:szCs w:val="20"/>
          <w:color w:val="auto"/>
        </w:rPr>
      </w:pPr>
      <w:r>
        <w:rPr>
          <w:rFonts w:ascii="Arial" w:cs="Arial" w:eastAsia="Arial" w:hAnsi="Arial"/>
          <w:sz w:val="18"/>
          <w:szCs w:val="18"/>
          <w:color w:val="58595B"/>
        </w:rPr>
        <w:t>On December 31, 2025, we completed a pro rata distribution of approximately 16 million shares of common stock of F&amp;G owned by FNF, representing approximately 12% of the outstanding shares of F&amp;G's common stock, to all of FNF's shareholders of record on December 17, 2025, which we refer to as the Second F&amp;G Distribution. FNF's shareholders received six shares of F&amp;G's common stock for every 100 shares of FNF's common stock.</w:t>
      </w:r>
    </w:p>
    <w:p>
      <w:pPr>
        <w:spacing w:after="0" w:line="179" w:lineRule="exact"/>
        <w:rPr>
          <w:sz w:val="20"/>
          <w:szCs w:val="20"/>
          <w:color w:val="auto"/>
        </w:rPr>
      </w:pPr>
    </w:p>
    <w:p>
      <w:pPr>
        <w:ind w:left="1180" w:right="580"/>
        <w:spacing w:after="0" w:line="241" w:lineRule="auto"/>
        <w:rPr>
          <w:sz w:val="20"/>
          <w:szCs w:val="20"/>
          <w:color w:val="auto"/>
        </w:rPr>
      </w:pPr>
      <w:r>
        <w:rPr>
          <w:rFonts w:ascii="Arial" w:cs="Arial" w:eastAsia="Arial" w:hAnsi="Arial"/>
          <w:sz w:val="18"/>
          <w:szCs w:val="18"/>
          <w:color w:val="58595B"/>
        </w:rPr>
        <w:t>No fractional shares of F&amp;G's common stock were distributed. Instead, FNF's shareholders received cash in lieu of any fraction of a share of F&amp;G's common stock that they otherwise would have received. The Second F&amp;G Distribution is structured as a taxable dividend to FNF shareholders for U.S. federal income tax purposes. Immediately following the Second F&amp;G Distribution, FNF owned approximately 70% of the common stock of F&amp;G.</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23"/>
          <w:szCs w:val="23"/>
          <w:b w:val="1"/>
          <w:bCs w:val="1"/>
          <w:color w:val="586D94"/>
        </w:rPr>
        <w:t>AGREEMENTS WITH CANNAE</w:t>
      </w:r>
    </w:p>
    <w:p>
      <w:pPr>
        <w:spacing w:after="0" w:line="239" w:lineRule="exact"/>
        <w:rPr>
          <w:sz w:val="20"/>
          <w:szCs w:val="20"/>
          <w:color w:val="auto"/>
        </w:rPr>
      </w:pPr>
    </w:p>
    <w:p>
      <w:pPr>
        <w:ind w:left="1180" w:right="220"/>
        <w:spacing w:after="0" w:line="245" w:lineRule="auto"/>
        <w:rPr>
          <w:sz w:val="20"/>
          <w:szCs w:val="20"/>
          <w:color w:val="auto"/>
        </w:rPr>
      </w:pPr>
      <w:r>
        <w:rPr>
          <w:rFonts w:ascii="Arial" w:cs="Arial" w:eastAsia="Arial" w:hAnsi="Arial"/>
          <w:sz w:val="17"/>
          <w:szCs w:val="17"/>
          <w:color w:val="58595B"/>
        </w:rPr>
        <w:t>On November 17, 2017, we completed the split-off, which we refer to as the Split-Off, of our former wholly-owned subsidiary Cannae Holdings, Inc., or Cannae, which consists of the businesses, assets and liabilities formerly attributed to our FNF Ventures Group. While we no longer hold an ownership interest in Cannae, our non-executive Chairman William P. Foley, II serves as Cannae's Vice-Chairman since May 2025, served as Cannae's Chief Executive Officer and Chief Investment Officer from February 2024 until May 2025, and served as Cannae's Chairman of the Board from July 2017 until May 2025. In addition, our director Douglas K. Ammerman has served as independent Chairman of the Board of Cannae since May 2025 and a director of Cannae since February 2024; Peter T. Sadowski, our Executive Vice President and Chief Legal Officer, also serves as Executive Vice President and Chief Legal Officer of Cannae; and Michael L. Gravelle, our Executive Vice President, General Counsel and Corporate Secretary, serves as Executive Vice President, General Counsel and Corporate Secretary of Cannae. In order to govern certain of the ongoing relationships between us and Cannae and to provide mechanisms for an orderly transition, we are party to certain agreements with Cannae, the terms of which are summarized below.</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CORPORATE SERVICES AGREEMENT</w:t>
      </w:r>
    </w:p>
    <w:p>
      <w:pPr>
        <w:spacing w:after="0" w:line="228" w:lineRule="exact"/>
        <w:rPr>
          <w:sz w:val="20"/>
          <w:szCs w:val="20"/>
          <w:color w:val="auto"/>
        </w:rPr>
      </w:pPr>
    </w:p>
    <w:p>
      <w:pPr>
        <w:jc w:val="both"/>
        <w:ind w:left="1180" w:right="380"/>
        <w:spacing w:after="0" w:line="260" w:lineRule="auto"/>
        <w:rPr>
          <w:sz w:val="20"/>
          <w:szCs w:val="20"/>
          <w:color w:val="auto"/>
        </w:rPr>
      </w:pPr>
      <w:r>
        <w:rPr>
          <w:rFonts w:ascii="Arial" w:cs="Arial" w:eastAsia="Arial" w:hAnsi="Arial"/>
          <w:sz w:val="17"/>
          <w:szCs w:val="17"/>
          <w:color w:val="58595B"/>
        </w:rPr>
        <w:t>We are party to a corporate services agreement with Cannae (the corporate services agreement) pursuant to which we provide Cannae with certain services, including insurance administration, legal, information technology support, treasury management and other services.</w:t>
      </w:r>
    </w:p>
    <w:p>
      <w:pPr>
        <w:spacing w:after="0" w:line="169" w:lineRule="exact"/>
        <w:rPr>
          <w:sz w:val="20"/>
          <w:szCs w:val="20"/>
          <w:color w:val="auto"/>
        </w:rPr>
      </w:pPr>
    </w:p>
    <w:p>
      <w:pPr>
        <w:ind w:left="1180" w:right="460"/>
        <w:spacing w:after="0" w:line="266" w:lineRule="auto"/>
        <w:rPr>
          <w:sz w:val="20"/>
          <w:szCs w:val="20"/>
          <w:color w:val="auto"/>
        </w:rPr>
      </w:pPr>
      <w:r>
        <w:rPr>
          <w:rFonts w:ascii="Arial" w:cs="Arial" w:eastAsia="Arial" w:hAnsi="Arial"/>
          <w:sz w:val="18"/>
          <w:szCs w:val="18"/>
          <w:color w:val="58595B"/>
        </w:rPr>
        <w:t>We received $260,920 from Cannae in consideration of services provided by us under the corporate services agreement during 2025.</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727898"/>
        </w:rPr>
        <w:t>REVOLVER NOTE</w:t>
      </w:r>
    </w:p>
    <w:p>
      <w:pPr>
        <w:spacing w:after="0" w:line="228" w:lineRule="exact"/>
        <w:rPr>
          <w:sz w:val="20"/>
          <w:szCs w:val="20"/>
          <w:color w:val="auto"/>
        </w:rPr>
      </w:pPr>
    </w:p>
    <w:p>
      <w:pPr>
        <w:ind w:left="1180" w:right="340"/>
        <w:spacing w:after="0" w:line="247" w:lineRule="auto"/>
        <w:rPr>
          <w:sz w:val="20"/>
          <w:szCs w:val="20"/>
          <w:color w:val="auto"/>
        </w:rPr>
      </w:pPr>
      <w:r>
        <w:rPr>
          <w:rFonts w:ascii="Arial" w:cs="Arial" w:eastAsia="Arial" w:hAnsi="Arial"/>
          <w:sz w:val="17"/>
          <w:szCs w:val="17"/>
          <w:color w:val="58595B"/>
        </w:rPr>
        <w:t>We entered into a revolver note with Cannae, which allows Cannae to borrow revolving loans from us from time to time in an aggregate amount not to exceed $100 million. The revolving loans accrue interest at Term SOFR plus 450 basis points and mature on November 17, 2025. The maturity date is automatically extended for additional five-year terms unless notice of non-renewal is otherwise provided by either FNF or Cannae, in their sole discretion. On May 15, 2022, we entered into an amended and restated revolver note with Cannae (the Amended Cannae Revolver), which limited the use of proceeds from borrowings to the repurchase of Cannae common stock from us. Cannae completed the repurchase of common stock from us in the second quarter of 2022. On January 29, 2024, the Amended Cannae Revolver was amended to reduce the borrowing capacity to $60.0 million and change the interest rate to a fixed rate of 7.0% per annum.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84</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8" w:right="339" w:bottom="1440" w:gutter="0" w:footer="0" w:header="0"/>
        </w:sectPr>
      </w:pPr>
    </w:p>
    <w:bookmarkStart w:id="88" w:name="page89"/>
    <w:bookmarkEnd w:id="88"/>
    <w:p>
      <w:pPr>
        <w:ind w:left="620" w:right="60"/>
        <w:spacing w:after="0" w:line="241" w:lineRule="auto"/>
        <w:rPr>
          <w:sz w:val="20"/>
          <w:szCs w:val="20"/>
          <w:color w:val="auto"/>
        </w:rPr>
      </w:pPr>
      <w:r>
        <w:rPr>
          <w:rFonts w:ascii="Arial" w:cs="Arial" w:eastAsia="Arial" w:hAnsi="Arial"/>
          <w:sz w:val="18"/>
          <w:szCs w:val="18"/>
          <w:color w:val="58595B"/>
        </w:rPr>
        <w:t>On March 20, 2025, we acquired the property located at 1701 Village Center Circle, Las Vegas, Nevada from Cannae's for a purchase price of $12 million. As consideration for the property, we agreed to reduce the outstanding principal under the Amended Cannae Revolver by the purchase price. Additionally, the Amended Cannae Revolver was amended to reduce the borrowing capacity to $47.5 million with a current applicable interest rate of 5.0% per annum.</w:t>
      </w:r>
    </w:p>
    <w:p>
      <w:pPr>
        <w:spacing w:after="0" w:line="179" w:lineRule="exact"/>
        <w:rPr>
          <w:sz w:val="20"/>
          <w:szCs w:val="20"/>
          <w:color w:val="auto"/>
        </w:rPr>
      </w:pPr>
    </w:p>
    <w:p>
      <w:pPr>
        <w:jc w:val="both"/>
        <w:ind w:left="620" w:right="320"/>
        <w:spacing w:after="0" w:line="266" w:lineRule="auto"/>
        <w:rPr>
          <w:sz w:val="20"/>
          <w:szCs w:val="20"/>
          <w:color w:val="auto"/>
        </w:rPr>
      </w:pPr>
      <w:r>
        <w:rPr>
          <w:rFonts w:ascii="Arial" w:cs="Arial" w:eastAsia="Arial" w:hAnsi="Arial"/>
          <w:sz w:val="18"/>
          <w:szCs w:val="18"/>
          <w:color w:val="58595B"/>
        </w:rPr>
        <w:t>As of December 31, 2025, there was an outstanding balance of $47.5 million under the Amended Cannae Revolver. In fiscal year 2025, Cannae paid $2.8 million of interest to us related to borrowings under the Amended Cannae Revolver.</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3"/>
          <w:szCs w:val="23"/>
          <w:b w:val="1"/>
          <w:bCs w:val="1"/>
          <w:color w:val="586D94"/>
        </w:rPr>
        <w:t>OTHER RELATED PARTY TRANSACTIONS</w:t>
      </w:r>
    </w:p>
    <w:p>
      <w:pPr>
        <w:spacing w:after="0" w:line="234" w:lineRule="exact"/>
        <w:rPr>
          <w:sz w:val="20"/>
          <w:szCs w:val="20"/>
          <w:color w:val="auto"/>
        </w:rPr>
      </w:pPr>
    </w:p>
    <w:p>
      <w:pPr>
        <w:jc w:val="both"/>
        <w:ind w:left="620"/>
        <w:spacing w:after="0" w:line="246" w:lineRule="auto"/>
        <w:rPr>
          <w:sz w:val="20"/>
          <w:szCs w:val="20"/>
          <w:color w:val="auto"/>
        </w:rPr>
      </w:pPr>
      <w:r>
        <w:rPr>
          <w:rFonts w:ascii="Arial" w:cs="Arial" w:eastAsia="Arial" w:hAnsi="Arial"/>
          <w:sz w:val="16"/>
          <w:szCs w:val="16"/>
          <w:color w:val="58595B"/>
        </w:rPr>
        <w:t>During 2025, we paid, in the ordinary course of business, amounts to certain companies owned in whole or part by Mr. Foley including: $670,623 to Rock Creek Cattle Company, Ltd. and affiliated companies related primarily to hosting Company events, $878,212 to Black Knight Sports and Entertainment, LLC related primarily to the purchase of season tickets and other tickets used for client entertainment and employee recognition, $315,512 to Foley Family Wines for wine purchases related to employee recognitions, and $77,689 to Mr.</w:t>
      </w:r>
    </w:p>
    <w:p>
      <w:pPr>
        <w:spacing w:after="0" w:line="1" w:lineRule="exact"/>
        <w:rPr>
          <w:sz w:val="20"/>
          <w:szCs w:val="20"/>
          <w:color w:val="auto"/>
        </w:rPr>
      </w:pPr>
    </w:p>
    <w:p>
      <w:pPr>
        <w:ind w:left="620" w:right="60"/>
        <w:spacing w:after="0" w:line="248" w:lineRule="auto"/>
        <w:rPr>
          <w:sz w:val="20"/>
          <w:szCs w:val="20"/>
          <w:color w:val="auto"/>
        </w:rPr>
      </w:pPr>
      <w:r>
        <w:rPr>
          <w:rFonts w:ascii="Arial" w:cs="Arial" w:eastAsia="Arial" w:hAnsi="Arial"/>
          <w:sz w:val="16"/>
          <w:szCs w:val="16"/>
          <w:color w:val="58595B"/>
        </w:rPr>
        <w:t>Foley's other affiliated companies primarily for travel to and hosting Company events. We believe the amounts charged to us in the foregoing transactions were fair and reasonable and represent market rates that would be charged to unaffiliated third-party customers for the same types of services. We believe that FNF receives intangible business benefits as a result of these activities as they foster increased loyalty to the Company.</w:t>
      </w:r>
    </w:p>
    <w:p>
      <w:pPr>
        <w:spacing w:after="0" w:line="180" w:lineRule="exact"/>
        <w:rPr>
          <w:sz w:val="20"/>
          <w:szCs w:val="20"/>
          <w:color w:val="auto"/>
        </w:rPr>
      </w:pPr>
    </w:p>
    <w:p>
      <w:pPr>
        <w:ind w:left="620" w:right="60"/>
        <w:spacing w:after="0" w:line="266" w:lineRule="auto"/>
        <w:rPr>
          <w:sz w:val="20"/>
          <w:szCs w:val="20"/>
          <w:color w:val="auto"/>
        </w:rPr>
      </w:pPr>
      <w:r>
        <w:rPr>
          <w:rFonts w:ascii="Arial" w:cs="Arial" w:eastAsia="Arial" w:hAnsi="Arial"/>
          <w:sz w:val="18"/>
          <w:szCs w:val="18"/>
          <w:color w:val="58595B"/>
        </w:rPr>
        <w:t>In 2025, we paid $756,380 to Trasimene Capital Management, LLC and received $735,445 from Cannae related to aircraft operational costs.</w:t>
      </w:r>
    </w:p>
    <w:p>
      <w:pPr>
        <w:spacing w:after="0" w:line="162" w:lineRule="exact"/>
        <w:rPr>
          <w:sz w:val="20"/>
          <w:szCs w:val="20"/>
          <w:color w:val="auto"/>
        </w:rPr>
      </w:pPr>
    </w:p>
    <w:p>
      <w:pPr>
        <w:ind w:left="620" w:right="140"/>
        <w:spacing w:after="0" w:line="262" w:lineRule="auto"/>
        <w:rPr>
          <w:sz w:val="20"/>
          <w:szCs w:val="20"/>
          <w:color w:val="auto"/>
        </w:rPr>
      </w:pPr>
      <w:r>
        <w:rPr>
          <w:rFonts w:ascii="Arial" w:cs="Arial" w:eastAsia="Arial" w:hAnsi="Arial"/>
          <w:sz w:val="16"/>
          <w:szCs w:val="16"/>
          <w:color w:val="58595B"/>
        </w:rPr>
        <w:t>Certain of the subsidiaries of F&amp;G are party to investment management agreements (IMAs) with Blackstone ISG-I Advisors LLC (BIS) pursuant to which BIS is appointed as investment manager of substantially all assets in the general and separate accounts of those entities (the F&amp;G Accounts).</w:t>
      </w:r>
    </w:p>
    <w:p>
      <w:pPr>
        <w:spacing w:after="0" w:line="174" w:lineRule="exact"/>
        <w:rPr>
          <w:sz w:val="20"/>
          <w:szCs w:val="20"/>
          <w:color w:val="auto"/>
        </w:rPr>
      </w:pPr>
    </w:p>
    <w:p>
      <w:pPr>
        <w:ind w:left="620" w:right="40"/>
        <w:spacing w:after="0" w:line="244" w:lineRule="auto"/>
        <w:rPr>
          <w:sz w:val="20"/>
          <w:szCs w:val="20"/>
          <w:color w:val="auto"/>
        </w:rPr>
      </w:pPr>
      <w:r>
        <w:rPr>
          <w:rFonts w:ascii="Arial" w:cs="Arial" w:eastAsia="Arial" w:hAnsi="Arial"/>
          <w:sz w:val="16"/>
          <w:szCs w:val="16"/>
          <w:color w:val="58595B"/>
        </w:rPr>
        <w:t>MVB Management, LLC (MVB Management), an entity that is 50% owned by BilCar, LLC (BilCar, which is an affiliate of our non-executive Chairman and F&amp;G's Executive Chairman William P. Foley, II) receives a participation fee from BIS in connection with assets of F&amp;G and its subsidiaries that are managed by BIS. BIS also receives services from MVB Management. Pursuant to the investment management agreements between F&amp;G and BIS, BIS paid MVB Management a participation fee of approximately 15% of certain fees paid to BIS and its affiliates for assets under management (AUM) relating to new business AUM (New AUM) generated prior to March 31, 2023 and pays MVB Management a fee of approximately 7.5% of certain fees paid to BIS and its affiliates relating to New AUM generated after March 31, 2023. In March 2023, BilCar waived its right to receive any portion of payments made by BIS to MVB Management in respect of such New AUM. Additionally, in March 2023, F&amp;G entered into an agreement with BilCar to pay BilCar the fees that it would have received through MVB Management from BIS over the 10-year period ending March 31, 2033. BilCar received payments totaling $7.9 million from MVB Management in 2025. BilCar received payments totaling $2.9 million from F&amp;G in 2025 based on the terms of the agreement. F&amp;G is not a party to the agreements between BIS and MVB Management and does not pay, and is not responsible for, any fees paid to MVB Management by BIS thereunder.</w:t>
      </w:r>
    </w:p>
    <w:p>
      <w:pPr>
        <w:spacing w:after="0" w:line="191" w:lineRule="exact"/>
        <w:rPr>
          <w:sz w:val="20"/>
          <w:szCs w:val="20"/>
          <w:color w:val="auto"/>
        </w:rPr>
      </w:pPr>
    </w:p>
    <w:p>
      <w:pPr>
        <w:ind w:left="620" w:right="700"/>
        <w:spacing w:after="0" w:line="266" w:lineRule="auto"/>
        <w:rPr>
          <w:sz w:val="20"/>
          <w:szCs w:val="20"/>
          <w:color w:val="auto"/>
        </w:rPr>
      </w:pPr>
      <w:r>
        <w:rPr>
          <w:rFonts w:ascii="Arial" w:cs="Arial" w:eastAsia="Arial" w:hAnsi="Arial"/>
          <w:sz w:val="18"/>
          <w:szCs w:val="18"/>
          <w:color w:val="58595B"/>
        </w:rPr>
        <w:t>Our related person transaction committee has reviewed and approved each of the transactions described above in accordance with the terms of our RPT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113665</wp:posOffset>
            </wp:positionV>
            <wp:extent cx="7144385" cy="297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4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85</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440"/>
          </w:cols>
          <w:pgMar w:left="880" w:top="833" w:right="579" w:bottom="1440" w:gutter="0" w:footer="0" w:header="0"/>
        </w:sectPr>
      </w:pPr>
    </w:p>
    <w:bookmarkStart w:id="89" w:name="page90"/>
    <w:bookmarkEnd w:id="89"/>
    <w:p>
      <w:pPr>
        <w:ind w:left="1180"/>
        <w:spacing w:after="0"/>
        <w:rPr>
          <w:sz w:val="20"/>
          <w:szCs w:val="20"/>
          <w:color w:val="auto"/>
        </w:rPr>
      </w:pPr>
      <w:r>
        <w:rPr>
          <w:rFonts w:ascii="Arial" w:cs="Arial" w:eastAsia="Arial" w:hAnsi="Arial"/>
          <w:sz w:val="23"/>
          <w:szCs w:val="23"/>
          <w:b w:val="1"/>
          <w:bCs w:val="1"/>
          <w:color w:val="586D94"/>
        </w:rPr>
        <w:t>REVIEW, APPROVAL OR RATIFICATION OF TRANSACTIONS WITH RELATED PERSONS</w:t>
      </w:r>
    </w:p>
    <w:p>
      <w:pPr>
        <w:spacing w:after="0" w:line="230" w:lineRule="exact"/>
        <w:rPr>
          <w:sz w:val="20"/>
          <w:szCs w:val="20"/>
          <w:color w:val="auto"/>
        </w:rPr>
      </w:pPr>
    </w:p>
    <w:p>
      <w:pPr>
        <w:ind w:left="1180" w:right="220"/>
        <w:spacing w:after="0" w:line="232" w:lineRule="auto"/>
        <w:rPr>
          <w:sz w:val="20"/>
          <w:szCs w:val="20"/>
          <w:color w:val="auto"/>
        </w:rPr>
      </w:pPr>
      <w:r>
        <w:rPr>
          <w:rFonts w:ascii="Arial" w:cs="Arial" w:eastAsia="Arial" w:hAnsi="Arial"/>
          <w:sz w:val="18"/>
          <w:szCs w:val="18"/>
          <w:color w:val="58595B"/>
        </w:rPr>
        <w:t>In August 2022, our board adopted the RPT Policy setting forth the policies and procedures for the reporting, review and approval or ratification of transactions with Related Persons covered by the RPT Policy. The RPT policy covers any transaction, arrangement or series of transactions or arrangements in which the Company or any of its subsidiaries participates (whether or not we are a party) and a Related Person has or will have a direct or indirect material interest in such transaction and the amount involved exceeds $120,000 (a Related Person Transaction). Related Persons under the RPT Policy are (i) our directors, director nominees or executive officers, (ii) any beneficial owner of more than 5% of our common stock or any immediate family member of such holder, or (iii) any firm, corporation or entity in which any director or executive officer is a partner, principal, managing member, executive officer or who holds a 50% or greater beneficial ownership interest. The Policy is overseen by our related person transaction committee. The Chief Legal Officer or General Counsel (together with the Chair of the related person transaction committee) will review reported transactions to determine if they could be a Related Person Transaction. Any Related Person Transaction will be reported to the related person transaction committee with a summary of material facts for review and approval or ratification. Under the RPT Policy, in reviewing any Related Person Transaction, our related person transaction committee considers the relevant facts and circumstances, and whether the transaction is in, or not inconsistent with, the best interests of the Company.</w:t>
      </w:r>
    </w:p>
    <w:p>
      <w:pPr>
        <w:spacing w:after="0" w:line="181" w:lineRule="exact"/>
        <w:rPr>
          <w:sz w:val="20"/>
          <w:szCs w:val="20"/>
          <w:color w:val="auto"/>
        </w:rPr>
      </w:pPr>
    </w:p>
    <w:p>
      <w:pPr>
        <w:ind w:left="1180" w:right="720"/>
        <w:spacing w:after="0" w:line="266" w:lineRule="auto"/>
        <w:rPr>
          <w:sz w:val="20"/>
          <w:szCs w:val="20"/>
          <w:color w:val="auto"/>
        </w:rPr>
      </w:pPr>
      <w:r>
        <w:rPr>
          <w:rFonts w:ascii="Arial" w:cs="Arial" w:eastAsia="Arial" w:hAnsi="Arial"/>
          <w:sz w:val="18"/>
          <w:szCs w:val="18"/>
          <w:color w:val="58595B"/>
        </w:rPr>
        <w:t>In addition to the RPT Policy, the provisions of the Company's Code of Business Conduct and Ethics and the Code of Ethics for Senior Financial Officers may apply to potential conflict of interest situations.</w:t>
      </w:r>
    </w:p>
    <w:p>
      <w:pPr>
        <w:spacing w:after="0" w:line="157" w:lineRule="exact"/>
        <w:rPr>
          <w:sz w:val="20"/>
          <w:szCs w:val="20"/>
          <w:color w:val="auto"/>
        </w:rPr>
      </w:pPr>
    </w:p>
    <w:p>
      <w:pPr>
        <w:ind w:left="1180" w:right="240"/>
        <w:spacing w:after="0" w:line="236" w:lineRule="auto"/>
        <w:rPr>
          <w:sz w:val="20"/>
          <w:szCs w:val="20"/>
          <w:color w:val="auto"/>
        </w:rPr>
      </w:pPr>
      <w:r>
        <w:rPr>
          <w:rFonts w:ascii="Arial" w:cs="Arial" w:eastAsia="Arial" w:hAnsi="Arial"/>
          <w:sz w:val="18"/>
          <w:szCs w:val="18"/>
          <w:color w:val="58595B"/>
        </w:rPr>
        <w:t>Pursuant to our codes of ethics, a "conflict of interest" occurs when an individual's private interest interferes or appears to interfere with our interests, and can arise when a director, officer or employee takes actions or has interests that may make it difficult to perform his or her work objectively and effectively. Anything that would present a conflict for a director, officer or employee would also likely present a conflict if it were related to a member of his or her family. Our code of ethics states that clear conflict of interest situations involving directors, executive officers and other employees who occupy supervisory positions or who have discretionary authority in dealing with any third party specified below may include the following:</w:t>
      </w:r>
    </w:p>
    <w:p>
      <w:pPr>
        <w:spacing w:after="0" w:line="184" w:lineRule="exact"/>
        <w:rPr>
          <w:sz w:val="20"/>
          <w:szCs w:val="20"/>
          <w:color w:val="auto"/>
        </w:rPr>
      </w:pPr>
    </w:p>
    <w:p>
      <w:pPr>
        <w:ind w:left="2000" w:hanging="523"/>
        <w:spacing w:after="0"/>
        <w:tabs>
          <w:tab w:leader="none" w:pos="2000" w:val="left"/>
        </w:tabs>
        <w:numPr>
          <w:ilvl w:val="0"/>
          <w:numId w:val="77"/>
        </w:numPr>
        <w:rPr>
          <w:rFonts w:ascii="Arial" w:cs="Arial" w:eastAsia="Arial" w:hAnsi="Arial"/>
          <w:sz w:val="18"/>
          <w:szCs w:val="18"/>
          <w:color w:val="58595B"/>
        </w:rPr>
      </w:pPr>
      <w:r>
        <w:rPr>
          <w:rFonts w:ascii="Arial" w:cs="Arial" w:eastAsia="Arial" w:hAnsi="Arial"/>
          <w:sz w:val="18"/>
          <w:szCs w:val="18"/>
          <w:color w:val="58595B"/>
        </w:rPr>
        <w:t>Any significant ownership interest in any supplier or customer;</w:t>
      </w:r>
    </w:p>
    <w:p>
      <w:pPr>
        <w:spacing w:after="0" w:line="187" w:lineRule="exact"/>
        <w:rPr>
          <w:rFonts w:ascii="Arial" w:cs="Arial" w:eastAsia="Arial" w:hAnsi="Arial"/>
          <w:sz w:val="18"/>
          <w:szCs w:val="18"/>
          <w:color w:val="58595B"/>
        </w:rPr>
      </w:pPr>
    </w:p>
    <w:p>
      <w:pPr>
        <w:ind w:left="2000" w:hanging="523"/>
        <w:spacing w:after="0"/>
        <w:tabs>
          <w:tab w:leader="none" w:pos="2000" w:val="left"/>
        </w:tabs>
        <w:numPr>
          <w:ilvl w:val="0"/>
          <w:numId w:val="77"/>
        </w:numPr>
        <w:rPr>
          <w:rFonts w:ascii="Arial" w:cs="Arial" w:eastAsia="Arial" w:hAnsi="Arial"/>
          <w:sz w:val="18"/>
          <w:szCs w:val="18"/>
          <w:color w:val="58595B"/>
        </w:rPr>
      </w:pPr>
      <w:r>
        <w:rPr>
          <w:rFonts w:ascii="Arial" w:cs="Arial" w:eastAsia="Arial" w:hAnsi="Arial"/>
          <w:sz w:val="18"/>
          <w:szCs w:val="18"/>
          <w:color w:val="58595B"/>
        </w:rPr>
        <w:t>Any consulting or employment relationship with any customer, supplier or competitor; and</w:t>
      </w:r>
    </w:p>
    <w:p>
      <w:pPr>
        <w:spacing w:after="0" w:line="187" w:lineRule="exact"/>
        <w:rPr>
          <w:rFonts w:ascii="Arial" w:cs="Arial" w:eastAsia="Arial" w:hAnsi="Arial"/>
          <w:sz w:val="18"/>
          <w:szCs w:val="18"/>
          <w:color w:val="58595B"/>
        </w:rPr>
      </w:pPr>
    </w:p>
    <w:p>
      <w:pPr>
        <w:ind w:left="2000" w:hanging="523"/>
        <w:spacing w:after="0" w:line="266" w:lineRule="auto"/>
        <w:tabs>
          <w:tab w:leader="none" w:pos="2000" w:val="left"/>
        </w:tabs>
        <w:numPr>
          <w:ilvl w:val="0"/>
          <w:numId w:val="77"/>
        </w:numPr>
        <w:rPr>
          <w:rFonts w:ascii="Arial" w:cs="Arial" w:eastAsia="Arial" w:hAnsi="Arial"/>
          <w:sz w:val="18"/>
          <w:szCs w:val="18"/>
          <w:color w:val="58595B"/>
        </w:rPr>
      </w:pPr>
      <w:r>
        <w:rPr>
          <w:rFonts w:ascii="Arial" w:cs="Arial" w:eastAsia="Arial" w:hAnsi="Arial"/>
          <w:sz w:val="18"/>
          <w:szCs w:val="18"/>
          <w:color w:val="58595B"/>
        </w:rPr>
        <w:t>Selling anything to us or buying anything from us, except on the same terms and conditions as comparable directors, officers or employees are permitted to so purchase or sell.</w:t>
      </w:r>
    </w:p>
    <w:p>
      <w:pPr>
        <w:spacing w:after="0" w:line="157" w:lineRule="exact"/>
        <w:rPr>
          <w:sz w:val="20"/>
          <w:szCs w:val="20"/>
          <w:color w:val="auto"/>
        </w:rPr>
      </w:pPr>
    </w:p>
    <w:p>
      <w:pPr>
        <w:ind w:left="1180" w:right="220"/>
        <w:spacing w:after="0" w:line="235" w:lineRule="auto"/>
        <w:rPr>
          <w:sz w:val="20"/>
          <w:szCs w:val="20"/>
          <w:color w:val="auto"/>
        </w:rPr>
      </w:pPr>
      <w:r>
        <w:rPr>
          <w:rFonts w:ascii="Arial" w:cs="Arial" w:eastAsia="Arial" w:hAnsi="Arial"/>
          <w:sz w:val="18"/>
          <w:szCs w:val="18"/>
          <w:color w:val="58595B"/>
        </w:rPr>
        <w:t>Our policy has been to review all relationships and transactions in which we and our directors or executive officers (or their immediate family members) are participants to determine whether the director or officer in question has or may have a direct or indirect material interest. Our Chief Compliance Officer, together with our legal staff, is primarily responsible for developing and implementing procedures to obtain the necessary information from our directors and officers regarding potential conflicts of interest. Any relationship that could reasonably be expected to give rise to a conflict of interest must be discussed promptly with our Chief Compliance Officer. The Chief Compliance Officer, together with our legal staff, then reviews the relationship, and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86</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2" w:right="339" w:bottom="1440" w:gutter="0" w:footer="0" w:header="0"/>
        </w:sectPr>
      </w:pPr>
    </w:p>
    <w:bookmarkStart w:id="90" w:name="page91"/>
    <w:bookmarkEnd w:id="90"/>
    <w:p>
      <w:pPr>
        <w:ind w:left="620" w:right="320"/>
        <w:spacing w:after="0" w:line="238" w:lineRule="auto"/>
        <w:rPr>
          <w:sz w:val="20"/>
          <w:szCs w:val="20"/>
          <w:color w:val="auto"/>
        </w:rPr>
      </w:pPr>
      <w:r>
        <w:rPr>
          <w:rFonts w:ascii="Arial" w:cs="Arial" w:eastAsia="Arial" w:hAnsi="Arial"/>
          <w:sz w:val="18"/>
          <w:szCs w:val="18"/>
          <w:color w:val="58595B"/>
        </w:rPr>
        <w:t>considers the material terms of the relationship, including the importance of the relationship to us, the nature of the related person's interest in the relationship, whether the relationship would likely impair the judgment of a director or executive officer to act in our best interest, and any other factors such officer deems appropriate. After reviewing the facts and circumstances of each relationship, the Chief Compliance Officer, with assistance from the legal staff, determines whether the relationship is permissible under our Code of Conduct.</w:t>
      </w:r>
    </w:p>
    <w:p>
      <w:pPr>
        <w:spacing w:after="0" w:line="181" w:lineRule="exact"/>
        <w:rPr>
          <w:sz w:val="20"/>
          <w:szCs w:val="20"/>
          <w:color w:val="auto"/>
        </w:rPr>
      </w:pPr>
    </w:p>
    <w:p>
      <w:pPr>
        <w:ind w:left="620" w:right="240"/>
        <w:spacing w:after="0" w:line="247" w:lineRule="auto"/>
        <w:rPr>
          <w:sz w:val="20"/>
          <w:szCs w:val="20"/>
          <w:color w:val="auto"/>
        </w:rPr>
      </w:pPr>
      <w:r>
        <w:rPr>
          <w:rFonts w:ascii="Arial" w:cs="Arial" w:eastAsia="Arial" w:hAnsi="Arial"/>
          <w:sz w:val="18"/>
          <w:szCs w:val="18"/>
          <w:color w:val="58595B"/>
        </w:rPr>
        <w:t>With respect to our Chief Executive Officer, Chief Financial Officer and Chief Accounting Officer, except to the extent authority has been delegated to the related person transaction committee under the RPT Policy, our codes of ethics require that each such officer must:</w:t>
      </w:r>
    </w:p>
    <w:p>
      <w:pPr>
        <w:spacing w:after="0" w:line="174" w:lineRule="exact"/>
        <w:rPr>
          <w:sz w:val="20"/>
          <w:szCs w:val="20"/>
          <w:color w:val="auto"/>
        </w:rPr>
      </w:pPr>
    </w:p>
    <w:p>
      <w:pPr>
        <w:ind w:left="1440" w:hanging="523"/>
        <w:spacing w:after="0" w:line="266" w:lineRule="auto"/>
        <w:tabs>
          <w:tab w:leader="none" w:pos="1440" w:val="left"/>
        </w:tabs>
        <w:numPr>
          <w:ilvl w:val="0"/>
          <w:numId w:val="78"/>
        </w:numPr>
        <w:rPr>
          <w:rFonts w:ascii="Arial" w:cs="Arial" w:eastAsia="Arial" w:hAnsi="Arial"/>
          <w:sz w:val="18"/>
          <w:szCs w:val="18"/>
          <w:color w:val="58595B"/>
        </w:rPr>
      </w:pPr>
      <w:r>
        <w:rPr>
          <w:rFonts w:ascii="Arial" w:cs="Arial" w:eastAsia="Arial" w:hAnsi="Arial"/>
          <w:sz w:val="18"/>
          <w:szCs w:val="18"/>
          <w:color w:val="58595B"/>
        </w:rPr>
        <w:t>Discuss any material transaction or relationship that could reasonably be expected to give rise to a conflict of interest with our General Counsel;</w:t>
      </w:r>
    </w:p>
    <w:p>
      <w:pPr>
        <w:spacing w:after="0" w:line="132" w:lineRule="exact"/>
        <w:rPr>
          <w:rFonts w:ascii="Arial" w:cs="Arial" w:eastAsia="Arial" w:hAnsi="Arial"/>
          <w:sz w:val="18"/>
          <w:szCs w:val="18"/>
          <w:color w:val="58595B"/>
        </w:rPr>
      </w:pPr>
    </w:p>
    <w:p>
      <w:pPr>
        <w:ind w:left="1440" w:right="320" w:hanging="523"/>
        <w:spacing w:after="0" w:line="247" w:lineRule="auto"/>
        <w:tabs>
          <w:tab w:leader="none" w:pos="1440" w:val="left"/>
        </w:tabs>
        <w:numPr>
          <w:ilvl w:val="0"/>
          <w:numId w:val="78"/>
        </w:numPr>
        <w:rPr>
          <w:rFonts w:ascii="Arial" w:cs="Arial" w:eastAsia="Arial" w:hAnsi="Arial"/>
          <w:sz w:val="18"/>
          <w:szCs w:val="18"/>
          <w:color w:val="58595B"/>
        </w:rPr>
      </w:pPr>
      <w:r>
        <w:rPr>
          <w:rFonts w:ascii="Arial" w:cs="Arial" w:eastAsia="Arial" w:hAnsi="Arial"/>
          <w:sz w:val="18"/>
          <w:szCs w:val="18"/>
          <w:color w:val="58595B"/>
        </w:rPr>
        <w:t>In the case of our Chief Financial Officer and Chief Accounting Officer, obtain the prior written approval of our General Counsel for all material transactions or relationships that could reasonably be expected to give rise to a conflict of interest; and</w:t>
      </w:r>
    </w:p>
    <w:p>
      <w:pPr>
        <w:spacing w:after="0" w:line="149" w:lineRule="exact"/>
        <w:rPr>
          <w:rFonts w:ascii="Arial" w:cs="Arial" w:eastAsia="Arial" w:hAnsi="Arial"/>
          <w:sz w:val="18"/>
          <w:szCs w:val="18"/>
          <w:color w:val="58595B"/>
        </w:rPr>
      </w:pPr>
    </w:p>
    <w:p>
      <w:pPr>
        <w:ind w:left="1440" w:right="1020" w:hanging="523"/>
        <w:spacing w:after="0" w:line="266" w:lineRule="auto"/>
        <w:tabs>
          <w:tab w:leader="none" w:pos="1440" w:val="left"/>
        </w:tabs>
        <w:numPr>
          <w:ilvl w:val="0"/>
          <w:numId w:val="78"/>
        </w:numPr>
        <w:rPr>
          <w:rFonts w:ascii="Arial" w:cs="Arial" w:eastAsia="Arial" w:hAnsi="Arial"/>
          <w:sz w:val="18"/>
          <w:szCs w:val="18"/>
          <w:color w:val="58595B"/>
        </w:rPr>
      </w:pPr>
      <w:r>
        <w:rPr>
          <w:rFonts w:ascii="Arial" w:cs="Arial" w:eastAsia="Arial" w:hAnsi="Arial"/>
          <w:sz w:val="18"/>
          <w:szCs w:val="18"/>
          <w:color w:val="58595B"/>
        </w:rPr>
        <w:t>In the case of our Chief Executive Officer, obtain the prior written approval of the audit committee for all material transactions that could reasonably be expected to give rise to a conflict of interest.</w:t>
      </w:r>
    </w:p>
    <w:p>
      <w:pPr>
        <w:spacing w:after="0" w:line="157" w:lineRule="exact"/>
        <w:rPr>
          <w:sz w:val="20"/>
          <w:szCs w:val="20"/>
          <w:color w:val="auto"/>
        </w:rPr>
      </w:pPr>
    </w:p>
    <w:p>
      <w:pPr>
        <w:ind w:left="620" w:right="340"/>
        <w:spacing w:after="0" w:line="247" w:lineRule="auto"/>
        <w:rPr>
          <w:sz w:val="20"/>
          <w:szCs w:val="20"/>
          <w:color w:val="auto"/>
        </w:rPr>
      </w:pPr>
      <w:r>
        <w:rPr>
          <w:rFonts w:ascii="Arial" w:cs="Arial" w:eastAsia="Arial" w:hAnsi="Arial"/>
          <w:sz w:val="18"/>
          <w:szCs w:val="18"/>
          <w:color w:val="58595B"/>
        </w:rPr>
        <w:t>In the case of any material transactions or relationships involving our Chief Financial Officer or our Chief Accounting Officer, the General Counsel must submit a list of any approved material transactions semiannually to the audit committee for its review.</w:t>
      </w:r>
    </w:p>
    <w:p>
      <w:pPr>
        <w:spacing w:after="0" w:line="184" w:lineRule="exact"/>
        <w:rPr>
          <w:sz w:val="20"/>
          <w:szCs w:val="20"/>
          <w:color w:val="auto"/>
        </w:rPr>
      </w:pPr>
    </w:p>
    <w:p>
      <w:pPr>
        <w:ind w:left="620" w:right="260"/>
        <w:spacing w:after="0" w:line="248" w:lineRule="auto"/>
        <w:rPr>
          <w:sz w:val="20"/>
          <w:szCs w:val="20"/>
          <w:color w:val="auto"/>
        </w:rPr>
      </w:pPr>
      <w:r>
        <w:rPr>
          <w:rFonts w:ascii="Arial" w:cs="Arial" w:eastAsia="Arial" w:hAnsi="Arial"/>
          <w:sz w:val="17"/>
          <w:szCs w:val="17"/>
          <w:color w:val="58595B"/>
        </w:rPr>
        <w:t>Under Securities and Exchange Commission rules, certain transactions in which we are or will be a participant and in which our directors, executive officers, certain shareholders and certain other related persons had or will have a direct or indirect material interest are required to be disclosed in this related person transactions section of our proxy statement. In addition to the procedures above, our related person transaction committee has reviewed and approved or ratified any such transactions that are required to be disclosed. The committee makes these decisions based on its consideration of all relevant factors. The review may be before or after the commencement of the transaction. If a transaction is reviewed and not approved or ratified, the committee may recommend a course of action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127000</wp:posOffset>
            </wp:positionV>
            <wp:extent cx="7144385" cy="297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270"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FFFFFF"/>
        </w:rPr>
        <w:t>87</w:t>
      </w:r>
      <w:r>
        <w:rPr>
          <w:sz w:val="20"/>
          <w:szCs w:val="20"/>
          <w:color w:val="auto"/>
        </w:rPr>
        <w:tab/>
      </w:r>
      <w:r>
        <w:rPr>
          <w:rFonts w:ascii="Arial" w:cs="Arial" w:eastAsia="Arial" w:hAnsi="Arial"/>
          <w:sz w:val="18"/>
          <w:szCs w:val="18"/>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132715</wp:posOffset>
            </wp:positionV>
            <wp:extent cx="7144385" cy="1720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554990</wp:posOffset>
            </wp:positionV>
            <wp:extent cx="714438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880" w:top="833" w:right="339" w:bottom="1440" w:gutter="0" w:footer="0" w:header="0"/>
        </w:sectPr>
      </w:pPr>
    </w:p>
    <w:bookmarkStart w:id="91" w:name="page92"/>
    <w:bookmarkEnd w:id="91"/>
    <w:p>
      <w:pPr>
        <w:ind w:left="1180"/>
        <w:spacing w:after="0"/>
        <w:rPr>
          <w:sz w:val="20"/>
          <w:szCs w:val="20"/>
          <w:color w:val="auto"/>
        </w:rPr>
      </w:pPr>
      <w:r>
        <w:rPr>
          <w:rFonts w:ascii="Arial" w:cs="Arial" w:eastAsia="Arial" w:hAnsi="Arial"/>
          <w:sz w:val="33"/>
          <w:szCs w:val="33"/>
          <w:b w:val="1"/>
          <w:bCs w:val="1"/>
          <w:color w:val="254F79"/>
        </w:rPr>
        <w:t>DELINQUENT SECTION 16(a) REPORTS</w:t>
      </w:r>
    </w:p>
    <w:p>
      <w:pPr>
        <w:spacing w:after="0" w:line="248" w:lineRule="exact"/>
        <w:rPr>
          <w:sz w:val="20"/>
          <w:szCs w:val="20"/>
          <w:color w:val="auto"/>
        </w:rPr>
      </w:pPr>
    </w:p>
    <w:p>
      <w:pPr>
        <w:ind w:left="1180" w:right="260"/>
        <w:spacing w:after="0" w:line="246" w:lineRule="auto"/>
        <w:rPr>
          <w:sz w:val="20"/>
          <w:szCs w:val="20"/>
          <w:color w:val="auto"/>
        </w:rPr>
      </w:pPr>
      <w:r>
        <w:rPr>
          <w:rFonts w:ascii="Arial" w:cs="Arial" w:eastAsia="Arial" w:hAnsi="Arial"/>
          <w:sz w:val="17"/>
          <w:szCs w:val="17"/>
          <w:color w:val="58595B"/>
        </w:rPr>
        <w:t>Section 16 of the Securities Exchange Act of 1934 requires the Company's executive officers and directors to file reports of their ownership, and changes in ownership, of the Company's common stock with the Securities and Exchange Commission. Executive officers and directors are required by the Securities and Exchange Commission's regulations to furnish the Company with copies of all forms they file pursuant to Section 16 and the Company is required to report in this Annual Report on Form 10-K any failure of its directors and executive officers to file by the relevant due date any of these reports during fiscal year 2025. Based solely upon a review of these reports, we believe that Heather H. Miller and Anthony J. Park each filed a Form 5 to adjust the shares held by each of them to accurately reflect their ownership in the Company's common stock as of December 31, 2025. In addition, Daniel D. (Ron) Lane filed one late report relating to a transaction in 2025. We believe that no other directors or executives failed to file any report by the relevant due date and all directors and executive officers of the Company complied with the requirements of Section 16(a) in 2025.</w:t>
      </w:r>
    </w:p>
    <w:p>
      <w:pPr>
        <w:spacing w:after="0" w:line="397" w:lineRule="exact"/>
        <w:rPr>
          <w:sz w:val="20"/>
          <w:szCs w:val="20"/>
          <w:color w:val="auto"/>
        </w:rPr>
      </w:pPr>
    </w:p>
    <w:p>
      <w:pPr>
        <w:ind w:left="1180"/>
        <w:spacing w:after="0"/>
        <w:rPr>
          <w:sz w:val="20"/>
          <w:szCs w:val="20"/>
          <w:color w:val="auto"/>
        </w:rPr>
      </w:pPr>
      <w:r>
        <w:rPr>
          <w:rFonts w:ascii="Arial" w:cs="Arial" w:eastAsia="Arial" w:hAnsi="Arial"/>
          <w:sz w:val="32"/>
          <w:szCs w:val="32"/>
          <w:b w:val="1"/>
          <w:bCs w:val="1"/>
          <w:color w:val="254F79"/>
        </w:rPr>
        <w:t>SHAREHOLDER PROPOSALS AND NOMINATIONS</w:t>
      </w:r>
    </w:p>
    <w:p>
      <w:pPr>
        <w:spacing w:after="0" w:line="250" w:lineRule="exact"/>
        <w:rPr>
          <w:sz w:val="20"/>
          <w:szCs w:val="20"/>
          <w:color w:val="auto"/>
        </w:rPr>
      </w:pPr>
    </w:p>
    <w:p>
      <w:pPr>
        <w:ind w:left="1180" w:right="240"/>
        <w:spacing w:after="0" w:line="245" w:lineRule="auto"/>
        <w:rPr>
          <w:sz w:val="20"/>
          <w:szCs w:val="20"/>
          <w:color w:val="auto"/>
        </w:rPr>
      </w:pPr>
      <w:r>
        <w:rPr>
          <w:rFonts w:ascii="Arial" w:cs="Arial" w:eastAsia="Arial" w:hAnsi="Arial"/>
          <w:sz w:val="17"/>
          <w:szCs w:val="17"/>
          <w:color w:val="58595B"/>
        </w:rPr>
        <w:t>Any proposal that a shareholder wishes to be considered for inclusion in the proxy and proxy statement relating to the Annual Meeting of Shareholders to be held in 2027, including submissions of shareholder director nominations in accordance with the proxy access procedures set forth in our bylaws, must be received by the Company no later than December 30, 2026. Any other proposal or director nomination that a shareholder wishes to bring before the 2027 Annual Meeting of Shareholders without inclusion of such matter in the Company's proxy materials must also be received by the Company no later than December 30, 2026. All proposals and nominations must comply with the applicable requirements or conditions established by the Securities and Exchange Commission and the Company's bylaws, which require, among other things, certain information to be provided in connection with the submission of shareholder proposals. All proposals and nominations must be directed to the Secretary of the Company at 601 Riverside Avenue, Jacksonville, Florida 32204. The persons designated as proxies by the Company in connection with the 2027 Annual Meeting of Shareholders will have discretionary voting authority with respect to any shareholder proposal for which the Company does not receive timely notice.</w:t>
      </w:r>
    </w:p>
    <w:p>
      <w:pPr>
        <w:spacing w:after="0" w:line="359" w:lineRule="exact"/>
        <w:rPr>
          <w:sz w:val="20"/>
          <w:szCs w:val="20"/>
          <w:color w:val="auto"/>
        </w:rPr>
      </w:pPr>
    </w:p>
    <w:p>
      <w:pPr>
        <w:ind w:left="1180" w:right="220"/>
        <w:spacing w:after="0" w:line="247" w:lineRule="auto"/>
        <w:rPr>
          <w:sz w:val="20"/>
          <w:szCs w:val="20"/>
          <w:color w:val="auto"/>
        </w:rPr>
      </w:pPr>
      <w:r>
        <w:rPr>
          <w:rFonts w:ascii="Arial" w:cs="Arial" w:eastAsia="Arial" w:hAnsi="Arial"/>
          <w:sz w:val="18"/>
          <w:szCs w:val="18"/>
          <w:color w:val="58595B"/>
        </w:rPr>
        <w:t>In addition to satisfying the foregoing requirements, to comply with the Securities and Exchange Commission's Rule 14a-19, shareholders who intend to solicit proxies in support of director nominees submitted under our bylaws must also comply with the additional requirements of Rule 14a-19 under the Exchange Act of 1934, as amended.</w:t>
      </w:r>
    </w:p>
    <w:p>
      <w:pPr>
        <w:spacing w:after="0" w:line="382" w:lineRule="exact"/>
        <w:rPr>
          <w:sz w:val="20"/>
          <w:szCs w:val="20"/>
          <w:color w:val="auto"/>
        </w:rPr>
      </w:pPr>
    </w:p>
    <w:p>
      <w:pPr>
        <w:ind w:left="1180"/>
        <w:spacing w:after="0"/>
        <w:rPr>
          <w:sz w:val="20"/>
          <w:szCs w:val="20"/>
          <w:color w:val="auto"/>
        </w:rPr>
      </w:pPr>
      <w:r>
        <w:rPr>
          <w:rFonts w:ascii="Arial" w:cs="Arial" w:eastAsia="Arial" w:hAnsi="Arial"/>
          <w:sz w:val="33"/>
          <w:szCs w:val="33"/>
          <w:b w:val="1"/>
          <w:bCs w:val="1"/>
          <w:color w:val="254F79"/>
        </w:rPr>
        <w:t>OTHER MATTERS</w:t>
      </w:r>
    </w:p>
    <w:p>
      <w:pPr>
        <w:spacing w:after="0" w:line="239" w:lineRule="exact"/>
        <w:rPr>
          <w:sz w:val="20"/>
          <w:szCs w:val="20"/>
          <w:color w:val="auto"/>
        </w:rPr>
      </w:pPr>
    </w:p>
    <w:p>
      <w:pPr>
        <w:ind w:left="1180" w:right="460"/>
        <w:spacing w:after="0" w:line="241" w:lineRule="auto"/>
        <w:rPr>
          <w:sz w:val="20"/>
          <w:szCs w:val="20"/>
          <w:color w:val="auto"/>
        </w:rPr>
      </w:pPr>
      <w:r>
        <w:rPr>
          <w:rFonts w:ascii="Arial" w:cs="Arial" w:eastAsia="Arial" w:hAnsi="Arial"/>
          <w:sz w:val="18"/>
          <w:szCs w:val="18"/>
          <w:color w:val="58595B"/>
        </w:rPr>
        <w:t>The Company knows of no other matters to be submitted at the meeting. If any other matters properly come before the meeting, your proxy card confers discretionary authority on the persons named in your proxy card to vote as they deem appropriate on such matters. It is the intention of the persons named in your proxy card to vote the shares in accordance with their best judgment.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88</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92" w:name="page93"/>
    <w:bookmarkEnd w:id="92"/>
    <w:p>
      <w:pPr>
        <w:ind w:left="620"/>
        <w:spacing w:after="0"/>
        <w:rPr>
          <w:sz w:val="20"/>
          <w:szCs w:val="20"/>
          <w:color w:val="auto"/>
        </w:rPr>
      </w:pPr>
      <w:r>
        <w:rPr>
          <w:rFonts w:ascii="Arial" w:cs="Arial" w:eastAsia="Arial" w:hAnsi="Arial"/>
          <w:sz w:val="33"/>
          <w:szCs w:val="33"/>
          <w:b w:val="1"/>
          <w:bCs w:val="1"/>
          <w:color w:val="254F79"/>
        </w:rPr>
        <w:t>AVAILABLE INFORMATION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color w:val="58595B"/>
        </w:rPr>
        <w:t>The Company files Annual Reports on Form 10-K with the Securities and Exchange Commission.</w:t>
      </w:r>
    </w:p>
    <w:p>
      <w:pPr>
        <w:spacing w:after="0" w:line="214" w:lineRule="exact"/>
        <w:rPr>
          <w:sz w:val="20"/>
          <w:szCs w:val="20"/>
          <w:color w:val="auto"/>
        </w:rPr>
      </w:pPr>
    </w:p>
    <w:p>
      <w:pPr>
        <w:ind w:left="620" w:right="20"/>
        <w:spacing w:after="0" w:line="238" w:lineRule="auto"/>
        <w:rPr>
          <w:sz w:val="20"/>
          <w:szCs w:val="20"/>
          <w:color w:val="auto"/>
        </w:rPr>
      </w:pPr>
      <w:r>
        <w:rPr>
          <w:rFonts w:ascii="Arial" w:cs="Arial" w:eastAsia="Arial" w:hAnsi="Arial"/>
          <w:sz w:val="18"/>
          <w:szCs w:val="18"/>
          <w:color w:val="58595B"/>
        </w:rPr>
        <w:t>A copy of the Annual Report on Form 10-K for the fiscal year ended December 31, 2025 (except for certain exhibits thereto), including our audited financial statements and financial statement schedules, may be obtained, free of charge, upon written request by any shareholder to Fidelity National Financial, Inc., 601 Riverside Avenue, Jacksonville, Florida 32204, Attention: Investor Relations. Copies of all exhibits to the Annual Report on Form 10-K are available upon a similar request, subject to reimbursing the Company for its expenses in supplying any exhibit.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58595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147955</wp:posOffset>
            </wp:positionV>
            <wp:extent cx="1048385" cy="4927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48385"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58595B"/>
        </w:rPr>
        <w:t>Michael J. Nolan</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8595B"/>
        </w:rPr>
        <w:t>Chief Executive Officer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58595B"/>
        </w:rPr>
        <w:t>Dated: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147955</wp:posOffset>
            </wp:positionV>
            <wp:extent cx="7144385" cy="297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4385" cy="297180"/>
                    </a:xfrm>
                    <a:prstGeom prst="rect">
                      <a:avLst/>
                    </a:prstGeom>
                    <a:noFill/>
                  </pic:spPr>
                </pic:pic>
              </a:graphicData>
            </a:graphic>
          </wp:anchor>
        </w:drawing>
      </w:r>
    </w:p>
    <w:p>
      <w:pPr>
        <w:spacing w:after="0" w:line="303" w:lineRule="exact"/>
        <w:rPr>
          <w:sz w:val="20"/>
          <w:szCs w:val="20"/>
          <w:color w:val="auto"/>
        </w:rPr>
      </w:pPr>
    </w:p>
    <w:p>
      <w:pPr>
        <w:spacing w:after="0"/>
        <w:tabs>
          <w:tab w:leader="none" w:pos="7900" w:val="left"/>
        </w:tabs>
        <w:rPr>
          <w:sz w:val="20"/>
          <w:szCs w:val="20"/>
          <w:color w:val="auto"/>
        </w:rPr>
      </w:pPr>
      <w:r>
        <w:rPr>
          <w:rFonts w:ascii="Arial" w:cs="Arial" w:eastAsia="Arial" w:hAnsi="Arial"/>
          <w:sz w:val="17"/>
          <w:szCs w:val="17"/>
          <w:color w:val="FFFFFF"/>
        </w:rPr>
        <w:t>89</w:t>
      </w:r>
      <w:r>
        <w:rPr>
          <w:sz w:val="20"/>
          <w:szCs w:val="20"/>
          <w:color w:val="auto"/>
        </w:rPr>
        <w:tab/>
      </w:r>
      <w:r>
        <w:rPr>
          <w:rFonts w:ascii="Arial" w:cs="Arial" w:eastAsia="Arial" w:hAnsi="Arial"/>
          <w:sz w:val="17"/>
          <w:szCs w:val="17"/>
          <w:color w:val="FFFFFF"/>
        </w:rPr>
        <w:t>Fidelity National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139700</wp:posOffset>
            </wp:positionV>
            <wp:extent cx="7144385" cy="1720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4385" cy="17208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562610</wp:posOffset>
            </wp:positionV>
            <wp:extent cx="714438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360"/>
          </w:cols>
          <w:pgMar w:left="880" w:top="819" w:right="659" w:bottom="1440" w:gutter="0" w:footer="0" w:header="0"/>
        </w:sectPr>
      </w:pPr>
    </w:p>
    <w:bookmarkStart w:id="93" w:name="page94"/>
    <w:bookmarkEnd w:id="93"/>
    <w:p>
      <w:pPr>
        <w:jc w:val="center"/>
        <w:spacing w:after="0"/>
        <w:rPr>
          <w:sz w:val="20"/>
          <w:szCs w:val="20"/>
          <w:color w:val="auto"/>
        </w:rPr>
      </w:pPr>
      <w:r>
        <w:rPr>
          <w:rFonts w:ascii="Arial" w:cs="Arial" w:eastAsia="Arial" w:hAnsi="Arial"/>
          <w:sz w:val="33"/>
          <w:szCs w:val="33"/>
          <w:b w:val="1"/>
          <w:bCs w:val="1"/>
          <w:color w:val="254F79"/>
        </w:rPr>
        <w:t>THIS PAGE LEFT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254F79"/>
        </w:rPr>
        <w:t>INTENTIONALLY BLANK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860" w:type="dxa"/>
            <w:vAlign w:val="bottom"/>
            <w:shd w:val="clear" w:color="auto" w:fill="5B769B"/>
          </w:tcPr>
          <w:p>
            <w:pPr>
              <w:ind w:left="560"/>
              <w:spacing w:after="0"/>
              <w:rPr>
                <w:sz w:val="20"/>
                <w:szCs w:val="20"/>
                <w:color w:val="auto"/>
              </w:rPr>
            </w:pPr>
            <w:r>
              <w:rPr>
                <w:rFonts w:ascii="Arial" w:cs="Arial" w:eastAsia="Arial" w:hAnsi="Arial"/>
                <w:sz w:val="18"/>
                <w:szCs w:val="18"/>
                <w:color w:val="FFFFFF"/>
              </w:rPr>
              <w:t>Fidelity National Financial, Inc.</w:t>
            </w:r>
          </w:p>
        </w:tc>
        <w:tc>
          <w:tcPr>
            <w:tcW w:w="4380" w:type="dxa"/>
            <w:vAlign w:val="bottom"/>
            <w:shd w:val="clear" w:color="auto" w:fill="5B769B"/>
          </w:tcPr>
          <w:p>
            <w:pPr>
              <w:jc w:val="right"/>
              <w:ind w:right="250"/>
              <w:spacing w:after="0"/>
              <w:rPr>
                <w:sz w:val="20"/>
                <w:szCs w:val="20"/>
                <w:color w:val="auto"/>
              </w:rPr>
            </w:pPr>
            <w:r>
              <w:rPr>
                <w:rFonts w:ascii="Arial" w:cs="Arial" w:eastAsia="Arial" w:hAnsi="Arial"/>
                <w:sz w:val="18"/>
                <w:szCs w:val="18"/>
                <w:color w:val="FFFFFF"/>
              </w:rPr>
              <w:t>90</w:t>
            </w:r>
          </w:p>
        </w:tc>
      </w:tr>
      <w:tr>
        <w:trPr>
          <w:trHeight w:val="139"/>
        </w:trPr>
        <w:tc>
          <w:tcPr>
            <w:tcW w:w="6860" w:type="dxa"/>
            <w:vAlign w:val="bottom"/>
            <w:shd w:val="clear" w:color="auto" w:fill="5B769B"/>
          </w:tcPr>
          <w:p>
            <w:pPr>
              <w:spacing w:after="0"/>
              <w:rPr>
                <w:sz w:val="12"/>
                <w:szCs w:val="12"/>
                <w:color w:val="auto"/>
              </w:rPr>
            </w:pPr>
          </w:p>
        </w:tc>
        <w:tc>
          <w:tcPr>
            <w:tcW w:w="4380" w:type="dxa"/>
            <w:vAlign w:val="bottom"/>
            <w:shd w:val="clear" w:color="auto" w:fill="5B769B"/>
          </w:tcPr>
          <w:p>
            <w:pPr>
              <w:spacing w:after="0"/>
              <w:rPr>
                <w:sz w:val="12"/>
                <w:szCs w:val="12"/>
                <w:color w:val="auto"/>
              </w:rPr>
            </w:pPr>
          </w:p>
        </w:tc>
      </w:tr>
      <w:tr>
        <w:trPr>
          <w:trHeight w:val="37"/>
        </w:trPr>
        <w:tc>
          <w:tcPr>
            <w:tcW w:w="68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71"/>
        </w:trPr>
        <w:tc>
          <w:tcPr>
            <w:tcW w:w="6860" w:type="dxa"/>
            <w:vAlign w:val="bottom"/>
            <w:shd w:val="clear" w:color="auto" w:fill="274F78"/>
          </w:tcPr>
          <w:p>
            <w:pPr>
              <w:spacing w:after="0"/>
              <w:rPr>
                <w:sz w:val="23"/>
                <w:szCs w:val="23"/>
                <w:color w:val="auto"/>
              </w:rPr>
            </w:pPr>
          </w:p>
        </w:tc>
        <w:tc>
          <w:tcPr>
            <w:tcW w:w="4380" w:type="dxa"/>
            <w:vAlign w:val="bottom"/>
            <w:shd w:val="clear" w:color="auto" w:fill="274F78"/>
          </w:tcPr>
          <w:p>
            <w:pPr>
              <w:spacing w:after="0"/>
              <w:rPr>
                <w:sz w:val="23"/>
                <w:szCs w:val="23"/>
                <w:color w:val="auto"/>
              </w:rPr>
            </w:pPr>
          </w:p>
        </w:tc>
      </w:tr>
      <w:tr>
        <w:trPr>
          <w:trHeight w:val="39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33"/>
          <w:szCs w:val="33"/>
          <w:b w:val="1"/>
          <w:bCs w:val="1"/>
          <w:color w:val="254F79"/>
        </w:rPr>
        <w:t>ANNEX A:</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254F79"/>
        </w:rPr>
        <w:t>AMENDED AND RESTATED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254F79"/>
        </w:rPr>
        <w:t>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391160</wp:posOffset>
            </wp:positionV>
            <wp:extent cx="714438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019"/>
          </w:cols>
          <w:pgMar w:left="1440" w:top="1041"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INCORPORATION</w:t>
      </w:r>
    </w:p>
    <w:p>
      <w:pPr>
        <w:jc w:val="center"/>
        <w:spacing w:after="0" w:line="231" w:lineRule="auto"/>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FIDELITY NATIONAL FINANCIAL,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NAME OF CORPORATION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name of the corporation is Fidelity National Financial, Inc. (the “Corporation”).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REGISTERED AGENT AND REGISTERED OFFICE</w:t>
      </w:r>
    </w:p>
    <w:p>
      <w:pPr>
        <w:spacing w:after="0" w:line="192" w:lineRule="exact"/>
        <w:rPr>
          <w:sz w:val="20"/>
          <w:szCs w:val="20"/>
          <w:color w:val="auto"/>
        </w:rPr>
      </w:pPr>
    </w:p>
    <w:p>
      <w:pPr>
        <w:jc w:val="both"/>
        <w:ind w:firstLine="591"/>
        <w:spacing w:after="0" w:line="245" w:lineRule="auto"/>
        <w:rPr>
          <w:sz w:val="20"/>
          <w:szCs w:val="20"/>
          <w:color w:val="auto"/>
        </w:rPr>
      </w:pPr>
      <w:r>
        <w:rPr>
          <w:rFonts w:ascii="Times New Roman" w:cs="Times New Roman" w:eastAsia="Times New Roman" w:hAnsi="Times New Roman"/>
          <w:sz w:val="20"/>
          <w:szCs w:val="20"/>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BOARD OF DIRECTORS</w:t>
      </w:r>
    </w:p>
    <w:p>
      <w:pPr>
        <w:spacing w:after="0" w:line="192" w:lineRule="exact"/>
        <w:rPr>
          <w:sz w:val="20"/>
          <w:szCs w:val="20"/>
          <w:color w:val="auto"/>
        </w:rPr>
      </w:pPr>
    </w:p>
    <w:p>
      <w:pPr>
        <w:jc w:val="both"/>
        <w:ind w:firstLine="591"/>
        <w:spacing w:after="0" w:line="23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Number and Election of Directors</w:t>
      </w:r>
      <w:r>
        <w:rPr>
          <w:rFonts w:ascii="Times New Roman" w:cs="Times New Roman" w:eastAsia="Times New Roman" w:hAnsi="Times New Roman"/>
          <w:sz w:val="20"/>
          <w:szCs w:val="20"/>
          <w:color w:val="auto"/>
        </w:rPr>
        <w:t>. The business and affairs of the Corporation shall be managed by or under the direction of the board of directors of the Corporation (the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Except as otherwise provided for in these amended and restated articles of incorporation (as amended from time to time, these “</w:t>
      </w:r>
      <w:r>
        <w:rPr>
          <w:rFonts w:ascii="Times New Roman" w:cs="Times New Roman" w:eastAsia="Times New Roman" w:hAnsi="Times New Roman"/>
          <w:sz w:val="20"/>
          <w:szCs w:val="20"/>
          <w:u w:val="single" w:color="auto"/>
          <w:color w:val="auto"/>
        </w:rPr>
        <w:t>Articles</w:t>
      </w:r>
      <w:r>
        <w:rPr>
          <w:rFonts w:ascii="Times New Roman" w:cs="Times New Roman" w:eastAsia="Times New Roman" w:hAnsi="Times New Roman"/>
          <w:sz w:val="20"/>
          <w:szCs w:val="20"/>
          <w:color w:val="auto"/>
        </w:rPr>
        <w:t>”), including any certificate of designation relating to any then-outstanding series of Preferred Stock, the total number of directors shall be determined from time to time within the fixed minimum and maximum established in the bylaws of the Corporation (as amended from time to time, the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and the Board of Directors shall be elected in such manner as shall be provided in the Bylaws.</w:t>
      </w:r>
    </w:p>
    <w:p>
      <w:pPr>
        <w:spacing w:after="0" w:line="199" w:lineRule="exact"/>
        <w:rPr>
          <w:sz w:val="20"/>
          <w:szCs w:val="20"/>
          <w:color w:val="auto"/>
        </w:rPr>
      </w:pPr>
    </w:p>
    <w:p>
      <w:pPr>
        <w:jc w:val="both"/>
        <w:ind w:firstLine="591"/>
        <w:spacing w:after="0" w:line="246"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Election of Directors</w:t>
      </w:r>
      <w:r>
        <w:rPr>
          <w:rFonts w:ascii="Times New Roman" w:cs="Times New Roman" w:eastAsia="Times New Roman" w:hAnsi="Times New Roman"/>
          <w:sz w:val="19"/>
          <w:szCs w:val="19"/>
          <w:color w:val="auto"/>
        </w:rPr>
        <w:t>. As of the time of filing these Articles, the directors of the Corporation are divided into three classes, respectively designated as Class I, Class II and Class III. Beginning with the 2027 annual meeting of stockholders, the Class I directors, whose terms expire at such meeting, will be elected to serve a one-year term; at the 2028 annual meeting of stockholders, the former Class I directors and the Class II directors, whose terms expire at such meeting, will be elected to serve a one-year term; and at the 2029 annual meeting of stockholders, and at each annual meeting of stockholders thereafter, all directors will be elected annually, to hold office for a one-year term expiring at the next annual meeting of stockholders and until such directors’ successors shall have been elected and qualified, or until their earlier death, resignation, retirement, disqualification or removal. From and after the time of filing these Articles, any director elected or appointed to fill a vacancy on the Board of Directors resulting from death, resignation, retirement, disqualification, removal, or other cause, or any newly created directorship resulting from an increase in the authorized number of directors, shall hold office for a term expiring at the next annual meeting of stockholders and when such director’s successor is elected or appointed or until his or her earlier death, resignation, retirement, disqualification or removal.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In no case shall a decrease in the number of directors cause the removal, or shorten the term, of any incumbent director.</w:t>
      </w:r>
    </w:p>
    <w:p>
      <w:pPr>
        <w:spacing w:after="0" w:line="214"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Voting Rights of Preferred Stock</w:t>
      </w:r>
      <w:r>
        <w:rPr>
          <w:rFonts w:ascii="Times New Roman" w:cs="Times New Roman" w:eastAsia="Times New Roman" w:hAnsi="Times New Roman"/>
          <w:sz w:val="20"/>
          <w:szCs w:val="20"/>
          <w:color w:val="auto"/>
        </w:rPr>
        <w:t xml:space="preserve">. Notwithstanding any of the foregoing provisions, whenever the holders of any one or more series of Preferred Stock shall have the right, voting separately by series, to elect directors at an annual or special meeting of stockholders, the election, term of office, filling of vacancies and other features of such directorships shall be governed by the terms of these Articles, including any certificate of designation relating to any series of Preferred Stock, and such directors so elected shall not be divided into classes pursuant to this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unless expressly provided by such terms.</w:t>
      </w:r>
    </w:p>
    <w:p>
      <w:pPr>
        <w:spacing w:after="0" w:line="1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4</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auto"/>
        </w:rPr>
        <w:t>PURPOSE</w:t>
      </w:r>
    </w:p>
    <w:p>
      <w:pPr>
        <w:spacing w:after="0" w:line="192"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The purpose for which the Corporation is organized is to engage in any lawful, act, business or activity for which corporations may now or hereafter be organized under the laws of the State of Nevada.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AUTHORIZED SHARES</w:t>
      </w:r>
    </w:p>
    <w:p>
      <w:pPr>
        <w:spacing w:after="0" w:line="192"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The Corporation is authorized to issue an aggregate of 650,000,000 shares of capital stock of the Corporation, consisting of (a) 600,000,000 shares of common stock, par value $0.0001 per share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and (b) 50,000,000 shares of preferred stock, par value $0.0001 per share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The capital stock of the Corporation may be issued from time to time for such consideration as shall be determined by the Board of Directors. When shares are issued upon payment of the consideration fixed by the Board of Directors, such shares shall be fully paid and non-assessable.</w:t>
      </w:r>
    </w:p>
    <w:p>
      <w:pPr>
        <w:spacing w:after="0" w:line="191" w:lineRule="exact"/>
        <w:rPr>
          <w:sz w:val="20"/>
          <w:szCs w:val="20"/>
          <w:color w:val="auto"/>
        </w:rPr>
      </w:pPr>
    </w:p>
    <w:p>
      <w:pPr>
        <w:jc w:val="both"/>
        <w:ind w:firstLine="591"/>
        <w:spacing w:after="0" w:line="23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The Board of Directors is hereby vested, to the fullest extent permitted under the Nevada Revised Statutes (as amended from time to time, the “</w:t>
      </w:r>
      <w:r>
        <w:rPr>
          <w:rFonts w:ascii="Times New Roman" w:cs="Times New Roman" w:eastAsia="Times New Roman" w:hAnsi="Times New Roman"/>
          <w:sz w:val="20"/>
          <w:szCs w:val="20"/>
          <w:u w:val="single" w:color="auto"/>
          <w:color w:val="auto"/>
        </w:rPr>
        <w:t>NRS</w:t>
      </w:r>
      <w:r>
        <w:rPr>
          <w:rFonts w:ascii="Times New Roman" w:cs="Times New Roman" w:eastAsia="Times New Roman" w:hAnsi="Times New Roman"/>
          <w:sz w:val="20"/>
          <w:szCs w:val="20"/>
          <w:color w:val="auto"/>
        </w:rPr>
        <w:t>”), with the authority to designate from time to time, by duly adopted resolution(s), one or more series of the Preferred Stock, to fix the number of shares constituting such series and to prescribe the voting powers, designations, preferences, qualifications, limitations, restrictions and relative, participating, optional and other rights of such series. Any such resolution prescribing a series of Preferred Stock must include a distinguishing designation for such series. If any series of Preferred Stock is established by resolution of the Board of Directors pursuant to this provision, a certificate of designation relating to such series and complying with the applicable provisions of the NRS must be filed with the Nevada Secretary of State and become effective before the issuance of any shares of such series. Except as otherwise required by law, the holders of any series of Preferred Stock shall be entitled to only such voting rights, if any, as shall expressly be granted thereto by these Articles, including the certificate of designation relating to such series of Preferred Stock. To the extent provided in these Articles, including any certificate of designation relating to a series of Preferred Stock, the Board of Directors may increase (but not above the total number of then authorized and undesignated shares of Preferred Stock) or decrease (but not below the number of shares of that series then outstanding) the number of shares of such series.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97" w:name="page98"/>
    <w:bookmarkEnd w:id="97"/>
    <w:p>
      <w:pPr>
        <w:jc w:val="both"/>
        <w:ind w:firstLine="590"/>
        <w:spacing w:after="0" w:line="241" w:lineRule="auto"/>
        <w:tabs>
          <w:tab w:leader="none" w:pos="9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 Dividends</w:t>
      </w:r>
      <w:r>
        <w:rPr>
          <w:rFonts w:ascii="Times New Roman" w:cs="Times New Roman" w:eastAsia="Times New Roman" w:hAnsi="Times New Roman"/>
          <w:sz w:val="20"/>
          <w:szCs w:val="20"/>
          <w:color w:val="auto"/>
        </w:rPr>
        <w:t>. Subject to the rights of holders of any Preferred Stock having preference as to dividends and except as otherwise provided by these Articles or the NRS, the holders of Common Stock shall be entitled to receive dividends in the form of cash, property or shares of the Corporation when, as and if declared by the Board of Directors out of funds of the Corporation to the extent and in the manner permitted by law.</w:t>
      </w:r>
    </w:p>
    <w:p>
      <w:pPr>
        <w:spacing w:after="0" w:line="195" w:lineRule="exact"/>
        <w:rPr>
          <w:sz w:val="20"/>
          <w:szCs w:val="20"/>
          <w:color w:val="auto"/>
        </w:rPr>
      </w:pPr>
    </w:p>
    <w:p>
      <w:pPr>
        <w:jc w:val="both"/>
        <w:ind w:firstLine="591"/>
        <w:spacing w:after="0" w:line="300"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18"/>
          <w:szCs w:val="18"/>
          <w:u w:val="single" w:color="auto"/>
          <w:color w:val="auto"/>
        </w:rPr>
        <w:t>Assessment of Stock</w:t>
      </w:r>
      <w:r>
        <w:rPr>
          <w:rFonts w:ascii="Times New Roman" w:cs="Times New Roman" w:eastAsia="Times New Roman" w:hAnsi="Times New Roman"/>
          <w:sz w:val="18"/>
          <w:szCs w:val="18"/>
          <w:color w:val="auto"/>
        </w:rPr>
        <w:t>. The capital stock of the Corporation, after the consideration therefor has been fully paid, shall not be assessable for any purpose, and no stock issued as fully paid shall ever be assessable or assessed, and these Articles shall not be amended in this particular.</w:t>
      </w:r>
    </w:p>
    <w:p>
      <w:pPr>
        <w:spacing w:after="0" w:line="139"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No Preemptive Rights</w:t>
      </w:r>
      <w:r>
        <w:rPr>
          <w:rFonts w:ascii="Times New Roman" w:cs="Times New Roman" w:eastAsia="Times New Roman" w:hAnsi="Times New Roman"/>
          <w:sz w:val="20"/>
          <w:szCs w:val="20"/>
          <w:color w:val="auto"/>
        </w:rPr>
        <w:t>. No preemptive rights shall exist with respect to shares of stock or securities convertible into shares of stock of the Corporation.</w:t>
      </w:r>
    </w:p>
    <w:p>
      <w:pPr>
        <w:spacing w:after="0" w:line="167"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No Cumulative Voting</w:t>
      </w:r>
      <w:r>
        <w:rPr>
          <w:rFonts w:ascii="Times New Roman" w:cs="Times New Roman" w:eastAsia="Times New Roman" w:hAnsi="Times New Roman"/>
          <w:sz w:val="20"/>
          <w:szCs w:val="20"/>
          <w:color w:val="auto"/>
        </w:rPr>
        <w:t>. The stockholders of the Corporation shall not be entitled to cumulative voting in the election of any directors.</w:t>
      </w:r>
    </w:p>
    <w:p>
      <w:pPr>
        <w:spacing w:after="0" w:line="167"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 Reverse Stock Splits without Stockholder Approval</w:t>
      </w:r>
      <w:r>
        <w:rPr>
          <w:rFonts w:ascii="Times New Roman" w:cs="Times New Roman" w:eastAsia="Times New Roman" w:hAnsi="Times New Roman"/>
          <w:sz w:val="20"/>
          <w:szCs w:val="20"/>
          <w:color w:val="auto"/>
        </w:rPr>
        <w:t>. The Corporation is prohibited from effectuating any reverse split of any class or series of the Corporation’s capital stock pursuant to NRS 78.207 without stockholder approval.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LIMITATION OF LIABILITY,</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INDEMNIFICATION AND PAYMENT OF EXPENSES</w:t>
      </w:r>
    </w:p>
    <w:p>
      <w:pPr>
        <w:spacing w:after="0" w:line="192" w:lineRule="exact"/>
        <w:rPr>
          <w:sz w:val="20"/>
          <w:szCs w:val="20"/>
          <w:color w:val="auto"/>
        </w:rPr>
      </w:pPr>
    </w:p>
    <w:p>
      <w:pPr>
        <w:jc w:val="both"/>
        <w:ind w:firstLine="591"/>
        <w:spacing w:after="0" w:line="23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liability of directors and officers of the Corporation is hereby eliminated or limited to the fullest extent permitted by the NRS, provided that no such elimination or limitation of liability under the NRS shall apply to any director’s or officer’s act or failure to act that is proven to constitute a breach of such director’s or officer’s fiduciary duties as a director or officer, which breach (i) constitutes a breach of the duty of loyalty, (ii) involves acts or omissions not in good faith or which involve intentional misconduct or a knowing violation of law, or (iii) results in a transaction from which such director or officer derived an improper personal benefit. Directors of the Corporation shall be liable for the payment of any unlawful distributions to the extent provided under NRS 78.300.</w:t>
      </w:r>
    </w:p>
    <w:p>
      <w:pPr>
        <w:spacing w:after="0" w:line="190" w:lineRule="exact"/>
        <w:rPr>
          <w:sz w:val="20"/>
          <w:szCs w:val="20"/>
          <w:color w:val="auto"/>
        </w:rPr>
      </w:pPr>
    </w:p>
    <w:p>
      <w:pPr>
        <w:jc w:val="both"/>
        <w:ind w:firstLine="591"/>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fullest extent permitted under the NRS (including, without limitation, NRS 78.7502, NRS 78.751 and NRS 78.752) and other applicable law, the Corporation shall indemnify and defend any current and former directors and officers of the Corporation in their respective capacities as such and in any and all other capacities in which any of them serves at the request of the Corporation.</w:t>
      </w:r>
    </w:p>
    <w:p>
      <w:pPr>
        <w:spacing w:after="0" w:line="195" w:lineRule="exact"/>
        <w:rPr>
          <w:sz w:val="20"/>
          <w:szCs w:val="20"/>
          <w:color w:val="auto"/>
        </w:rPr>
      </w:pPr>
    </w:p>
    <w:p>
      <w:pPr>
        <w:jc w:val="both"/>
        <w:ind w:firstLine="591"/>
        <w:spacing w:after="0" w:line="250"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 In addition to any other rights of indemnification permitted by the laws of the State of Nevada or as may be provided for by the Corporation in the Bylaws or by agreement or otherwise, the expenses of directors and officers incurred in defending a civil or criminal action, suit or proceeding, involving alleged acts or omissions of such directors or officers in their respective capacities as directors or officers of the Corporation must be paid by the Corporation or through insurance purchased and maintained by the Corporation or through other financial arrangements made by the Corporation, as they are incurred and in advance of the final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98" w:name="page99"/>
    <w:bookmarkEnd w:id="98"/>
    <w:p>
      <w:pPr>
        <w:jc w:val="both"/>
        <w:spacing w:after="0" w:line="260" w:lineRule="auto"/>
        <w:rPr>
          <w:sz w:val="20"/>
          <w:szCs w:val="20"/>
          <w:color w:val="auto"/>
        </w:rPr>
      </w:pPr>
      <w:r>
        <w:rPr>
          <w:rFonts w:ascii="Times New Roman" w:cs="Times New Roman" w:eastAsia="Times New Roman" w:hAnsi="Times New Roman"/>
          <w:sz w:val="20"/>
          <w:szCs w:val="20"/>
          <w:color w:val="auto"/>
        </w:rPr>
        <w:t>disposition of the action, suit or proceeding, upon receipt of an undertaking by or on behalf of the director or officer to repay the amount if it is ultimately determined by a court of competent jurisdiction that he or she is not entitled to be indemnified by the Corporation.</w:t>
      </w:r>
    </w:p>
    <w:p>
      <w:pPr>
        <w:spacing w:after="0" w:line="167" w:lineRule="exact"/>
        <w:rPr>
          <w:sz w:val="20"/>
          <w:szCs w:val="20"/>
          <w:color w:val="auto"/>
        </w:rPr>
      </w:pPr>
    </w:p>
    <w:p>
      <w:pPr>
        <w:jc w:val="both"/>
        <w:ind w:firstLine="591"/>
        <w:spacing w:after="0" w:line="241"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Repeal and Conflict</w:t>
      </w:r>
      <w:r>
        <w:rPr>
          <w:rFonts w:ascii="Times New Roman" w:cs="Times New Roman" w:eastAsia="Times New Roman" w:hAnsi="Times New Roman"/>
          <w:sz w:val="20"/>
          <w:szCs w:val="20"/>
          <w:color w:val="auto"/>
        </w:rPr>
        <w:t xml:space="preserve">. Any repeal or modification of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approved by the stockholders of the Corporation shall be prospective only and shall not adversely affect any limitation on the liability of a director or officer of the Corporation existing as of the time of such repeal or modification. In the event of any conflict between any section of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and any other provision of these Articles, the terms and provisions of this Article shall control.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BYLAWS</w:t>
      </w:r>
    </w:p>
    <w:p>
      <w:pPr>
        <w:spacing w:after="0" w:line="192" w:lineRule="exact"/>
        <w:rPr>
          <w:sz w:val="20"/>
          <w:szCs w:val="20"/>
          <w:color w:val="auto"/>
        </w:rPr>
      </w:pPr>
    </w:p>
    <w:p>
      <w:pPr>
        <w:jc w:val="both"/>
        <w:ind w:firstLine="591"/>
        <w:spacing w:after="0" w:line="245" w:lineRule="auto"/>
        <w:rPr>
          <w:sz w:val="20"/>
          <w:szCs w:val="20"/>
          <w:color w:val="auto"/>
        </w:rPr>
      </w:pPr>
      <w:r>
        <w:rPr>
          <w:rFonts w:ascii="Times New Roman" w:cs="Times New Roman" w:eastAsia="Times New Roman" w:hAnsi="Times New Roman"/>
          <w:sz w:val="20"/>
          <w:szCs w:val="20"/>
          <w:color w:val="auto"/>
        </w:rPr>
        <w:t>The Board of Directors shall have the power to adopt, amend, or repeal the Bylaws of the Corporation, subject to the power of the stockholders to amend or repeal such Bylaws. The stockholders shall also have the power to adopt, amend or repeal the Bylaws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CORPORATE OPPORTUNITIES</w:t>
      </w:r>
    </w:p>
    <w:p>
      <w:pPr>
        <w:spacing w:after="0" w:line="192" w:lineRule="exact"/>
        <w:rPr>
          <w:sz w:val="20"/>
          <w:szCs w:val="20"/>
          <w:color w:val="auto"/>
        </w:rPr>
      </w:pPr>
    </w:p>
    <w:p>
      <w:pPr>
        <w:jc w:val="both"/>
        <w:ind w:firstLine="591"/>
        <w:spacing w:after="0" w:line="252" w:lineRule="auto"/>
        <w:rPr>
          <w:sz w:val="20"/>
          <w:szCs w:val="20"/>
          <w:color w:val="auto"/>
        </w:rPr>
      </w:pPr>
      <w:r>
        <w:rPr>
          <w:rFonts w:ascii="Times New Roman" w:cs="Times New Roman" w:eastAsia="Times New Roman" w:hAnsi="Times New Roman"/>
          <w:sz w:val="19"/>
          <w:szCs w:val="19"/>
          <w:color w:val="auto"/>
        </w:rPr>
        <w:t xml:space="preserve">(A)          In anticipation of the possibility (i) that the officers and/or directors of the Corporation (as defined below) may also serve as officers and/or directors of F&amp;G (as defined below) and (ii) that the Corporation and F&amp;G may engage in the same or similar activities or lines of business and have an interest in the same corporate opportunities, and in recognition of the benefits to be derived by the Corporation through its continued contractual, corporate and business relations with F&amp;G, if any, the provisions of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are set forth to regulate, to the fullest extent permitted by law, the conduct of certain affairs of the Corporation as they relate to F&amp;G and its officers and directors, and the powers, rights, duties and liabilities of the Corporation and its officers, directors and stockholders in connection therewith.</w:t>
      </w:r>
    </w:p>
    <w:p>
      <w:pPr>
        <w:spacing w:after="0" w:line="176"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 xml:space="preserve">(B)          (i)              Except as may be otherwise provided in a written agreement between the Corporation and F&amp;G, F&amp;G shall have no duty to refrain from engaging in the same or similar activities or lines of business as the Corporation, and, to the fullest extent permitted by law, neither F&amp;G or any officer or director thereof (except in the event of any violation of Section C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to the extent such violation would create liability under applicable law) shall be liable to the Corporation or its stockholders for breach of any fiduciary duty by reason of any such activities of F&amp;G.</w:t>
      </w:r>
    </w:p>
    <w:p>
      <w:pPr>
        <w:spacing w:after="0" w:line="200"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9"/>
          <w:szCs w:val="19"/>
          <w:color w:val="auto"/>
        </w:rPr>
        <w:t xml:space="preserve">(ii)            The Corporation may from time to time be or become a party to and perform, and may cause or permit any subsidiary of the Corporation to be or become a party to and perform, one or more agreements (or modifications or supplements to pre-existing agreements) with F&amp;G. Subject to Section C of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to the fullest extent permitted by law, no such agreement, nor the performance thereof in accordance with its terms by the Corporation or any of its subsidiaries or F&amp;G, shall be considered contrary to any fiduciary duty to the Corporation or to its stockholders of any director or officer of the Corporation who is also a director, officer or employee of F&amp;G. Subject to Section C of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to the fullest extent permitted by law, no director or officer of the Corporation who is also a director, officer or employee of F&amp;G shall have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99" w:name="page100"/>
    <w:bookmarkEnd w:id="99"/>
    <w:p>
      <w:pPr>
        <w:jc w:val="both"/>
        <w:spacing w:after="0" w:line="260" w:lineRule="auto"/>
        <w:rPr>
          <w:sz w:val="20"/>
          <w:szCs w:val="20"/>
          <w:color w:val="auto"/>
        </w:rPr>
      </w:pPr>
      <w:r>
        <w:rPr>
          <w:rFonts w:ascii="Times New Roman" w:cs="Times New Roman" w:eastAsia="Times New Roman" w:hAnsi="Times New Roman"/>
          <w:sz w:val="20"/>
          <w:szCs w:val="20"/>
          <w:color w:val="auto"/>
        </w:rPr>
        <w:t>or be under any fiduciary duty to the Corporation or its stockholders to refrain from acting on behalf of the Corporation or any of its subsidiaries or on behalf of F&amp;G in respect of any such agreement or performing any such agreement in accordance with its terms.</w:t>
      </w:r>
    </w:p>
    <w:p>
      <w:pPr>
        <w:spacing w:after="0" w:line="167"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(C)          In the event that a director or officer of the Corporation who is also a director or officer of F&amp;G acquires knowledge of a potential transaction or matter which may be a corporate opportunity of both the Corporation and F&amp;G, such director or officer of the Corporation shall, to the fullest extent permitted by law, have fully satisfied and fulfilled the fiduciary duty of such director or officer to the Corporation and its stockholders with respect to such corporate opportunity, if such director or officer acts in a manner consistent with the following policy:</w:t>
      </w:r>
    </w:p>
    <w:p>
      <w:pPr>
        <w:spacing w:after="0" w:line="200" w:lineRule="exact"/>
        <w:rPr>
          <w:sz w:val="20"/>
          <w:szCs w:val="20"/>
          <w:color w:val="auto"/>
        </w:rPr>
      </w:pPr>
    </w:p>
    <w:p>
      <w:pPr>
        <w:jc w:val="both"/>
        <w:ind w:firstLine="591"/>
        <w:spacing w:after="0" w:line="257"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a corporate opportunity offered to any person who is an officer of the Corporation, and who is also a director but not an officer of F&amp;G, shall belong to the Corporation, unless such opportunity is expressly offered to such person in a capacity other than such person’s capacity as an officer of the Corporation, in which case it shall not belong to the Corporation;</w:t>
      </w:r>
    </w:p>
    <w:p>
      <w:pPr>
        <w:spacing w:after="0" w:line="176" w:lineRule="exact"/>
        <w:rPr>
          <w:sz w:val="20"/>
          <w:szCs w:val="20"/>
          <w:color w:val="auto"/>
        </w:rPr>
      </w:pPr>
    </w:p>
    <w:p>
      <w:pPr>
        <w:jc w:val="both"/>
        <w:ind w:firstLine="591"/>
        <w:spacing w:after="0" w:line="245"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a corporate opportunity offered to any person who is a director but not an officer of the Corporation, and who is also a director or officer of F&amp;G, shall belong to the Corporation only if such opportunity is expressly offered to such person in such person’s capacity as a director of the Corporation; and</w:t>
      </w:r>
    </w:p>
    <w:p>
      <w:pPr>
        <w:spacing w:after="0" w:line="183"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(iii)          a corporate opportunity offered to any person who is an officer of both the Corporation and F&amp;G shall belong to the Corporation only if such opportunity is expressly offered to such person in such person’s capacity as an officer of the Corporation.</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Notwithstanding the foregoing, the Corporation shall not be prohibited from pursuing any corporate opportunity of which the Corporation becomes aware.</w:t>
      </w:r>
    </w:p>
    <w:p>
      <w:pPr>
        <w:spacing w:after="0" w:line="167"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 xml:space="preserve">(D)          (i)            For purposes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only, a director of any company who is the chair of the board of directors of that company shall not be deemed to be an officer of the company solely by reason of holding such position.</w:t>
      </w:r>
    </w:p>
    <w:p>
      <w:pPr>
        <w:spacing w:after="0" w:line="167" w:lineRule="exact"/>
        <w:rPr>
          <w:sz w:val="20"/>
          <w:szCs w:val="20"/>
          <w:color w:val="auto"/>
        </w:rPr>
      </w:pPr>
    </w:p>
    <w:p>
      <w:pPr>
        <w:jc w:val="both"/>
        <w:ind w:firstLine="591"/>
        <w:spacing w:after="0" w:line="237" w:lineRule="auto"/>
        <w:rPr>
          <w:sz w:val="20"/>
          <w:szCs w:val="20"/>
          <w:color w:val="auto"/>
        </w:rPr>
      </w:pPr>
      <w:r>
        <w:rPr>
          <w:rFonts w:ascii="Times New Roman" w:cs="Times New Roman" w:eastAsia="Times New Roman" w:hAnsi="Times New Roman"/>
          <w:sz w:val="20"/>
          <w:szCs w:val="20"/>
          <w:color w:val="auto"/>
        </w:rPr>
        <w:t xml:space="preserve">(ii)            For purposes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only, the term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xml:space="preserve">” shall mean the Corporation and all corporations, partnerships, joint ventures, associations and other entities in which the Corporation beneficially owns (directly or indirectly) fifty percent or more of the outstanding voting stock, voting power, partnership interests or similar voting interests. For purposes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only, the term “</w:t>
      </w:r>
      <w:r>
        <w:rPr>
          <w:rFonts w:ascii="Times New Roman" w:cs="Times New Roman" w:eastAsia="Times New Roman" w:hAnsi="Times New Roman"/>
          <w:sz w:val="20"/>
          <w:szCs w:val="20"/>
          <w:u w:val="single" w:color="auto"/>
          <w:color w:val="auto"/>
        </w:rPr>
        <w:t>F&amp;G</w:t>
      </w:r>
      <w:r>
        <w:rPr>
          <w:rFonts w:ascii="Times New Roman" w:cs="Times New Roman" w:eastAsia="Times New Roman" w:hAnsi="Times New Roman"/>
          <w:sz w:val="20"/>
          <w:szCs w:val="20"/>
          <w:color w:val="auto"/>
        </w:rPr>
        <w:t>” shall mean F&amp;G Annuities &amp; Life, Inc., and any successor thereof, and all corporations, partnerships, joint ventures, associations and other entities in which it beneficially owns (directly or indirectly) fifty percent or more of the outstanding voting stock, voting power, partnership interests or similar voting interests.</w:t>
      </w:r>
    </w:p>
    <w:p>
      <w:pPr>
        <w:spacing w:after="0" w:line="190"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 xml:space="preserve">(E)          Anything in these Articles to the contrary notwithstanding, the foregoing provisions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shall terminate, expire and have no further force and effect on the date that no person who is a director or officer of the Corporation is also a director or officer of F&amp;G. Neither the alteration, amendment, termination, expiration or repeal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nor the adoption of any provision of these Articles inconsistent with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shall eliminate or reduce the effect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in respect of any matter occurring, or any cause of action, suit or claim that, but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 xml:space="preserve">for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would accrue or arise, prior to such alteration, amendment, termination, expiration, repeal or adoption.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STOCKHOLDER ACTION BY WRITTEN CONSENT</w:t>
      </w:r>
    </w:p>
    <w:p>
      <w:pPr>
        <w:spacing w:after="0" w:line="192" w:lineRule="exact"/>
        <w:rPr>
          <w:sz w:val="20"/>
          <w:szCs w:val="20"/>
          <w:color w:val="auto"/>
        </w:rPr>
      </w:pPr>
    </w:p>
    <w:p>
      <w:pPr>
        <w:jc w:val="both"/>
        <w:ind w:firstLine="591"/>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Action required or permitted to be taken at a stockholders’ meeting may be taken without a meeting or a vote if the action is taken by stockholders holding of record or otherwise entitled to vote in the aggregate not less than the minimum number of votes that would be necessary to authorize or take such action at a meeting at which all shares entitled to vote on the action were present and voted and in accordance with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Actions required or permitted to be taken by the stockholders of the Corporation at an annual or special meeting of the stockholders may be effected without a meeting by the written consent (each, a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xml:space="preserve">”) of (i) the holders of Common Stock but only if such action is taken in accordance with the provisions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or (ii) the holders of any class or series of Preferred Stock issued pursuant to these Articles, including any certificate of designation relating to such series of Preferred Stock, but only if the terms of such series of Preferred Stock expressly provide for such action by Consent.</w:t>
      </w:r>
    </w:p>
    <w:p>
      <w:pPr>
        <w:spacing w:after="0" w:line="200" w:lineRule="exact"/>
        <w:rPr>
          <w:sz w:val="20"/>
          <w:szCs w:val="20"/>
          <w:color w:val="auto"/>
        </w:rPr>
      </w:pPr>
    </w:p>
    <w:p>
      <w:pPr>
        <w:jc w:val="both"/>
        <w:ind w:firstLine="591"/>
        <w:spacing w:after="0" w:line="245"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The record date for determining stockholders entitled to authorize or take corporate action by Consent shall be as fixed by the Board of Directors or as otherwise established under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Any stockholder seeking to have the stockholders authorize or take corporate action by Consent shall, by written notice addressed to the Secretary of the Corporation and delivered to the principal executive offices of the Corporation and signed by holders of record owning not less than 15% of all issued and outstanding shares of Common Stock, as determined in accordance with any applicable requirements of the Bylaws, who shall continue to own not less than 15% of all issued and outstanding shares of Common Stock through the date of delivery of Consents signed by a sufficient number of stockholders to authorize or take such action and who shall not revoke such request, request that a record date be fixed for such purpose (each such notice, a “</w:t>
      </w:r>
      <w:r>
        <w:rPr>
          <w:rFonts w:ascii="Times New Roman" w:cs="Times New Roman" w:eastAsia="Times New Roman" w:hAnsi="Times New Roman"/>
          <w:sz w:val="19"/>
          <w:szCs w:val="19"/>
          <w:u w:val="single" w:color="auto"/>
          <w:color w:val="auto"/>
        </w:rPr>
        <w:t>Request</w:t>
      </w:r>
      <w:r>
        <w:rPr>
          <w:rFonts w:ascii="Times New Roman" w:cs="Times New Roman" w:eastAsia="Times New Roman" w:hAnsi="Times New Roman"/>
          <w:sz w:val="19"/>
          <w:szCs w:val="19"/>
          <w:color w:val="auto"/>
        </w:rPr>
        <w:t xml:space="preserve">”). The Request must contain the information set forth in Section D of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By the later of (i) twenty days after delivery of a valid Request and (ii) five days after delivery of any information requested by the Corporation pursuant to Section D of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the Board of Directors shall determine the validity of the Request and whether the Request relates to an action that may be authorized or taken by Consent pursuant to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and, if appropriate, adopt a resolution fixing the record date for such purpose. The record date for such purpose shall be no more than ten days after the date upon which the resolution fixing the record date is adopted by the Board of Directors and shall not precede the date such resolution is adopted. If the Request has been determined to be valid and to relate to an action that may be authorized or taken by Consent pursuant to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or if such no determination shall have been made by the date required by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and in either event no record date has been fixed by the Board of Directors, the record date shall be the day on which the first signed Consent is delivered to the Corporation in the manner described in Section H of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except that, if prior action by the Board of Directors is required under the provisions of the NRS, the record date shall be at the close of business on the day on which the Board of Directors adopts the resolution taking such prior action.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01" w:name="page102"/>
    <w:bookmarkEnd w:id="101"/>
    <w:p>
      <w:pPr>
        <w:jc w:val="both"/>
        <w:ind w:firstLine="590"/>
        <w:spacing w:after="0" w:line="234" w:lineRule="auto"/>
        <w:tabs>
          <w:tab w:leader="none" w:pos="9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Any Request (i) must be delivered by the holders of record owning not less than 15% of all issued and outstanding shares of Common Stock, as determined in accordance with any applicable requirements of the Bylaws (with evidence of such ownership attached), who shall continue to own not less than 15% of all issued and outstanding shares of Common Stock through the date of delivery of Consents and who shall not revoke such request, signed by a sufficient number of stockholders to authorize or take such action; (ii) must describe the action proposed to be authorized or taken by Consent; and (iii) must contain (a) such other information and representations, to the extent applicable, then required by the Bylaws as though each stockholder submitting such Request was submitting a notice of a nomination for election to the Board of Directors at an annual meeting of stockholders or of other business to be brought before an annual meeting of stockholders, (b) the text of the proposal (including the text of any resolutions to be adopted by Consent and the language of any proposed amendment to the Bylaws), and (c) any agreement of the requesting stockholders required by the Bylaws. The Board of Directors may require the stockholders submitting a Request to furnish such other information as it may require to determine the validity of the Request. Stockholders seeking to authorize or take action by Consent shall update the information provided in the Request as required by the Bylaws with respect to information provided concerning nominations for elections to the Board of Directors or other business at annual stockholders meetings.</w:t>
      </w:r>
    </w:p>
    <w:p>
      <w:pPr>
        <w:spacing w:after="0" w:line="200"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Stockholders are not entitled to authorize or take action by Consent if (i) the action relates to an item of business that is not a proper subject for stockholder action under applicable law, (ii) an identical or substantially similar item of business, as determined by the Board of Directors in its reasonable determination, which determination shall be conclusive and binding on the Corporation and its stockholders (a “</w:t>
      </w:r>
      <w:r>
        <w:rPr>
          <w:rFonts w:ascii="Times New Roman" w:cs="Times New Roman" w:eastAsia="Times New Roman" w:hAnsi="Times New Roman"/>
          <w:sz w:val="19"/>
          <w:szCs w:val="19"/>
          <w:u w:val="single" w:color="auto"/>
          <w:color w:val="auto"/>
        </w:rPr>
        <w:t>Similar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Item</w:t>
      </w:r>
      <w:r>
        <w:rPr>
          <w:rFonts w:ascii="Times New Roman" w:cs="Times New Roman" w:eastAsia="Times New Roman" w:hAnsi="Times New Roman"/>
          <w:sz w:val="19"/>
          <w:szCs w:val="19"/>
          <w:color w:val="auto"/>
        </w:rPr>
        <w:t>”) is included in the Corporation’s notice of meeting as an item of business to be brought before an annual or special stockholders meeting that has been called but not yet held or that is called to be held on a date within 90 days after the receipt by the Corporation of the Request for such action, provided that the removal of directors without electing replacements shall not be a Similar Item to the election of directors, or (iii) such Request was made in a manner that involved a violation of Regulation 14A promulgated under the Securities Exchange Act of 1934 (the “</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other applicable law.</w:t>
      </w:r>
    </w:p>
    <w:p>
      <w:pPr>
        <w:spacing w:after="0" w:line="188"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Stockholders may authorize or take action by Consent only if such Consents are solicited from all holders of common stock of the Corporation.</w:t>
      </w:r>
    </w:p>
    <w:p>
      <w:pPr>
        <w:spacing w:after="0" w:line="167" w:lineRule="exact"/>
        <w:rPr>
          <w:sz w:val="20"/>
          <w:szCs w:val="20"/>
          <w:color w:val="auto"/>
        </w:rPr>
      </w:pPr>
    </w:p>
    <w:p>
      <w:pPr>
        <w:jc w:val="both"/>
        <w:ind w:firstLine="590"/>
        <w:spacing w:after="0" w:line="241" w:lineRule="auto"/>
        <w:tabs>
          <w:tab w:leader="none" w:pos="89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Every Consent purporting to take or authorize the taking of corporate action must bear the date of signature of each stockholder who signs the Consent, and no Consent shall be effective to take or authorize the taking of the action referred to therein unless, within 60 days of the earliest dated Consent delivered in the manner required by Section H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Consents signed by a sufficient number of stockholders to authorize or take such action are so delivered to the Corporation.</w:t>
      </w:r>
    </w:p>
    <w:p>
      <w:pPr>
        <w:spacing w:after="0" w:line="195" w:lineRule="exact"/>
        <w:rPr>
          <w:sz w:val="20"/>
          <w:szCs w:val="20"/>
          <w:color w:val="auto"/>
        </w:rPr>
      </w:pPr>
    </w:p>
    <w:p>
      <w:pPr>
        <w:ind w:firstLine="591"/>
        <w:spacing w:after="0" w:line="250"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Every Consent purporting to take or authorize the taking of corporate action must be dated and delivered to the Corporation at its principal place of business, or at its registered office in the State of Nevada no earlier than 60 days after the delivery of a valid Request. Delivery</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must be made by hand or by certified or registered mail, return receipt requested. The Secretary of the Corporation, or such other officer of the Corporation as the Board of Directors may designate (an “</w:t>
      </w:r>
      <w:r>
        <w:rPr>
          <w:rFonts w:ascii="Times New Roman" w:cs="Times New Roman" w:eastAsia="Times New Roman" w:hAnsi="Times New Roman"/>
          <w:sz w:val="19"/>
          <w:szCs w:val="19"/>
          <w:u w:val="single" w:color="auto"/>
          <w:color w:val="auto"/>
        </w:rPr>
        <w:t>Other Officer</w:t>
      </w:r>
      <w:r>
        <w:rPr>
          <w:rFonts w:ascii="Times New Roman" w:cs="Times New Roman" w:eastAsia="Times New Roman" w:hAnsi="Times New Roman"/>
          <w:sz w:val="19"/>
          <w:szCs w:val="19"/>
          <w:color w:val="auto"/>
        </w:rPr>
        <w:t>”), shall provide for the safe-keeping of such Consents and any related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revocations and shall promptly conduct such ministerial review of the sufficiency of all Consents and any related revocations and of the validity of the action to be authorized or taken by Consent as the Secretary of the Corporation or Other Officer, as the case may be, deems necessary or appropriate, including, without limitation, whether the holders of a number of shares having the requisite voting power to authorize or take the action specified in the Consents have given consent; provided, however, that if the action to which the Consents relate is the removal or replacement of one or more members of the Board of Directors, the Secretary of the Corporation or Other Officer, as the case may be, shall promptly designate two persons, who shall not be members of the Board of Directors, to serve as inspectors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xml:space="preserve">”) with respect to such Consents and such Inspectors shall discharge the functions of the Secretary of the Corporation or Other Officer, as the case may be,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If after such investigation the Secretary of the Corporation, Other Officer, or Inspectors, as the case may be, shall determine that the action has been duly authorized or taken by the Consents, that fact shall be certified on the records of the Corporation and the Consents shall be filed in such records. In conducting the investigation required by this Section, the Secretary of the Corporation, Other Officer, or Inspectors, as the case may be, may retain special legal counsel and any other necessary or appropriate professional advisors as such person or persons may deem necessary or appropriate, at the expense of the Corporation, and shall be fully protected in relying in good faith upon the opinion of such counsel or advisors.</w:t>
      </w:r>
    </w:p>
    <w:p>
      <w:pPr>
        <w:spacing w:after="0" w:line="173" w:lineRule="exact"/>
        <w:rPr>
          <w:sz w:val="20"/>
          <w:szCs w:val="20"/>
          <w:color w:val="auto"/>
        </w:rPr>
      </w:pPr>
    </w:p>
    <w:p>
      <w:pPr>
        <w:jc w:val="both"/>
        <w:ind w:firstLine="591"/>
        <w:spacing w:after="0" w:line="236"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No action may be authorized or taken by the stockholders by Consent except in accordance with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If the Board of Directors shall determine that any Request was not properly made in accordance with, or relates to an action that may not be effected by Consent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or any stockholder seeking to authorize or take such action does not otherwise comply with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then the Board of Directors shall not be required to fix a record date and any such purported action by Consent shall be null and void to the fullest extent permitted by applicable law. No Consent shall be effective until such date as the Secretary of the Corporation, Other Officer, or Inspectors, as the case may be, certify to the Corporation that the Consents delivered to the Corporation in accordance with Section H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represent at least the minimum number of votes that would be necessary to authorize or take the corporate action at a meeting at which all shares entitled to vote thereon were present and voted, in accordance with Nevada law and these Articles.</w:t>
      </w:r>
    </w:p>
    <w:p>
      <w:pPr>
        <w:spacing w:after="0" w:line="187" w:lineRule="exact"/>
        <w:rPr>
          <w:sz w:val="20"/>
          <w:szCs w:val="20"/>
          <w:color w:val="auto"/>
        </w:rPr>
      </w:pPr>
    </w:p>
    <w:p>
      <w:pPr>
        <w:jc w:val="both"/>
        <w:ind w:firstLine="591"/>
        <w:spacing w:after="0" w:line="241"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shall in any way be construed to suggest or imply that the Board of Directors or any stockholder shall not be entitled to contest the validity of any Consent or related revocations, whether before or after such certification by the Secretary of the Corporation, Other Officer, or Inspectors, as the case may be, or to take any other action (including, without limitation, the commencement, prosecution, or defense of any litigation with respect thereto, and the seeking of injunctive relief in such litigation).</w:t>
      </w:r>
    </w:p>
    <w:p>
      <w:pPr>
        <w:spacing w:after="0" w:line="185" w:lineRule="exact"/>
        <w:rPr>
          <w:sz w:val="20"/>
          <w:szCs w:val="20"/>
          <w:color w:val="auto"/>
        </w:rPr>
      </w:pPr>
    </w:p>
    <w:p>
      <w:pPr>
        <w:jc w:val="both"/>
        <w:ind w:firstLine="591"/>
        <w:spacing w:after="0" w:line="245"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Notwithstanding anything to the contrary set forth above, (i) none of the foregoing provisions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shall apply to any solicitation of stockholder action by written consent by or at the direction of the Board of Directors and (ii) the Board of Directors shall be entitled to solicit stockholder action by Consent in accordance with applicable law.</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color w:val="auto"/>
        </w:rPr>
        <w:t>ARTICLE 10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NEVADA “COMBINATIONS WITH</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INTERESTED STOCKHOLDERS” STATUTES</w:t>
      </w:r>
    </w:p>
    <w:p>
      <w:pPr>
        <w:spacing w:after="0" w:line="1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The Corporation expressly elects to be subject to the provisions of NRS 78.411 to 78.444, inclusive, as amended from time to time.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DISSENTER’S RIGHTS</w:t>
      </w:r>
    </w:p>
    <w:p>
      <w:pPr>
        <w:spacing w:after="0" w:line="192" w:lineRule="exact"/>
        <w:rPr>
          <w:sz w:val="20"/>
          <w:szCs w:val="20"/>
          <w:color w:val="auto"/>
        </w:rPr>
      </w:pPr>
    </w:p>
    <w:p>
      <w:pPr>
        <w:jc w:val="both"/>
        <w:ind w:firstLine="591"/>
        <w:spacing w:after="0" w:line="241" w:lineRule="auto"/>
        <w:rPr>
          <w:sz w:val="20"/>
          <w:szCs w:val="20"/>
          <w:color w:val="auto"/>
        </w:rPr>
      </w:pPr>
      <w:r>
        <w:rPr>
          <w:rFonts w:ascii="Times New Roman" w:cs="Times New Roman" w:eastAsia="Times New Roman" w:hAnsi="Times New Roman"/>
          <w:sz w:val="20"/>
          <w:szCs w:val="20"/>
          <w:color w:val="auto"/>
        </w:rPr>
        <w:t>The provisions of NRS 92A.390(1) shall not be applicable to the holders of any class or series of shares of the Corporation’s capital stock with respect to any corporate action (i) for which corporate action dissenter’s rights would otherwise be available pursuant to NRS 92A.380, and (ii) the terms of which corporate action require the holders of such class or series to accept for such shares consideration consisting only of cash.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 PROVISIONS</w:t>
      </w:r>
    </w:p>
    <w:p>
      <w:pPr>
        <w:spacing w:after="0" w:line="192" w:lineRule="exact"/>
        <w:rPr>
          <w:sz w:val="20"/>
          <w:szCs w:val="20"/>
          <w:color w:val="auto"/>
        </w:rPr>
      </w:pPr>
    </w:p>
    <w:p>
      <w:pPr>
        <w:jc w:val="both"/>
        <w:ind w:firstLine="591"/>
        <w:spacing w:after="0" w:line="23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or provisions of these Articles shall be held to be invalid, illegal or unenforceable as applied to any circumstance for any reason whatsoever: (i) the validity, legality and enforceability of such provision(s) in any other circumstance and of the remaining provisions of these Articles (including, without limitation, each portion of any paragraph of the Articles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87" w:lineRule="exact"/>
        <w:rPr>
          <w:sz w:val="20"/>
          <w:szCs w:val="20"/>
          <w:color w:val="auto"/>
        </w:rPr>
      </w:pPr>
    </w:p>
    <w:p>
      <w:pPr>
        <w:jc w:val="both"/>
        <w:ind w:firstLine="591"/>
        <w:spacing w:after="0" w:line="238"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Deemed Notice and Consent</w:t>
      </w:r>
      <w:r>
        <w:rPr>
          <w:rFonts w:ascii="Times New Roman" w:cs="Times New Roman" w:eastAsia="Times New Roman" w:hAnsi="Times New Roman"/>
          <w:sz w:val="20"/>
          <w:szCs w:val="20"/>
          <w:color w:val="auto"/>
        </w:rPr>
        <w:t>. To the fullest extent permitted by law, any current stockholder of the Corporation at the time these Articles are effective, and each and every person or entity purchasing or otherwise acquiring any interest (of any nature whatsoever) in any shares of capital stock of the Corporation by reason of and from and after the time of such purchase or other acquisition, shall be deemed to have notice of and to have consented to all of the provisions of (i) these Articles, (ii) the Bylaws and (iii) any amendment to the Articles or the Bylaws enacted or adopted in accordance with the Articles, the Bylaws and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33"/>
          <w:szCs w:val="33"/>
          <w:b w:val="1"/>
          <w:bCs w:val="1"/>
          <w:color w:val="254F79"/>
        </w:rPr>
        <w:t>ANNEX B:</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254F79"/>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260350</wp:posOffset>
            </wp:positionV>
            <wp:extent cx="714438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AMENDED AND RESTATED BYLAWS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04"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and place of business of Fidelity National Financial,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at such location as established from time to time by resolution of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04" w:lineRule="exact"/>
        <w:rPr>
          <w:sz w:val="20"/>
          <w:szCs w:val="20"/>
          <w:color w:val="auto"/>
        </w:rPr>
      </w:pPr>
    </w:p>
    <w:p>
      <w:pPr>
        <w:jc w:val="both"/>
        <w:ind w:firstLine="591"/>
        <w:spacing w:after="0" w:line="25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stockholders of the Corporation shall be held on such date and at such time as may be designated from time to time by the Board of Directors. No business may be transacted at the annual meeting other than the election of directors and such other business as may be properly brought before the meeting pursuant to these Amended and Restated Bylaws (as amended from time to time,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Except as otherwise restricted by the articles of incorporation of the Corporation (as amended from time to time, the “</w:t>
      </w:r>
      <w:r>
        <w:rPr>
          <w:rFonts w:ascii="Times New Roman" w:cs="Times New Roman" w:eastAsia="Times New Roman" w:hAnsi="Times New Roman"/>
          <w:sz w:val="18"/>
          <w:szCs w:val="18"/>
          <w:u w:val="single" w:color="auto"/>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or applicable law, the Board of Directors may postpone, reschedule or cancel any annual meeting of stockholders.</w:t>
      </w:r>
    </w:p>
    <w:p>
      <w:pPr>
        <w:spacing w:after="0" w:line="187" w:lineRule="exact"/>
        <w:rPr>
          <w:sz w:val="20"/>
          <w:szCs w:val="20"/>
          <w:color w:val="auto"/>
        </w:rPr>
      </w:pPr>
    </w:p>
    <w:p>
      <w:pPr>
        <w:jc w:val="both"/>
        <w:ind w:firstLine="591"/>
        <w:spacing w:after="0" w:line="24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Unless otherwise prescribed by the Nevada Revised Statutes (as amended from time to time,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or the Articles of Incorporation, special meetings of the stockholders, for any purpose or purposes, may be called only by the chair of the board or the chief executive officer or, if there be no chair of the board and no chief executive officer, by the president, and shall be called by the secretary upon the written request (which request shall state the purpose or purposes of the meeting) of (i) at least a majority of the Board of Directors or (ii) the stockholders of the Corporation owning twenty-five percent (25%) or more of the issued and outstanding shares of the Corporation’s capital stock entitled to vote. Special meetings may not be called by any other person or persons. The chair of the board, chief executive officer, president or secretary so calling any such meeting shall fix the time, date and place for holding such special meeting. Except as otherwise restricted by the Articles of Incorporation or applicable law, the Board of Directors may postpone, reschedule or cancel any special meeting of stockholders. No business shall be acted upon at a special meeting of stockholders except as set forth in the notice of the meeting.</w:t>
      </w:r>
    </w:p>
    <w:p>
      <w:pPr>
        <w:spacing w:after="0" w:line="198" w:lineRule="exact"/>
        <w:rPr>
          <w:sz w:val="20"/>
          <w:szCs w:val="20"/>
          <w:color w:val="auto"/>
        </w:rPr>
      </w:pPr>
    </w:p>
    <w:p>
      <w:pPr>
        <w:jc w:val="both"/>
        <w:ind w:firstLine="591"/>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Unless a meeting is to be held solely by remote communication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any meeting of the stockholders of the Corporation may be held at the Corporation’s registered office in the State of Nevada or at such other place in or out of the State of Nevada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remote communications or other available technology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06" w:name="page107"/>
    <w:bookmarkEnd w:id="106"/>
    <w:p>
      <w:pPr>
        <w:ind w:left="681"/>
        <w:spacing w:after="0"/>
        <w:rPr>
          <w:sz w:val="20"/>
          <w:szCs w:val="20"/>
          <w:color w:val="auto"/>
        </w:rPr>
      </w:pPr>
      <w:r>
        <w:rPr>
          <w:rFonts w:ascii="Times New Roman" w:cs="Times New Roman" w:eastAsia="Times New Roman" w:hAnsi="Times New Roman"/>
          <w:sz w:val="18"/>
          <w:szCs w:val="18"/>
          <w:color w:val="auto"/>
        </w:rPr>
        <w:t>Section 2.4</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1" w:firstLine="1183"/>
        <w:spacing w:after="0" w:line="254" w:lineRule="auto"/>
        <w:rPr>
          <w:sz w:val="20"/>
          <w:szCs w:val="20"/>
          <w:color w:val="auto"/>
        </w:rPr>
      </w:pPr>
      <w:r>
        <w:rPr>
          <w:rFonts w:ascii="Times New Roman" w:cs="Times New Roman" w:eastAsia="Times New Roman" w:hAnsi="Times New Roman"/>
          <w:sz w:val="18"/>
          <w:szCs w:val="18"/>
          <w:color w:val="auto"/>
        </w:rPr>
        <w:t>(a)          The chief executive officer, the president, any vice president, the secretary, an assistant secretary or any other individual designated by the Board of Directors shall sign and deliver or cause to be delivered to the stockholders written notice of any stockholders’ meeting not less than ten</w:t>
      </w:r>
    </w:p>
    <w:p>
      <w:pPr>
        <w:spacing w:after="0" w:line="1" w:lineRule="exact"/>
        <w:rPr>
          <w:sz w:val="20"/>
          <w:szCs w:val="20"/>
          <w:color w:val="auto"/>
        </w:rPr>
      </w:pPr>
    </w:p>
    <w:p>
      <w:pPr>
        <w:jc w:val="both"/>
        <w:ind w:left="1" w:hanging="1"/>
        <w:spacing w:after="0" w:line="245" w:lineRule="auto"/>
        <w:tabs>
          <w:tab w:leader="none" w:pos="3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but not more than sixty (60) days, before the date of such meeting. The notice shall state the place, date and time of the meeting, the means of remote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NRS, including, without limitation, NRS 78.379, 92A.120 or 92A.410.</w:t>
      </w:r>
    </w:p>
    <w:p>
      <w:pPr>
        <w:spacing w:after="0" w:line="195" w:lineRule="exact"/>
        <w:rPr>
          <w:sz w:val="20"/>
          <w:szCs w:val="20"/>
          <w:color w:val="auto"/>
        </w:rPr>
      </w:pPr>
    </w:p>
    <w:p>
      <w:pPr>
        <w:jc w:val="both"/>
        <w:ind w:left="1" w:firstLine="1183"/>
        <w:spacing w:after="0" w:line="251" w:lineRule="auto"/>
        <w:rPr>
          <w:sz w:val="20"/>
          <w:szCs w:val="20"/>
          <w:color w:val="auto"/>
        </w:rPr>
      </w:pPr>
      <w:r>
        <w:rPr>
          <w:rFonts w:ascii="Times New Roman" w:cs="Times New Roman" w:eastAsia="Times New Roman" w:hAnsi="Times New Roman"/>
          <w:sz w:val="18"/>
          <w:szCs w:val="18"/>
          <w:color w:val="auto"/>
        </w:rPr>
        <w:t xml:space="preserve">(b)          In the case of an annual meeting,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82" w:lineRule="exact"/>
        <w:rPr>
          <w:sz w:val="20"/>
          <w:szCs w:val="20"/>
          <w:color w:val="auto"/>
        </w:rPr>
      </w:pPr>
    </w:p>
    <w:p>
      <w:pPr>
        <w:jc w:val="both"/>
        <w:ind w:left="1" w:firstLine="1183"/>
        <w:spacing w:after="0" w:line="244" w:lineRule="auto"/>
        <w:rPr>
          <w:sz w:val="20"/>
          <w:szCs w:val="20"/>
          <w:color w:val="auto"/>
        </w:rPr>
      </w:pPr>
      <w:r>
        <w:rPr>
          <w:rFonts w:ascii="Times New Roman" w:cs="Times New Roman" w:eastAsia="Times New Roman" w:hAnsi="Times New Roman"/>
          <w:sz w:val="17"/>
          <w:szCs w:val="17"/>
          <w:color w:val="auto"/>
        </w:rPr>
        <w:t>(c)          A copy of the notice shall be personally delivered or mailed postage prepaid to each stockholder of record entitled to vote at the meeting (unless the NRS requires delivery to all stockholders of record, in which case such notice shall be delivered to all such stockholders)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 (ii) by electronic 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205" w:lineRule="exact"/>
        <w:rPr>
          <w:sz w:val="20"/>
          <w:szCs w:val="20"/>
          <w:color w:val="auto"/>
        </w:rPr>
      </w:pPr>
    </w:p>
    <w:p>
      <w:pPr>
        <w:jc w:val="both"/>
        <w:ind w:left="1" w:firstLine="1183"/>
        <w:spacing w:after="0" w:line="253" w:lineRule="auto"/>
        <w:rPr>
          <w:sz w:val="20"/>
          <w:szCs w:val="20"/>
          <w:color w:val="auto"/>
        </w:rPr>
      </w:pPr>
      <w:r>
        <w:rPr>
          <w:rFonts w:ascii="Times New Roman" w:cs="Times New Roman" w:eastAsia="Times New Roman" w:hAnsi="Times New Roman"/>
          <w:sz w:val="18"/>
          <w:szCs w:val="18"/>
          <w:color w:val="auto"/>
        </w:rPr>
        <w:t>(d)          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829" w:right="339" w:bottom="1440" w:gutter="0" w:footer="0" w:header="0"/>
        </w:sectPr>
      </w:pPr>
    </w:p>
    <w:bookmarkStart w:id="107" w:name="page108"/>
    <w:bookmarkEnd w:id="107"/>
    <w:p>
      <w:pPr>
        <w:jc w:val="both"/>
        <w:ind w:firstLine="1183"/>
        <w:spacing w:after="0" w:line="275" w:lineRule="auto"/>
        <w:rPr>
          <w:sz w:val="20"/>
          <w:szCs w:val="20"/>
          <w:color w:val="auto"/>
        </w:rPr>
      </w:pPr>
      <w:r>
        <w:rPr>
          <w:rFonts w:ascii="Times New Roman" w:cs="Times New Roman" w:eastAsia="Times New Roman" w:hAnsi="Times New Roman"/>
          <w:sz w:val="18"/>
          <w:szCs w:val="18"/>
          <w:color w:val="auto"/>
        </w:rPr>
        <w:t>(e)          Any stockholder may waive notice of any meeting by a signed writing or by transmission of an electronic record, either before or after the meeting. Such waiver of notice shall be deemed the equivalent of the giving of such notice.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Section 2.5</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 </w:t>
      </w:r>
      <w:r>
        <w:rPr>
          <w:rFonts w:ascii="Times New Roman" w:cs="Times New Roman" w:eastAsia="Times New Roman" w:hAnsi="Times New Roman"/>
          <w:sz w:val="18"/>
          <w:szCs w:val="18"/>
          <w:u w:val="single" w:color="auto"/>
          <w:color w:val="auto"/>
        </w:rPr>
        <w:t>Determination of Stockholders of Record</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1183"/>
        <w:spacing w:after="0" w:line="253" w:lineRule="auto"/>
        <w:rPr>
          <w:sz w:val="20"/>
          <w:szCs w:val="20"/>
          <w:color w:val="auto"/>
        </w:rPr>
      </w:pPr>
      <w:r>
        <w:rPr>
          <w:rFonts w:ascii="Times New Roman" w:cs="Times New Roman" w:eastAsia="Times New Roman" w:hAnsi="Times New Roman"/>
          <w:sz w:val="18"/>
          <w:szCs w:val="18"/>
          <w:color w:val="auto"/>
        </w:rPr>
        <w:t>(a)          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87" w:lineRule="exact"/>
        <w:rPr>
          <w:sz w:val="20"/>
          <w:szCs w:val="20"/>
          <w:color w:val="auto"/>
        </w:rPr>
      </w:pPr>
    </w:p>
    <w:p>
      <w:pPr>
        <w:jc w:val="both"/>
        <w:ind w:firstLine="1183"/>
        <w:spacing w:after="0" w:line="275" w:lineRule="auto"/>
        <w:rPr>
          <w:sz w:val="20"/>
          <w:szCs w:val="20"/>
          <w:color w:val="auto"/>
        </w:rPr>
      </w:pPr>
      <w:r>
        <w:rPr>
          <w:rFonts w:ascii="Times New Roman" w:cs="Times New Roman" w:eastAsia="Times New Roman" w:hAnsi="Times New Roman"/>
          <w:sz w:val="18"/>
          <w:szCs w:val="18"/>
          <w:color w:val="auto"/>
        </w:rPr>
        <w:t xml:space="preserve">(b)          The record date for determining the stockholders entitled to take action by written consent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these Bylaws shall be as determined in accordance with Article 9 of the Articles of Incorporation.</w:t>
      </w:r>
    </w:p>
    <w:p>
      <w:pPr>
        <w:spacing w:after="0" w:line="166" w:lineRule="exact"/>
        <w:rPr>
          <w:sz w:val="20"/>
          <w:szCs w:val="20"/>
          <w:color w:val="auto"/>
        </w:rPr>
      </w:pPr>
    </w:p>
    <w:p>
      <w:pPr>
        <w:jc w:val="both"/>
        <w:ind w:firstLine="1183"/>
        <w:spacing w:after="0" w:line="248" w:lineRule="auto"/>
        <w:rPr>
          <w:sz w:val="20"/>
          <w:szCs w:val="20"/>
          <w:color w:val="auto"/>
        </w:rPr>
      </w:pPr>
      <w:r>
        <w:rPr>
          <w:rFonts w:ascii="Times New Roman" w:cs="Times New Roman" w:eastAsia="Times New Roman" w:hAnsi="Times New Roman"/>
          <w:sz w:val="18"/>
          <w:szCs w:val="18"/>
          <w:color w:val="auto"/>
        </w:rPr>
        <w:t>(c)          If no record date is fixed, the record date for determining the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sixty (60) days later than the date set for the original meeting.</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Section 2.6</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 </w:t>
      </w:r>
      <w:r>
        <w:rPr>
          <w:rFonts w:ascii="Times New Roman" w:cs="Times New Roman" w:eastAsia="Times New Roman" w:hAnsi="Times New Roman"/>
          <w:sz w:val="18"/>
          <w:szCs w:val="18"/>
          <w:u w:val="single" w:color="auto"/>
          <w:color w:val="auto"/>
        </w:rPr>
        <w:t>Quorum; Adjourned Meetings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1183"/>
        <w:spacing w:after="0" w:line="251" w:lineRule="auto"/>
        <w:rPr>
          <w:sz w:val="20"/>
          <w:szCs w:val="20"/>
          <w:color w:val="auto"/>
        </w:rPr>
      </w:pPr>
      <w:r>
        <w:rPr>
          <w:rFonts w:ascii="Times New Roman" w:cs="Times New Roman" w:eastAsia="Times New Roman" w:hAnsi="Times New Roman"/>
          <w:sz w:val="18"/>
          <w:szCs w:val="18"/>
          <w:color w:val="auto"/>
        </w:rPr>
        <w:t>(a)          Unless the Articles of Incorporation provide for a different proportion, stockholders holding at least a majority of the voting power of the Corporation’s capital stock, represented in person or by proxy (regardless of whether the proxy has authority to vote on any matter),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any matter), within each such class or series is necessary to constitute a quorum of each such class or series.</w:t>
      </w:r>
    </w:p>
    <w:p>
      <w:pPr>
        <w:spacing w:after="0" w:line="182" w:lineRule="exact"/>
        <w:rPr>
          <w:sz w:val="20"/>
          <w:szCs w:val="20"/>
          <w:color w:val="auto"/>
        </w:rPr>
      </w:pPr>
    </w:p>
    <w:p>
      <w:pPr>
        <w:jc w:val="both"/>
        <w:ind w:firstLine="1183"/>
        <w:spacing w:after="0" w:line="248" w:lineRule="auto"/>
        <w:rPr>
          <w:sz w:val="20"/>
          <w:szCs w:val="20"/>
          <w:color w:val="auto"/>
        </w:rPr>
      </w:pPr>
      <w:r>
        <w:rPr>
          <w:rFonts w:ascii="Times New Roman" w:cs="Times New Roman" w:eastAsia="Times New Roman" w:hAnsi="Times New Roman"/>
          <w:sz w:val="17"/>
          <w:szCs w:val="17"/>
          <w:color w:val="auto"/>
        </w:rPr>
        <w:t>(b)         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08" w:name="page109"/>
    <w:bookmarkEnd w:id="108"/>
    <w:p>
      <w:pPr>
        <w:ind w:left="680"/>
        <w:spacing w:after="0"/>
        <w:rPr>
          <w:sz w:val="20"/>
          <w:szCs w:val="20"/>
          <w:color w:val="auto"/>
        </w:rPr>
      </w:pPr>
      <w:r>
        <w:rPr>
          <w:rFonts w:ascii="Times New Roman" w:cs="Times New Roman" w:eastAsia="Times New Roman" w:hAnsi="Times New Roman"/>
          <w:sz w:val="18"/>
          <w:szCs w:val="18"/>
          <w:color w:val="auto"/>
        </w:rPr>
        <w:t>Section 2.7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1183"/>
        <w:spacing w:after="0" w:line="251" w:lineRule="auto"/>
        <w:rPr>
          <w:sz w:val="20"/>
          <w:szCs w:val="20"/>
          <w:color w:val="auto"/>
        </w:rPr>
      </w:pPr>
      <w:r>
        <w:rPr>
          <w:rFonts w:ascii="Times New Roman" w:cs="Times New Roman" w:eastAsia="Times New Roman" w:hAnsi="Times New Roman"/>
          <w:sz w:val="18"/>
          <w:szCs w:val="18"/>
          <w:color w:val="auto"/>
        </w:rPr>
        <w:t>(a)          Unless otherwise provided in the NRS, the Articles of Incorporation, or any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 or the date established by the Board of Directors in connection with stockholder action by written consent, as applicable.</w:t>
      </w:r>
    </w:p>
    <w:p>
      <w:pPr>
        <w:spacing w:after="0" w:line="187" w:lineRule="exact"/>
        <w:rPr>
          <w:sz w:val="20"/>
          <w:szCs w:val="20"/>
          <w:color w:val="auto"/>
        </w:rPr>
      </w:pPr>
    </w:p>
    <w:p>
      <w:pPr>
        <w:jc w:val="both"/>
        <w:ind w:firstLine="1182"/>
        <w:spacing w:after="0" w:line="247" w:lineRule="auto"/>
        <w:tabs>
          <w:tab w:leader="none" w:pos="143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otherwise provided in these Bylaws, all votes with respect to shares (including pledged shares) standing in the name of an individual at the close of business on the record date (or the date established by the Board of Directors in connection with stockholder action by written consent, as applicable)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94" w:lineRule="exact"/>
        <w:rPr>
          <w:sz w:val="20"/>
          <w:szCs w:val="20"/>
          <w:color w:val="auto"/>
        </w:rPr>
      </w:pPr>
    </w:p>
    <w:p>
      <w:pPr>
        <w:jc w:val="both"/>
        <w:ind w:firstLine="1183"/>
        <w:spacing w:after="0" w:line="249" w:lineRule="auto"/>
        <w:rPr>
          <w:sz w:val="20"/>
          <w:szCs w:val="20"/>
          <w:color w:val="auto"/>
        </w:rPr>
      </w:pPr>
      <w:r>
        <w:rPr>
          <w:rFonts w:ascii="Times New Roman" w:cs="Times New Roman" w:eastAsia="Times New Roman" w:hAnsi="Times New Roman"/>
          <w:sz w:val="18"/>
          <w:szCs w:val="18"/>
          <w:color w:val="auto"/>
        </w:rPr>
        <w:t>(c)          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 of the board, if any, the chief executive officer,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90"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(d)          Notwithstanding anything to the contrary contained in these Bylaws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80" w:lineRule="exact"/>
        <w:rPr>
          <w:sz w:val="20"/>
          <w:szCs w:val="20"/>
          <w:color w:val="auto"/>
        </w:rPr>
      </w:pPr>
    </w:p>
    <w:p>
      <w:pPr>
        <w:jc w:val="both"/>
        <w:ind w:firstLine="1183"/>
        <w:spacing w:after="0" w:line="253" w:lineRule="auto"/>
        <w:rPr>
          <w:sz w:val="20"/>
          <w:szCs w:val="20"/>
          <w:color w:val="auto"/>
        </w:rPr>
      </w:pPr>
      <w:r>
        <w:rPr>
          <w:rFonts w:ascii="Times New Roman" w:cs="Times New Roman" w:eastAsia="Times New Roman" w:hAnsi="Times New Roman"/>
          <w:sz w:val="18"/>
          <w:szCs w:val="18"/>
          <w:color w:val="auto"/>
        </w:rPr>
        <w:t>(e)          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87"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(f)          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9"/>
          <w:szCs w:val="19"/>
          <w:color w:val="auto"/>
        </w:rPr>
        <w:t>         </w:t>
      </w:r>
      <w:r>
        <w:rPr>
          <w:rFonts w:ascii="Times New Roman" w:cs="Times New Roman" w:eastAsia="Times New Roman" w:hAnsi="Times New Roman"/>
          <w:sz w:val="18"/>
          <w:szCs w:val="18"/>
          <w:color w:val="auto"/>
        </w:rPr>
        <w:t>If only one person votes, the vote of such person binds all.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09" w:name="page110"/>
    <w:bookmarkEnd w:id="109"/>
    <w:p>
      <w:pPr>
        <w:ind w:left="1780"/>
        <w:spacing w:after="0"/>
        <w:rPr>
          <w:sz w:val="20"/>
          <w:szCs w:val="20"/>
          <w:color w:val="auto"/>
        </w:rPr>
      </w:pPr>
      <w:r>
        <w:rPr>
          <w:rFonts w:ascii="Times New Roman" w:cs="Times New Roman" w:eastAsia="Times New Roman" w:hAnsi="Times New Roman"/>
          <w:sz w:val="17"/>
          <w:szCs w:val="17"/>
          <w:color w:val="auto"/>
        </w:rPr>
        <w:t>(ii)</w:t>
      </w:r>
      <w:r>
        <w:rPr>
          <w:rFonts w:ascii="Times New Roman" w:cs="Times New Roman" w:eastAsia="Times New Roman" w:hAnsi="Times New Roman"/>
          <w:sz w:val="19"/>
          <w:szCs w:val="19"/>
          <w:color w:val="auto"/>
        </w:rPr>
        <w:t>        </w:t>
      </w:r>
      <w:r>
        <w:rPr>
          <w:rFonts w:ascii="Times New Roman" w:cs="Times New Roman" w:eastAsia="Times New Roman" w:hAnsi="Times New Roman"/>
          <w:sz w:val="17"/>
          <w:szCs w:val="17"/>
          <w:color w:val="auto"/>
        </w:rPr>
        <w:t>If more than one person casts votes, the act of the majority so voting binds all.</w:t>
      </w:r>
    </w:p>
    <w:p>
      <w:pPr>
        <w:spacing w:after="0" w:line="23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(iii)       If more than one person casts votes, but the vote is evenly split on a particular matter, the votes shall be deemed cast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proportionately, as split.</w:t>
      </w:r>
    </w:p>
    <w:p>
      <w:pPr>
        <w:spacing w:after="0" w:line="204"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(g)          If a quorum is present, unless the Articles of Incorporation, these Bylaws, the NRS, or other applicable law provide for a different proportion, action by the stockholders entitled to vote on a matter, other than the election of directors, is approved by and is the act and decision of the stockholders if approved by the vote of the holders of a majority of the stock represented and entitled to vote at such meeting.</w:t>
      </w:r>
    </w:p>
    <w:p>
      <w:pPr>
        <w:spacing w:after="0" w:line="180" w:lineRule="exact"/>
        <w:rPr>
          <w:sz w:val="20"/>
          <w:szCs w:val="20"/>
          <w:color w:val="auto"/>
        </w:rPr>
      </w:pPr>
    </w:p>
    <w:p>
      <w:pPr>
        <w:jc w:val="both"/>
        <w:ind w:firstLine="1183"/>
        <w:spacing w:after="0" w:line="245" w:lineRule="auto"/>
        <w:rPr>
          <w:sz w:val="20"/>
          <w:szCs w:val="20"/>
          <w:color w:val="auto"/>
        </w:rPr>
      </w:pPr>
      <w:r>
        <w:rPr>
          <w:rFonts w:ascii="Times New Roman" w:cs="Times New Roman" w:eastAsia="Times New Roman" w:hAnsi="Times New Roman"/>
          <w:sz w:val="18"/>
          <w:szCs w:val="18"/>
          <w:color w:val="auto"/>
        </w:rPr>
        <w:t>(h)          If a quorum is present, each director shall be elected by a majority of the votes cast with respect to the director at any meeting for the election of directors, provided that, if as of the date that is ten (10) days in advance of the date the Corporation files its definitive proxy statement (regardless of whether or not thereafter revised or supplemented)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number of director nominees exceeds the number of directors to be elected in such election (a “</w:t>
      </w:r>
      <w:r>
        <w:rPr>
          <w:rFonts w:ascii="Times New Roman" w:cs="Times New Roman" w:eastAsia="Times New Roman" w:hAnsi="Times New Roman"/>
          <w:sz w:val="18"/>
          <w:szCs w:val="18"/>
          <w:u w:val="single" w:color="auto"/>
          <w:color w:val="auto"/>
        </w:rPr>
        <w:t>contested election</w:t>
      </w:r>
      <w:r>
        <w:rPr>
          <w:rFonts w:ascii="Times New Roman" w:cs="Times New Roman" w:eastAsia="Times New Roman" w:hAnsi="Times New Roman"/>
          <w:sz w:val="18"/>
          <w:szCs w:val="18"/>
          <w:color w:val="auto"/>
        </w:rPr>
        <w:t xml:space="preserve">”), the directors shall be elected by the vote of a plurality of the votes cast. For purposes of this </w:t>
      </w:r>
      <w:r>
        <w:rPr>
          <w:rFonts w:ascii="Times New Roman" w:cs="Times New Roman" w:eastAsia="Times New Roman" w:hAnsi="Times New Roman"/>
          <w:sz w:val="18"/>
          <w:szCs w:val="18"/>
          <w:u w:val="single" w:color="auto"/>
          <w:color w:val="auto"/>
        </w:rPr>
        <w:t>Section 2.7(h)</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majority of the votes cast</w:t>
      </w:r>
      <w:r>
        <w:rPr>
          <w:rFonts w:ascii="Times New Roman" w:cs="Times New Roman" w:eastAsia="Times New Roman" w:hAnsi="Times New Roman"/>
          <w:sz w:val="18"/>
          <w:szCs w:val="18"/>
          <w:color w:val="auto"/>
        </w:rPr>
        <w:t>” means that the number of votes cast “for” a director must exceed the number of votes cast “against” that director (with “abstentions” and “broker non-votes” not counted as a vote either “for” or “against” that directors’ election). If directors are to be elected by a plurality of the votes cast in a contested election, stockholders shall not be permitted to vote against a nominee. In an uncontested election of directors, any incumbent director who does not receive a majority of the votes cast will promptly tender his or her resignation to the Board of Directors. The Board of Directors will decide, after considering the recommendation of the Corporation’s corporate governance and nominating committee (the “</w:t>
      </w:r>
      <w:r>
        <w:rPr>
          <w:rFonts w:ascii="Times New Roman" w:cs="Times New Roman" w:eastAsia="Times New Roman" w:hAnsi="Times New Roman"/>
          <w:sz w:val="18"/>
          <w:szCs w:val="18"/>
          <w:u w:val="single" w:color="auto"/>
          <w:color w:val="auto"/>
        </w:rPr>
        <w:t>Corporate Governance and Nominating Committee</w:t>
      </w:r>
      <w:r>
        <w:rPr>
          <w:rFonts w:ascii="Times New Roman" w:cs="Times New Roman" w:eastAsia="Times New Roman" w:hAnsi="Times New Roman"/>
          <w:sz w:val="18"/>
          <w:szCs w:val="18"/>
          <w:color w:val="auto"/>
        </w:rPr>
        <w:t xml:space="preserve">”), whether to accept or reject the tendered resignation, or whether other action should be taken. The nominee in question will not participate in the recommendation or decision-making process. The explanation by the Board of Directors of its decision will be publicly disclosed within ninety (90) days from the date of publication of the election results. The Corporate Governance and Nominating Committee and the Board of Directors may consider any factor deemed appropriate in making this determination. If a director’s resignation is accepted by the Board of Directors pursuant to this section, or if a nominee for director is not elected and the nominee is not an incumbent director, then the Board of Directors, in its sole discretion, may fill any resulting vacancy pursuant to the provisions of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80"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 Any action required or permitted to be taken at any annual or special meeting of stockholders of the Corporation may be taken without a meeting upon the written consent of the stockholders, but only if such action is taken in accordance with the provisions of Article 9 of the Articles of Incorporation.</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1182"/>
        <w:spacing w:after="0" w:line="259" w:lineRule="auto"/>
        <w:tabs>
          <w:tab w:leader="none" w:pos="14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Meetings of stockholders shall be presided over by the chair of the board, or, in the absence of the chair of the board, by the vice chair of the board, if any, or if there be no vice chair or in the absence of the vice chair, by the chief executive officer, or if there be no chief executive officer or in the absence of the chief executive officer, by the president, or, in the absence of the president, or, in the absence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10" w:name="page111"/>
    <w:bookmarkEnd w:id="110"/>
    <w:p>
      <w:pPr>
        <w:jc w:val="both"/>
        <w:spacing w:after="0" w:line="245" w:lineRule="auto"/>
        <w:rPr>
          <w:sz w:val="20"/>
          <w:szCs w:val="20"/>
          <w:color w:val="auto"/>
        </w:rPr>
      </w:pPr>
      <w:r>
        <w:rPr>
          <w:rFonts w:ascii="Times New Roman" w:cs="Times New Roman" w:eastAsia="Times New Roman" w:hAnsi="Times New Roman"/>
          <w:sz w:val="18"/>
          <w:szCs w:val="18"/>
          <w:color w:val="auto"/>
        </w:rPr>
        <w:t>of any of the foregoing persons, by a chair designated by the Board of Directors, or by a chair chosen at the meeting by the stockholders entitled to cast a majority of the votes which all stockholders present in person or by proxy are entitled to cast. The individual acting as chair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 The chair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 The Board of Directors, in its discretion, or the chair of the meeting, in his or her discretion, may require that any votes cast at such meeting shall be cast by written ballot.</w:t>
      </w:r>
    </w:p>
    <w:p>
      <w:pPr>
        <w:spacing w:after="0" w:line="200" w:lineRule="exact"/>
        <w:rPr>
          <w:sz w:val="20"/>
          <w:szCs w:val="20"/>
          <w:color w:val="auto"/>
        </w:rPr>
      </w:pPr>
    </w:p>
    <w:p>
      <w:pPr>
        <w:jc w:val="both"/>
        <w:ind w:firstLine="1183"/>
        <w:spacing w:after="0" w:line="253" w:lineRule="auto"/>
        <w:rPr>
          <w:sz w:val="20"/>
          <w:szCs w:val="20"/>
          <w:color w:val="auto"/>
        </w:rPr>
      </w:pPr>
      <w:r>
        <w:rPr>
          <w:rFonts w:ascii="Times New Roman" w:cs="Times New Roman" w:eastAsia="Times New Roman" w:hAnsi="Times New Roman"/>
          <w:sz w:val="18"/>
          <w:szCs w:val="18"/>
          <w:color w:val="auto"/>
        </w:rPr>
        <w:t>(b)           The chair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87"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Consent to Meetings</w:t>
      </w:r>
      <w:r>
        <w:rPr>
          <w:rFonts w:ascii="Times New Roman" w:cs="Times New Roman" w:eastAsia="Times New Roman" w:hAnsi="Times New Roman"/>
          <w:sz w:val="18"/>
          <w:szCs w:val="18"/>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90" w:lineRule="exact"/>
        <w:rPr>
          <w:sz w:val="20"/>
          <w:szCs w:val="20"/>
          <w:color w:val="auto"/>
        </w:rPr>
      </w:pPr>
    </w:p>
    <w:p>
      <w:pPr>
        <w:jc w:val="both"/>
        <w:ind w:firstLine="592"/>
        <w:spacing w:after="0" w:line="248"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Director Nominations and Business Conducted at Meetings of Stockholders</w:t>
      </w:r>
      <w:r>
        <w:rPr>
          <w:rFonts w:ascii="Times New Roman" w:cs="Times New Roman" w:eastAsia="Times New Roman" w:hAnsi="Times New Roman"/>
          <w:sz w:val="18"/>
          <w:szCs w:val="18"/>
          <w:color w:val="auto"/>
        </w:rPr>
        <w:t xml:space="preserve">. Nominations of persons for election to the Board of Directors and the proposal of business to be considered by the stockholders may be made (i) at any annual meeting of stockholders or at any special meeting of stockholders called for the purpose of electing directors (A) by or at the direction of the Board of Directors (or any duly authorized committee thereof) or (B) by any stockholder of the Corporation who is a stockholder of record on the date of the giving of the notice provided for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on the record date for the determination of stockholders entitled to vote at such annual or special meeting and who complies with the notice procedures set forth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(other than with respect to nominations made in accordance with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or (ii) at any annual meeting, by an Eligible Stockholder (as defined in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of these Bylaws) that meets the requirements of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of these Bylaws.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Advance Notice of Director Nominations and Stockholder Proposals by Stockholders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 xml:space="preserve">(a)         Only such persons who are nominated in accordance with the procedures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eligible for election as directors of the Corporation, except as may be otherwise provided in the Articles of Incorporation with respect to the right of holders of preferred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11" w:name="page112"/>
    <w:bookmarkEnd w:id="111"/>
    <w:p>
      <w:pPr>
        <w:jc w:val="both"/>
        <w:ind w:left="1"/>
        <w:spacing w:after="0" w:line="275" w:lineRule="auto"/>
        <w:rPr>
          <w:sz w:val="20"/>
          <w:szCs w:val="20"/>
          <w:color w:val="auto"/>
        </w:rPr>
      </w:pPr>
      <w:r>
        <w:rPr>
          <w:rFonts w:ascii="Times New Roman" w:cs="Times New Roman" w:eastAsia="Times New Roman" w:hAnsi="Times New Roman"/>
          <w:sz w:val="18"/>
          <w:szCs w:val="18"/>
          <w:color w:val="auto"/>
        </w:rPr>
        <w:t xml:space="preserve">stock of the Corporation to nominate and elect a specified number of directors in certain circumstances. Only such business shall be conducted at a meeting of stockholders as shall have been brought before the meeting in accordance with the procedures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1" w:firstLine="1184"/>
        <w:spacing w:after="0" w:line="248" w:lineRule="auto"/>
        <w:rPr>
          <w:sz w:val="20"/>
          <w:szCs w:val="20"/>
          <w:color w:val="auto"/>
        </w:rPr>
      </w:pPr>
      <w:r>
        <w:rPr>
          <w:rFonts w:ascii="Times New Roman" w:cs="Times New Roman" w:eastAsia="Times New Roman" w:hAnsi="Times New Roman"/>
          <w:sz w:val="18"/>
          <w:szCs w:val="18"/>
          <w:color w:val="auto"/>
        </w:rPr>
        <w:t>(b)          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one-hundred and twenty (120) days prior to the anniversary date of the date of the proxy statement for the immediately preceding annual meeting; provided, however, that in the event that the annual meeting is called for a date that is not within thirty (30) days before or after the anniversary date of the immediately preceding annual</w:t>
      </w:r>
    </w:p>
    <w:p>
      <w:pPr>
        <w:jc w:val="both"/>
        <w:ind w:left="1"/>
        <w:spacing w:after="0" w:line="223" w:lineRule="auto"/>
        <w:rPr>
          <w:sz w:val="20"/>
          <w:szCs w:val="20"/>
          <w:color w:val="auto"/>
        </w:rPr>
      </w:pPr>
      <w:r>
        <w:rPr>
          <w:rFonts w:ascii="Times New Roman" w:cs="Times New Roman" w:eastAsia="Times New Roman" w:hAnsi="Times New Roman"/>
          <w:sz w:val="18"/>
          <w:szCs w:val="18"/>
          <w:color w:val="auto"/>
        </w:rPr>
        <w:t>meeting, notice by the stockholder in order to be timely must be so received not later than the close of business on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day on which public disclosure of the date of the annual meeting was first made. To be in proper written form, a stockholder's notice to the secretary of the Corporation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w:t>
      </w:r>
    </w:p>
    <w:p>
      <w:pPr>
        <w:spacing w:after="0" w:line="5" w:lineRule="exact"/>
        <w:rPr>
          <w:sz w:val="20"/>
          <w:szCs w:val="20"/>
          <w:color w:val="auto"/>
        </w:rPr>
      </w:pPr>
    </w:p>
    <w:p>
      <w:pPr>
        <w:jc w:val="both"/>
        <w:ind w:left="1" w:hanging="1"/>
        <w:spacing w:after="0" w:line="245" w:lineRule="auto"/>
        <w:tabs>
          <w:tab w:leader="none" w:pos="3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If the chair of the meeting determines that business was not properly brought before the annual meeting in accordance with the foregoing procedures, the chair shall declare to the meeting that the business was not properly brought before the meeting and such business shall not be discussed or transacted.</w:t>
      </w:r>
    </w:p>
    <w:p>
      <w:pPr>
        <w:spacing w:after="0" w:line="180" w:lineRule="exact"/>
        <w:rPr>
          <w:sz w:val="20"/>
          <w:szCs w:val="20"/>
          <w:color w:val="auto"/>
        </w:rPr>
      </w:pPr>
    </w:p>
    <w:p>
      <w:pPr>
        <w:jc w:val="both"/>
        <w:ind w:left="1" w:firstLine="1184"/>
        <w:spacing w:after="0" w:line="232" w:lineRule="auto"/>
        <w:rPr>
          <w:sz w:val="20"/>
          <w:szCs w:val="20"/>
          <w:color w:val="auto"/>
        </w:rPr>
      </w:pPr>
      <w:r>
        <w:rPr>
          <w:rFonts w:ascii="Times New Roman" w:cs="Times New Roman" w:eastAsia="Times New Roman" w:hAnsi="Times New Roman"/>
          <w:sz w:val="18"/>
          <w:szCs w:val="18"/>
          <w:color w:val="auto"/>
        </w:rPr>
        <w:t xml:space="preserve">(c)           In addition to any other applicable requirements, for a nomination to be made by a stockholder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such stockholder must have given timely notice thereof in proper written form to the secretary of the Corporation. To be timely, such stockholder’s notice to the secretary must be delivered to or mailed and received at the principal executive offices of the Corporation (i) in the case of an annual meeting, not less than one-hundred and twenty (120) days prior to the anniversary date of the date of the proxy statement for the immediately preceding annual meeting; provided, however, that in the event that the annual meeting is called for a date that is not within thirty (30) days before or after the anniversary date of the immediately preceding annual meeting, notice by the stockholder in order to be timely must be so received not later than the close of business on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day on which public disclosure of the date of the annual meeting was first made; and (ii) in the case of a special meeting called for</w:t>
      </w:r>
    </w:p>
    <w:p>
      <w:pPr>
        <w:spacing w:after="0" w:line="4" w:lineRule="exact"/>
        <w:rPr>
          <w:sz w:val="20"/>
          <w:szCs w:val="20"/>
          <w:color w:val="auto"/>
        </w:rPr>
      </w:pPr>
    </w:p>
    <w:p>
      <w:pPr>
        <w:jc w:val="both"/>
        <w:ind w:left="1"/>
        <w:spacing w:after="0" w:line="205" w:lineRule="auto"/>
        <w:rPr>
          <w:sz w:val="20"/>
          <w:szCs w:val="20"/>
          <w:color w:val="auto"/>
        </w:rPr>
      </w:pPr>
      <w:r>
        <w:rPr>
          <w:rFonts w:ascii="Times New Roman" w:cs="Times New Roman" w:eastAsia="Times New Roman" w:hAnsi="Times New Roman"/>
          <w:sz w:val="18"/>
          <w:szCs w:val="18"/>
          <w:color w:val="auto"/>
        </w:rPr>
        <w:t>the purpose of electing directors, not later than the close of business on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day on which public disclosure of the date of the special meeting was first made.</w:t>
      </w:r>
    </w:p>
    <w:p>
      <w:pPr>
        <w:spacing w:after="0" w:line="184" w:lineRule="exact"/>
        <w:rPr>
          <w:sz w:val="20"/>
          <w:szCs w:val="20"/>
          <w:color w:val="auto"/>
        </w:rPr>
      </w:pPr>
    </w:p>
    <w:p>
      <w:pPr>
        <w:jc w:val="both"/>
        <w:ind w:left="1" w:firstLine="1182"/>
        <w:spacing w:after="0" w:line="247" w:lineRule="auto"/>
        <w:tabs>
          <w:tab w:leader="none" w:pos="1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For a nomination made pursuant to </w:t>
      </w:r>
      <w:r>
        <w:rPr>
          <w:rFonts w:ascii="Times New Roman" w:cs="Times New Roman" w:eastAsia="Times New Roman" w:hAnsi="Times New Roman"/>
          <w:sz w:val="18"/>
          <w:szCs w:val="18"/>
          <w:u w:val="single" w:color="auto"/>
          <w:color w:val="auto"/>
        </w:rPr>
        <w:t>Section 2.12(i)(B)</w:t>
      </w:r>
      <w:r>
        <w:rPr>
          <w:rFonts w:ascii="Times New Roman" w:cs="Times New Roman" w:eastAsia="Times New Roman" w:hAnsi="Times New Roman"/>
          <w:sz w:val="18"/>
          <w:szCs w:val="18"/>
          <w:color w:val="auto"/>
        </w:rPr>
        <w:t xml:space="preserve"> to be in proper written form, a stockholder’s notice of nomination submitted to the secretary of the Corporation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which are owned beneficially or of record by the person, (D) a description of all direct and indirect compensation and other material monetary agreements, arrangements and understandings during the past three years, and any other material relationships, between or among the stockholder and the beneficial owner, if any, on whose behalf the nomination is being made and their respective affiliates and associates, or others acting in concert therewith, on the one hand, and each such nominee, and his or her respective affiliates and associates, or others acting in concert therewith, on the other hand, including all information that would be required to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1055" w:right="339" w:bottom="1440" w:gutter="0" w:footer="0" w:header="0"/>
        </w:sectPr>
      </w:pPr>
    </w:p>
    <w:bookmarkStart w:id="112" w:name="page113"/>
    <w:bookmarkEnd w:id="112"/>
    <w:p>
      <w:pPr>
        <w:jc w:val="both"/>
        <w:spacing w:after="0" w:line="244" w:lineRule="auto"/>
        <w:rPr>
          <w:sz w:val="20"/>
          <w:szCs w:val="20"/>
          <w:color w:val="auto"/>
        </w:rPr>
      </w:pPr>
      <w:r>
        <w:rPr>
          <w:rFonts w:ascii="Times New Roman" w:cs="Times New Roman" w:eastAsia="Times New Roman" w:hAnsi="Times New Roman"/>
          <w:sz w:val="18"/>
          <w:szCs w:val="18"/>
          <w:color w:val="auto"/>
        </w:rPr>
        <w:t>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nominee were a director or executive officer of such registrant and (E) any other information relating to the person that would be required to be disclosed in a proxy statement or other filing required to be made in connection with solicitations of proxies for election of directors pursuant to Section 14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(including each such nominee’s written consent to be named as a nominee and to serve as a director if elected); (ii) as to the stockholder giving the notice and the beneficial owner, if any, on whose behalf the nomination is made, (A) the name and record address of such stockholder and the name and address of such beneficial owner, (B) the class or series and number of shares of capital stock of the Corporation which are owned beneficially or of record by such stockholder and such beneficial owner, (C) a description of all agreements, arrangements or understandings between or among such stockholder and/or such beneficial owner and each proposed nominee and any other person or persons (including their names) pursuant to which the nomination(s) are to be made by such stockholder, (D)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 the effect or intent of which is to mitigate loss to, manage risk or benefit of share price changes for, or increase or decrease the voting power of, such stockholder or such beneficial owner with respect to shares of stock of the Corporation, (E) a representation that such stockholder intends to appear in person or by proxy at the annual meeting to nominate the persons named in its notice and is a holder of record of stock of the Corporation entitled to vote at such meeting, and (F) any other information relating to such stockholder and such beneficial owner that would be required to be disclosed in a proxy statement or other filings required to be made in connection with solicitations of proxies for election of directors pursuant to Section 14 of the Exchange Act and the rules and regulations promulgated thereunder; and (iii) a representation as to whether either such stockholder or such beneficial owner, alone or as part of a group, intends (A) to deliver a proxy statement and/or form of proxy to holders of at least the percentage of the Corporation’s outstanding capital stock required to elect the nominee and/or (B) otherwise to solicit proxies from stockholders in support of such nominee. The Corporation may require any proposed nominee to furnish such other information as it may reasonably require to determine the eligibility and qualifications of such proposed nominee to serve as a director of the Corporation or that could be material to a reasonable stockholder’s understanding of the independence, or lack thereof, of such nominee.</w:t>
      </w:r>
    </w:p>
    <w:p>
      <w:pPr>
        <w:spacing w:after="0" w:line="188" w:lineRule="exact"/>
        <w:rPr>
          <w:sz w:val="20"/>
          <w:szCs w:val="20"/>
          <w:color w:val="auto"/>
        </w:rPr>
      </w:pPr>
    </w:p>
    <w:p>
      <w:pPr>
        <w:jc w:val="both"/>
        <w:ind w:firstLine="1184"/>
        <w:spacing w:after="0" w:line="246" w:lineRule="auto"/>
        <w:rPr>
          <w:sz w:val="20"/>
          <w:szCs w:val="20"/>
          <w:color w:val="auto"/>
        </w:rPr>
      </w:pPr>
      <w:r>
        <w:rPr>
          <w:rFonts w:ascii="Times New Roman" w:cs="Times New Roman" w:eastAsia="Times New Roman" w:hAnsi="Times New Roman"/>
          <w:sz w:val="18"/>
          <w:szCs w:val="18"/>
          <w:color w:val="auto"/>
        </w:rPr>
        <w:t xml:space="preserve">(e)          Subject to the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the Corporation shall include in its proxy statement and on its proxy card for any annual meeting the name of any proxy access nominee for election to the Board of Directors who is properly submitted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Proxy Access Nominee</w:t>
      </w:r>
      <w:r>
        <w:rPr>
          <w:rFonts w:ascii="Times New Roman" w:cs="Times New Roman" w:eastAsia="Times New Roman" w:hAnsi="Times New Roman"/>
          <w:sz w:val="18"/>
          <w:szCs w:val="18"/>
          <w:color w:val="auto"/>
        </w:rPr>
        <w:t xml:space="preserve">”) provided that (i) timely written notice of such Proxy Access Nominee satisfying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Nomination Notice</w:t>
      </w:r>
      <w:r>
        <w:rPr>
          <w:rFonts w:ascii="Times New Roman" w:cs="Times New Roman" w:eastAsia="Times New Roman" w:hAnsi="Times New Roman"/>
          <w:sz w:val="18"/>
          <w:szCs w:val="18"/>
          <w:color w:val="auto"/>
        </w:rPr>
        <w:t xml:space="preserve">”) is delivered to the Corporation by or on behalf of a stockholder or group of stockholders that, at the time the Proxy Access Nomination Notice is delivered, satisfy the ownership and other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(such stockholder or stockholders, and any person on whose behalf they are acting, the “</w:t>
      </w:r>
      <w:r>
        <w:rPr>
          <w:rFonts w:ascii="Times New Roman" w:cs="Times New Roman" w:eastAsia="Times New Roman" w:hAnsi="Times New Roman"/>
          <w:sz w:val="18"/>
          <w:szCs w:val="18"/>
          <w:u w:val="single" w:color="auto"/>
          <w:color w:val="auto"/>
        </w:rPr>
        <w:t>Eligible Stockholder</w:t>
      </w:r>
      <w:r>
        <w:rPr>
          <w:rFonts w:ascii="Times New Roman" w:cs="Times New Roman" w:eastAsia="Times New Roman" w:hAnsi="Times New Roman"/>
          <w:sz w:val="18"/>
          <w:szCs w:val="18"/>
          <w:color w:val="auto"/>
        </w:rPr>
        <w:t xml:space="preserve">”), (ii) the Eligible Stockholder expressly elects in writing at the time of providing the Proxy Access Nomination Notice to have its nominee included in the Corporation’s proxy statement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 (iii) the Eligible Stockholder and the Proxy Access Nominee otherwise satisfy the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 the director qualification requirements set forth in the Corporation’s corporate governance guidelines or other document(s) setting forth qualifications for directors (the “</w:t>
      </w:r>
      <w:r>
        <w:rPr>
          <w:rFonts w:ascii="Times New Roman" w:cs="Times New Roman" w:eastAsia="Times New Roman" w:hAnsi="Times New Roman"/>
          <w:sz w:val="18"/>
          <w:szCs w:val="18"/>
          <w:u w:val="single" w:color="auto"/>
          <w:color w:val="auto"/>
        </w:rPr>
        <w:t>Corporate Governance Guidelines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1774"/>
        <w:spacing w:after="0" w:line="275" w:lineRule="auto"/>
        <w:rPr>
          <w:sz w:val="20"/>
          <w:szCs w:val="20"/>
          <w:color w:val="auto"/>
        </w:rPr>
      </w:pPr>
      <w:r>
        <w:rPr>
          <w:rFonts w:ascii="Times New Roman" w:cs="Times New Roman" w:eastAsia="Times New Roman" w:hAnsi="Times New Roman"/>
          <w:sz w:val="18"/>
          <w:szCs w:val="18"/>
          <w:color w:val="auto"/>
        </w:rPr>
        <w:t xml:space="preserve"> (i)          To be timely, an Eligible Stockholder’s Proxy Access Nomination Notice must meet the advance notice requirements set forth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of these Bylaws.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3" w:name="page114"/>
    <w:bookmarkEnd w:id="113"/>
    <w:p>
      <w:pPr>
        <w:jc w:val="both"/>
        <w:ind w:firstLine="1774"/>
        <w:spacing w:after="0" w:line="249" w:lineRule="auto"/>
        <w:rPr>
          <w:sz w:val="20"/>
          <w:szCs w:val="20"/>
          <w:color w:val="auto"/>
        </w:rPr>
      </w:pPr>
      <w:r>
        <w:rPr>
          <w:rFonts w:ascii="Times New Roman" w:cs="Times New Roman" w:eastAsia="Times New Roman" w:hAnsi="Times New Roman"/>
          <w:sz w:val="18"/>
          <w:szCs w:val="18"/>
          <w:color w:val="auto"/>
        </w:rPr>
        <w:t> (ii)          In addition to including the name of the Proxy Access Nominee in the Corporation’s proxy statement for the annual meeting, the Corporation also shall include (A) the information concerning the Proxy Access Nominee and the Eligible Stockholder that is required to be disclosed in the Corporation’s proxy statement pursuant to Section 14 of the Exchange Act and the rules and regulations promulgated thereunder and (B) a Statement (as defined below) (collectively, the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xml:space="preserve">”). To be timely, the Required Information must be delivered to the secretary of the Corporation within the time period specified in </w:t>
      </w:r>
      <w:r>
        <w:rPr>
          <w:rFonts w:ascii="Times New Roman" w:cs="Times New Roman" w:eastAsia="Times New Roman" w:hAnsi="Times New Roman"/>
          <w:sz w:val="18"/>
          <w:szCs w:val="18"/>
          <w:u w:val="single" w:color="auto"/>
          <w:color w:val="auto"/>
        </w:rPr>
        <w:t>Section 2.13(c)(i)</w:t>
      </w:r>
      <w:r>
        <w:rPr>
          <w:rFonts w:ascii="Times New Roman" w:cs="Times New Roman" w:eastAsia="Times New Roman" w:hAnsi="Times New Roman"/>
          <w:sz w:val="18"/>
          <w:szCs w:val="18"/>
          <w:color w:val="auto"/>
        </w:rPr>
        <w:t xml:space="preserve"> of these Bylaws. Nothing in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limit the Corporation’s ability to solicit against and include in its proxy statement its own statements relating to any Proxy Access Nominee.</w:t>
      </w:r>
    </w:p>
    <w:p>
      <w:pPr>
        <w:spacing w:after="0" w:line="190" w:lineRule="exact"/>
        <w:rPr>
          <w:sz w:val="20"/>
          <w:szCs w:val="20"/>
          <w:color w:val="auto"/>
        </w:rPr>
      </w:pPr>
    </w:p>
    <w:p>
      <w:pPr>
        <w:jc w:val="both"/>
        <w:ind w:firstLine="1774"/>
        <w:spacing w:after="0" w:line="245" w:lineRule="auto"/>
        <w:rPr>
          <w:sz w:val="20"/>
          <w:szCs w:val="20"/>
          <w:color w:val="auto"/>
        </w:rPr>
      </w:pPr>
      <w:r>
        <w:rPr>
          <w:rFonts w:ascii="Times New Roman" w:cs="Times New Roman" w:eastAsia="Times New Roman" w:hAnsi="Times New Roman"/>
          <w:sz w:val="18"/>
          <w:szCs w:val="18"/>
          <w:color w:val="auto"/>
        </w:rPr>
        <w:t xml:space="preserve"> (iii)          The number of Proxy Access Nominees (including Proxy Access Nominees that were submitted by an Eligible Stockholder for inclusion in the Corporation’s proxy statement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but either are subsequently withdrawn or that the Board of Directors decides to nominate appearing in the Corporation’s proxy statement with respect to a meeting of stockholders and Proxy Access Nominees who were previously elected based upon a nomination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at any of the preceding two annual meetings and whose reelection at the upcoming annual meeting is being recommended by the Board of the Directors) shall not exceed the greater of two (2) or twenty percent (20%) of the number of directors in office as of the last day on which notice of a nomination may be delivered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Final Proxy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Nomination Date</w:t>
      </w:r>
      <w:r>
        <w:rPr>
          <w:rFonts w:ascii="Times New Roman" w:cs="Times New Roman" w:eastAsia="Times New Roman" w:hAnsi="Times New Roman"/>
          <w:sz w:val="18"/>
          <w:szCs w:val="18"/>
          <w:color w:val="auto"/>
        </w:rPr>
        <w:t>”) or, if such amount is not a whole number, the closest whole number below twenty percent (the “</w:t>
      </w:r>
      <w:r>
        <w:rPr>
          <w:rFonts w:ascii="Times New Roman" w:cs="Times New Roman" w:eastAsia="Times New Roman" w:hAnsi="Times New Roman"/>
          <w:sz w:val="18"/>
          <w:szCs w:val="18"/>
          <w:u w:val="single" w:color="auto"/>
          <w:color w:val="auto"/>
        </w:rPr>
        <w:t>Permitted Number</w:t>
      </w:r>
      <w:r>
        <w:rPr>
          <w:rFonts w:ascii="Times New Roman" w:cs="Times New Roman" w:eastAsia="Times New Roman" w:hAnsi="Times New Roman"/>
          <w:sz w:val="18"/>
          <w:szCs w:val="18"/>
          <w:color w:val="auto"/>
        </w:rPr>
        <w:t xml:space="preserve">”); provided, however, that in the event that one or more vacancies for any reason occurs on the Board of Directors at any time after the Final Proxy Access Nomination Date and before the date of the annual meeting and the Board of Directors resolves to reduce the size of the Board of Directors in connection therewith, the Permitted Number shall be calculated based on the number of directors in office as so reduced. In the event that the number of Proxy Access Nominees submitted by Eligible Stockholders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exceeds the Permitted Number, each Eligible Stockholder shall select one Proxy Access Nominee for inclusion in the Corporation’s proxy statement until the Permitted Number is reached, going in order of the amount (greatest to least) of voting power of the Corporation’s capital stock entitled to vote on the election of directors as disclosed in the Proxy Access Nomination Notice. If the Permitted Number is not reached after each Eligible Stockholder has selected one Proxy Access Nominee, this selection process shall continue as many times as necessary, following the same order each time, until the Permitted Number is reached.</w:t>
      </w:r>
    </w:p>
    <w:p>
      <w:pPr>
        <w:spacing w:after="0" w:line="195" w:lineRule="exact"/>
        <w:rPr>
          <w:sz w:val="20"/>
          <w:szCs w:val="20"/>
          <w:color w:val="auto"/>
        </w:rPr>
      </w:pPr>
    </w:p>
    <w:p>
      <w:pPr>
        <w:jc w:val="both"/>
        <w:ind w:firstLine="1776"/>
        <w:spacing w:after="0" w:line="245" w:lineRule="auto"/>
        <w:rPr>
          <w:sz w:val="20"/>
          <w:szCs w:val="20"/>
          <w:color w:val="auto"/>
        </w:rPr>
      </w:pPr>
      <w:r>
        <w:rPr>
          <w:rFonts w:ascii="Times New Roman" w:cs="Times New Roman" w:eastAsia="Times New Roman" w:hAnsi="Times New Roman"/>
          <w:sz w:val="18"/>
          <w:szCs w:val="18"/>
          <w:color w:val="auto"/>
        </w:rPr>
        <w:t> (iv)          An Eligible Stockholder must have owned (as defined below) continuously for at least three (3) years a number of shares that represents three percent (3%) or more of the total voting power of the Corporation’s outstanding shares of capital stock entitled to vote in the election of directors (the “</w:t>
      </w:r>
      <w:r>
        <w:rPr>
          <w:rFonts w:ascii="Times New Roman" w:cs="Times New Roman" w:eastAsia="Times New Roman" w:hAnsi="Times New Roman"/>
          <w:sz w:val="18"/>
          <w:szCs w:val="18"/>
          <w:u w:val="single" w:color="auto"/>
          <w:color w:val="auto"/>
        </w:rPr>
        <w:t>Required Shares</w:t>
      </w:r>
      <w:r>
        <w:rPr>
          <w:rFonts w:ascii="Times New Roman" w:cs="Times New Roman" w:eastAsia="Times New Roman" w:hAnsi="Times New Roman"/>
          <w:sz w:val="18"/>
          <w:szCs w:val="18"/>
          <w:color w:val="auto"/>
        </w:rPr>
        <w:t xml:space="preserve">”) as of both the date the Proxy Access Nomination Notice is delivered to or received by the Corporation in accordance with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 the record date for determining stockholders entitled to vote at the annual meeting and must continue to own the Required Shares through the meeting date. For purposes of satisfying the ownership requirement under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the voting power represented by the shares of the Corporation’s capital stock owned by one or more stockholders, or by the person or persons who own shares of the Corporation’s capital stock and on whose behalf any stockholder is acting, may be aggregated, provided that the number of stockholders and other persons whose ownership of shares is aggregated for such purpose shall not exceed twenty-five (25),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no person may be a member of more than one group of persons constituting an Eligible Stockholder under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14" w:name="page115"/>
    <w:bookmarkEnd w:id="114"/>
    <w:p>
      <w:pPr>
        <w:ind w:left="41"/>
        <w:spacing w:after="0"/>
        <w:rPr>
          <w:sz w:val="20"/>
          <w:szCs w:val="20"/>
          <w:color w:val="auto"/>
        </w:rPr>
      </w:pPr>
      <w:r>
        <w:rPr>
          <w:rFonts w:ascii="Times New Roman" w:cs="Times New Roman" w:eastAsia="Times New Roman" w:hAnsi="Times New Roman"/>
          <w:sz w:val="20"/>
          <w:szCs w:val="20"/>
          <w:color w:val="auto"/>
        </w:rPr>
        <w:t> </w:t>
      </w:r>
    </w:p>
    <w:p>
      <w:pPr>
        <w:spacing w:after="0" w:line="16" w:lineRule="exact"/>
        <w:rPr>
          <w:sz w:val="20"/>
          <w:szCs w:val="20"/>
          <w:color w:val="auto"/>
        </w:rPr>
      </w:pPr>
    </w:p>
    <w:p>
      <w:pPr>
        <w:jc w:val="both"/>
        <w:ind w:left="1" w:firstLine="1775"/>
        <w:spacing w:after="0" w:line="242" w:lineRule="auto"/>
        <w:rPr>
          <w:sz w:val="20"/>
          <w:szCs w:val="20"/>
          <w:color w:val="auto"/>
        </w:rPr>
      </w:pPr>
      <w:r>
        <w:rPr>
          <w:rFonts w:ascii="Times New Roman" w:cs="Times New Roman" w:eastAsia="Times New Roman" w:hAnsi="Times New Roman"/>
          <w:sz w:val="18"/>
          <w:szCs w:val="18"/>
          <w:color w:val="auto"/>
        </w:rPr>
        <w:t xml:space="preserve"> (v)         For purposes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an Eligible Stockholder shall be deemed to “own” only those outstanding shares of the Corporation’s capital stock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w:t>
      </w:r>
    </w:p>
    <w:p>
      <w:pPr>
        <w:spacing w:after="0" w:line="4" w:lineRule="exact"/>
        <w:rPr>
          <w:sz w:val="20"/>
          <w:szCs w:val="20"/>
          <w:color w:val="auto"/>
        </w:rPr>
      </w:pPr>
    </w:p>
    <w:p>
      <w:pPr>
        <w:jc w:val="both"/>
        <w:ind w:left="1" w:hanging="1"/>
        <w:spacing w:after="0" w:line="243" w:lineRule="auto"/>
        <w:tabs>
          <w:tab w:leader="none" w:pos="2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person’s or affiliates’ full right to vote or direct the voting of any such shares and/or (2) hedging, offsetting or altering to any degree gain or loss arising from the full economic ownership of such shares by such person or affiliate. A person shall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xml:space="preserve">”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(A) the person has loaned such shares, provided that the person has the power to recall such loaned shares on five (5) business days’ notice and provides a representation that it will promptly recall such loaned shares upon being notified that any of its Proxy Access Nominees will be included in the Corporation’s proxy statement, or (B) the person has delegated any voting power by means of a proxy, power of attorney or other instrument or arrangement that is revocable at any time by the person. The terms “owned,” “owning,” and other variations of the word “own” shall have correlative meanings. For purposes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the term “affiliate” shall have the meaning ascribed thereto in the regulations promulgated under the Exchange Act.</w:t>
      </w:r>
    </w:p>
    <w:p>
      <w:pPr>
        <w:spacing w:after="0" w:line="188" w:lineRule="exact"/>
        <w:rPr>
          <w:sz w:val="20"/>
          <w:szCs w:val="20"/>
          <w:color w:val="auto"/>
        </w:rPr>
      </w:pPr>
    </w:p>
    <w:p>
      <w:pPr>
        <w:jc w:val="both"/>
        <w:ind w:left="1" w:firstLine="1776"/>
        <w:spacing w:after="0" w:line="247" w:lineRule="auto"/>
        <w:rPr>
          <w:sz w:val="20"/>
          <w:szCs w:val="20"/>
          <w:color w:val="auto"/>
        </w:rPr>
      </w:pPr>
      <w:r>
        <w:rPr>
          <w:rFonts w:ascii="Times New Roman" w:cs="Times New Roman" w:eastAsia="Times New Roman" w:hAnsi="Times New Roman"/>
          <w:sz w:val="18"/>
          <w:szCs w:val="18"/>
          <w:color w:val="auto"/>
        </w:rPr>
        <w:t xml:space="preserve"> (vi)         Within the time period specified in </w:t>
      </w:r>
      <w:r>
        <w:rPr>
          <w:rFonts w:ascii="Times New Roman" w:cs="Times New Roman" w:eastAsia="Times New Roman" w:hAnsi="Times New Roman"/>
          <w:sz w:val="18"/>
          <w:szCs w:val="18"/>
          <w:u w:val="single" w:color="auto"/>
          <w:color w:val="auto"/>
        </w:rPr>
        <w:t>Section 2.13(e)(i)</w:t>
      </w:r>
      <w:r>
        <w:rPr>
          <w:rFonts w:ascii="Times New Roman" w:cs="Times New Roman" w:eastAsia="Times New Roman" w:hAnsi="Times New Roman"/>
          <w:sz w:val="18"/>
          <w:szCs w:val="18"/>
          <w:color w:val="auto"/>
        </w:rPr>
        <w:t>, an Eligible Stockholder must provide with its Proxy Access Nomination Notice the following information in writing to the secretary of the Corporation: (A) one or more written statements from the record holder of the shares (and from each intermediary through which the shares are or have been held during the requisite three (3)-year holding period) verifying that, as of a date within seven (7) calendar days prior to the date the Proxy Access Nomination Notice is delivered to or received by the Corporation, the Eligible Stockholder owns, and has owned continuously for the preceding three (3) years, the Required Shares, and the Eligible Stockholder’s agreement to provide</w:t>
      </w:r>
    </w:p>
    <w:p>
      <w:pPr>
        <w:spacing w:after="0" w:line="2" w:lineRule="exact"/>
        <w:rPr>
          <w:sz w:val="20"/>
          <w:szCs w:val="20"/>
          <w:color w:val="auto"/>
        </w:rPr>
      </w:pPr>
    </w:p>
    <w:p>
      <w:pPr>
        <w:jc w:val="both"/>
        <w:ind w:left="1" w:hanging="1"/>
        <w:spacing w:after="0" w:line="243" w:lineRule="auto"/>
        <w:tabs>
          <w:tab w:leader="none" w:pos="2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the record date for the meeting, written statements from the record holder and intermediaries verifying the Eligible Stockholder’s continuous ownership of the Required Shares through the record date and (2) immediate notice if the Eligible Stockholder ceases to own any of the Required Shares prior to the date of the annual meeting; (B) documentation satisfactory to the Corporation demonstrating that a group of funds are entitled to be treated as one (1) stockholder or person for purposes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(C) a representation that the Eligible Stockholder (including each member of any group of stockholders that together is an Eligible Stockholder hereunder): (1) intends to continue to own the Required Shares through the date of the annual meeting, (2) acquired the Required Shares in the ordinary course of business and not with the intent to change or influence control of the Corporation, and does not presently have such intent, (3) has not nominated and will not nominate for election to the Board of Directors at the meeting any person other than the Proxy Access Nominee(s) being nominated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(4) has not engaged and will not engage in, and has not and will not be, a “participant” in another person’s “solicitation” within the meaning of Rule 14a-1(l) under the Exchange Act in support of the election of any individual as a director at the annual meeting other than its Proxy Access Nominee(s) or a nominee of the Board of Directors, (5) will not distribute to any stockholder any form of proxy for the annual meeting other than the form distributed by the Corporation, and (6) has provided and will provide facts, statements and other information in all communications with the Corporation and its stockholders that are or will be true and correct in all material</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607" w:right="339" w:bottom="1440" w:gutter="0" w:footer="0" w:header="0"/>
        </w:sectPr>
      </w:pPr>
    </w:p>
    <w:bookmarkStart w:id="115" w:name="page116"/>
    <w:bookmarkEnd w:id="115"/>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respects and do not and will not omit to state a material fact necessary in order to make the statements made, in light of the circumstances under which they were made, not misleading; (D) the written consent of each Proxy Access Nominee to be named in the Corporation’s proxy statement as a nominee and to serve as a director if elected; (E) a copy of the Schedule 14N that has been filed with the SEC as required by Rule 14a-18 under the Exchange Act; (F) the information and representations that would be required to be set forth in the stockholder’s notice of a nomination pursuant to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of these Bylaws; (G) in the case of a nomination by a group of stockholders that together is an Eligible Stockholder, the designation by all group members of one group member that is authorized to act on behalf of all members of the nominating stockholder group with respect to the nomination and matters related thereto, including withdrawal of the nomination; and (H)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or its officers and employees individually against any liability, loss or damages in connection with any threatened or pending action, suit or proceeding, whether legal, administrative or investigative, against the Corporation or any of its directors, or its officers or employees arising out of any nomination submitted by the Eligible Stockholder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(3) file with the SEC any solicitation or other communication with the Corporation’s stockholders relating to the meeting at which the Proxy Access Nominee will be nominated, regardless of whether any such filing is required under Section 14 of the Exchange Act and the rules and regulations promulgated thereunder or whether any exemption from filing is available for such solicitation or other communication under Section 14 of the Exchange Act and the rules and regulations promulgated thereunder, and (4) comply with all other applicable laws, rules, regulations and listing standards with respect to any solicitation in connection with the meeting.</w:t>
      </w:r>
    </w:p>
    <w:p>
      <w:pPr>
        <w:spacing w:after="0" w:line="181" w:lineRule="exact"/>
        <w:rPr>
          <w:sz w:val="20"/>
          <w:szCs w:val="20"/>
          <w:color w:val="auto"/>
        </w:rPr>
      </w:pPr>
    </w:p>
    <w:p>
      <w:pPr>
        <w:jc w:val="both"/>
        <w:ind w:firstLine="1775"/>
        <w:spacing w:after="0" w:line="251" w:lineRule="auto"/>
        <w:rPr>
          <w:sz w:val="20"/>
          <w:szCs w:val="20"/>
          <w:color w:val="auto"/>
        </w:rPr>
      </w:pPr>
      <w:r>
        <w:rPr>
          <w:rFonts w:ascii="Times New Roman" w:cs="Times New Roman" w:eastAsia="Times New Roman" w:hAnsi="Times New Roman"/>
          <w:sz w:val="18"/>
          <w:szCs w:val="18"/>
          <w:color w:val="auto"/>
        </w:rPr>
        <w:t> (vii)         The Eligible Stockholder may with its Proxy Access Nomination Notice, provide to the secretary of the Corporation, a written statement for inclusion in the Corporation’s proxy statement for the annual meeting, not to exceed five hundred (500) words per Proxy Access Nominee, in support of each Proxy Access Nominee it names in its Proxy Access Nomination Notice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Corporation may omit from its proxy statement any information or Statement that it believes would violate any applicable law, rule, regulation, or listing standard.</w:t>
      </w:r>
    </w:p>
    <w:p>
      <w:pPr>
        <w:spacing w:after="0" w:line="187" w:lineRule="exact"/>
        <w:rPr>
          <w:sz w:val="20"/>
          <w:szCs w:val="20"/>
          <w:color w:val="auto"/>
        </w:rPr>
      </w:pPr>
    </w:p>
    <w:p>
      <w:pPr>
        <w:jc w:val="both"/>
        <w:ind w:firstLine="1775"/>
        <w:spacing w:after="0" w:line="245" w:lineRule="auto"/>
        <w:rPr>
          <w:sz w:val="20"/>
          <w:szCs w:val="20"/>
          <w:color w:val="auto"/>
        </w:rPr>
      </w:pPr>
      <w:r>
        <w:rPr>
          <w:rFonts w:ascii="Times New Roman" w:cs="Times New Roman" w:eastAsia="Times New Roman" w:hAnsi="Times New Roman"/>
          <w:sz w:val="18"/>
          <w:szCs w:val="18"/>
          <w:color w:val="auto"/>
        </w:rPr>
        <w:t xml:space="preserve"> (viii)        Within the time period specified in </w:t>
      </w:r>
      <w:r>
        <w:rPr>
          <w:rFonts w:ascii="Times New Roman" w:cs="Times New Roman" w:eastAsia="Times New Roman" w:hAnsi="Times New Roman"/>
          <w:sz w:val="18"/>
          <w:szCs w:val="18"/>
          <w:u w:val="single" w:color="auto"/>
          <w:color w:val="auto"/>
        </w:rPr>
        <w:t>Section 2.13(e)(i)</w:t>
      </w:r>
      <w:r>
        <w:rPr>
          <w:rFonts w:ascii="Times New Roman" w:cs="Times New Roman" w:eastAsia="Times New Roman" w:hAnsi="Times New Roman"/>
          <w:sz w:val="18"/>
          <w:szCs w:val="18"/>
          <w:color w:val="auto"/>
        </w:rPr>
        <w:t>, a Proxy Access Nominee must deliver to the secretary of the Corporation a written representation and agreement that the Proxy Access Nominee: (A) has read and agrees to adhere to the Corporation’s code of conduct, Corporate Governance Guidelines, and conflict of interest, confidentiality and stock ownership and securities trading policies, and any other policies and guidelines applicable to directors, as well as any applicable law, rule or regulation or listing requirement, (B) is not and will not become a party to any agreement, arrangement or understanding with, and has not given any commitment or assurance to, any person or entity as to how such person, if elected as a director of the Corporation, will act or vote on any issue or question that has not been disclosed to the Corporation (a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(C) is not and will not become a party to any agreement, arrangement or understanding with any person or entity other than the Corporation with respect to any direct or indirect compensation, reimbursement or indemnification (a “</w:t>
      </w:r>
      <w:r>
        <w:rPr>
          <w:rFonts w:ascii="Times New Roman" w:cs="Times New Roman" w:eastAsia="Times New Roman" w:hAnsi="Times New Roman"/>
          <w:sz w:val="18"/>
          <w:szCs w:val="18"/>
          <w:u w:val="single" w:color="auto"/>
          <w:color w:val="auto"/>
        </w:rPr>
        <w:t>Compensation Arrangement</w:t>
      </w:r>
      <w:r>
        <w:rPr>
          <w:rFonts w:ascii="Times New Roman" w:cs="Times New Roman" w:eastAsia="Times New Roman" w:hAnsi="Times New Roman"/>
          <w:sz w:val="18"/>
          <w:szCs w:val="18"/>
          <w:color w:val="auto"/>
        </w:rPr>
        <w:t xml:space="preserve">”) in connection with such person’s nomination for director and/or service as a director, in each case that has not been disclosed to the Corporation. At the request of the Corporation, the Proxy Access Nominee must (A) complete, sign and submit all questionnaires required of the Board of Directors within five (5) business days of receipt of each such questionnaire from the Corporation; and (B) provide within five (5) business days of the Corporation’s request such additional information as the Corporation determines may be necessary to permit the Board of Directors to determine whether such Proxy Access Nominee meets the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and/or the Corporation’s requirements with regard to qualifications and policies and guidelines applicable to members of the Board of Directors, including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18"/>
          <w:szCs w:val="18"/>
          <w:color w:val="auto"/>
        </w:rPr>
        <w:t>whether: (1) such Proxy Access Nominee is independent under the listing standards of each principal U.S. exchange upon which the capital stock of the Corporation is listed, any applicable rules of the SEC, and any publicly disclosed standards used by the Board of Directors in determining and disclosing the independence of members of the Board of Directors (the “</w:t>
      </w:r>
      <w:r>
        <w:rPr>
          <w:rFonts w:ascii="Times New Roman" w:cs="Times New Roman" w:eastAsia="Times New Roman" w:hAnsi="Times New Roman"/>
          <w:sz w:val="18"/>
          <w:szCs w:val="18"/>
          <w:u w:val="single" w:color="auto"/>
          <w:color w:val="auto"/>
        </w:rPr>
        <w:t>Independence Standards</w:t>
      </w:r>
      <w:r>
        <w:rPr>
          <w:rFonts w:ascii="Times New Roman" w:cs="Times New Roman" w:eastAsia="Times New Roman" w:hAnsi="Times New Roman"/>
          <w:sz w:val="18"/>
          <w:szCs w:val="18"/>
          <w:color w:val="auto"/>
        </w:rPr>
        <w:t>”), (2) such Proxy Access Nominee has any direct or indirect relationship with the Corporation, and (3) such Proxy Access Nominee is not and has not been subject to (x) any event specified in Item 401(f) of Regulation S-K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(y) any order of the type specified in Rule 506(d) of Regulation D under the Securities Act.</w:t>
      </w:r>
    </w:p>
    <w:p>
      <w:pPr>
        <w:spacing w:after="0" w:line="190" w:lineRule="exact"/>
        <w:rPr>
          <w:sz w:val="20"/>
          <w:szCs w:val="20"/>
          <w:color w:val="auto"/>
        </w:rPr>
      </w:pPr>
    </w:p>
    <w:p>
      <w:pPr>
        <w:jc w:val="both"/>
        <w:ind w:firstLine="1774"/>
        <w:spacing w:after="0" w:line="251" w:lineRule="auto"/>
        <w:rPr>
          <w:sz w:val="20"/>
          <w:szCs w:val="20"/>
          <w:color w:val="auto"/>
        </w:rPr>
      </w:pPr>
      <w:r>
        <w:rPr>
          <w:rFonts w:ascii="Times New Roman" w:cs="Times New Roman" w:eastAsia="Times New Roman" w:hAnsi="Times New Roman"/>
          <w:sz w:val="18"/>
          <w:szCs w:val="18"/>
          <w:color w:val="auto"/>
        </w:rPr>
        <w:t> (ix)        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the Corporation of any such inaccuracy or omission in such previously provided information and of the information that is required to make such information or communication true and correct.</w:t>
      </w:r>
    </w:p>
    <w:p>
      <w:pPr>
        <w:spacing w:after="0" w:line="187" w:lineRule="exact"/>
        <w:rPr>
          <w:sz w:val="20"/>
          <w:szCs w:val="20"/>
          <w:color w:val="auto"/>
        </w:rPr>
      </w:pPr>
    </w:p>
    <w:p>
      <w:pPr>
        <w:jc w:val="both"/>
        <w:ind w:firstLine="1777"/>
        <w:spacing w:after="0" w:line="244" w:lineRule="auto"/>
        <w:rPr>
          <w:sz w:val="20"/>
          <w:szCs w:val="20"/>
          <w:color w:val="auto"/>
        </w:rPr>
      </w:pPr>
      <w:r>
        <w:rPr>
          <w:rFonts w:ascii="Times New Roman" w:cs="Times New Roman" w:eastAsia="Times New Roman" w:hAnsi="Times New Roman"/>
          <w:sz w:val="18"/>
          <w:szCs w:val="18"/>
          <w:color w:val="auto"/>
        </w:rPr>
        <w:t xml:space="preserve"> (x)          The Corporation shall not be required to include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any Proxy Access Nominee in its proxy statement (or, if the proxy statement has already been filed, to allow the nomination of a Proxy Access Nominee, notwithstanding that proxies in respect of such vote may have been received by the Corporation) if (A) the Eligible Stockholder who has nominated such Proxy Access Nominee has nominated for election to the Board of Directors at the annual meeting any other person pursuant to </w:t>
      </w:r>
      <w:r>
        <w:rPr>
          <w:rFonts w:ascii="Times New Roman" w:cs="Times New Roman" w:eastAsia="Times New Roman" w:hAnsi="Times New Roman"/>
          <w:sz w:val="18"/>
          <w:szCs w:val="18"/>
          <w:u w:val="single" w:color="auto"/>
          <w:color w:val="auto"/>
        </w:rPr>
        <w:t>Section 2.12(i)(B)</w:t>
      </w:r>
      <w:r>
        <w:rPr>
          <w:rFonts w:ascii="Times New Roman" w:cs="Times New Roman" w:eastAsia="Times New Roman" w:hAnsi="Times New Roman"/>
          <w:sz w:val="18"/>
          <w:szCs w:val="18"/>
          <w:color w:val="auto"/>
        </w:rPr>
        <w:t xml:space="preserve">, (B) the Eligible Stockholder has or is engaged in, or has been or is a “participant” in another person’s, “solicitation” within the meaning of Rule 14a-1(l) under the Exchange Act in support of the election of any individual as a director at the annual meeting other than its Proxy Access Nominee(s) or any other nominee, (C) the Proxy Access Nominee is determined by the Board of Directors not to be independent under the Independence Standards, (D) the Proxy Access Nominee’s election as a director would cause the Corporation to be in violation of these Bylaws, the Articles of Incorporation, the Corporate Governance Guidelines, the listing standards of the principal exchange upon which the Corporation’s capital stock is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Nominee’s then-current or within the preceding ten (10) years’ business or personal interests place such Proxy Access Nominee in a conflict of interest with the Corporation or any of its subsidiaries that would cause such Proxy Access Nominee to violate any fiduciary duties of directors established pursuant to the laws of the State of Nevada, including but not limited to the duty of loyalty and duty of care, (H) the Proxy Access Nominee is a named a subject of a pending criminal proceeding (excluding traffic violations and other minor offenses) or has been convicted in such a criminal proceeding within the past ten (10) years, (I) the Proxy Access Nominee is subject to any order of the type specified in Rule 506(d) of Regulation D under the Securities Act, or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w:t>
      </w:r>
      <w:r>
        <w:rPr>
          <w:rFonts w:ascii="Times New Roman" w:cs="Times New Roman" w:eastAsia="Times New Roman" w:hAnsi="Times New Roman"/>
          <w:sz w:val="18"/>
          <w:szCs w:val="18"/>
          <w:u w:val="single" w:color="auto"/>
          <w:color w:val="auto"/>
        </w:rPr>
        <w:t>Section 2.13(e).</w:t>
      </w:r>
    </w:p>
    <w:p>
      <w:pPr>
        <w:spacing w:after="0" w:line="191" w:lineRule="exact"/>
        <w:rPr>
          <w:sz w:val="20"/>
          <w:szCs w:val="20"/>
          <w:color w:val="auto"/>
        </w:rPr>
      </w:pPr>
    </w:p>
    <w:p>
      <w:pPr>
        <w:jc w:val="both"/>
        <w:ind w:firstLine="1774"/>
        <w:spacing w:after="0" w:line="253" w:lineRule="auto"/>
        <w:rPr>
          <w:sz w:val="20"/>
          <w:szCs w:val="20"/>
          <w:color w:val="auto"/>
        </w:rPr>
      </w:pPr>
      <w:r>
        <w:rPr>
          <w:rFonts w:ascii="Times New Roman" w:cs="Times New Roman" w:eastAsia="Times New Roman" w:hAnsi="Times New Roman"/>
          <w:sz w:val="18"/>
          <w:szCs w:val="18"/>
          <w:color w:val="auto"/>
        </w:rPr>
        <w:t xml:space="preserve"> (xi)       Notwithstanding anything to the contrary set forth herein, if (A) the Proxy Access Nominee and/or the applicable Eligible Stockholder shall have breached its or their agreements, representations, undertakings and/or obligations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as determined by the Board of Directors or the person presiding at the meeting, or (B) the Eligible Stockholder (or a qualified representative thereof) does not appear at the meeting to present any nomination pursuant to this </w:t>
      </w:r>
      <w:r>
        <w:rPr>
          <w:rFonts w:ascii="Times New Roman" w:cs="Times New Roman" w:eastAsia="Times New Roman" w:hAnsi="Times New Roman"/>
          <w:sz w:val="18"/>
          <w:szCs w:val="18"/>
          <w:u w:val="single" w:color="auto"/>
          <w:color w:val="auto"/>
        </w:rPr>
        <w:t>Section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7" w:name="page118"/>
    <w:bookmarkEnd w:id="117"/>
    <w:p>
      <w:pPr>
        <w:jc w:val="both"/>
        <w:ind w:left="1"/>
        <w:spacing w:after="0" w:line="253" w:lineRule="auto"/>
        <w:rPr>
          <w:sz w:val="20"/>
          <w:szCs w:val="20"/>
          <w:color w:val="auto"/>
        </w:rPr>
      </w:pPr>
      <w:r>
        <w:rPr>
          <w:rFonts w:ascii="Times New Roman" w:cs="Times New Roman" w:eastAsia="Times New Roman" w:hAnsi="Times New Roman"/>
          <w:sz w:val="18"/>
          <w:szCs w:val="18"/>
          <w:u w:val="single" w:color="auto"/>
          <w:color w:val="auto"/>
        </w:rPr>
        <w:t>2.13(e)</w:t>
      </w:r>
      <w:r>
        <w:rPr>
          <w:rFonts w:ascii="Times New Roman" w:cs="Times New Roman" w:eastAsia="Times New Roman" w:hAnsi="Times New Roman"/>
          <w:sz w:val="18"/>
          <w:szCs w:val="18"/>
          <w:color w:val="auto"/>
        </w:rPr>
        <w:t>, (x)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(y) the Corporation shall not be required to include in its proxy statement any successor or replacement nominee proposed by the applicable Eligible Stockholder or any other Eligible Stockholder.</w:t>
      </w:r>
    </w:p>
    <w:p>
      <w:pPr>
        <w:spacing w:after="0" w:line="187" w:lineRule="exact"/>
        <w:rPr>
          <w:sz w:val="20"/>
          <w:szCs w:val="20"/>
          <w:color w:val="auto"/>
        </w:rPr>
      </w:pPr>
    </w:p>
    <w:p>
      <w:pPr>
        <w:jc w:val="both"/>
        <w:ind w:left="1" w:firstLine="1775"/>
        <w:spacing w:after="0" w:line="259" w:lineRule="auto"/>
        <w:rPr>
          <w:sz w:val="20"/>
          <w:szCs w:val="20"/>
          <w:color w:val="auto"/>
        </w:rPr>
      </w:pPr>
      <w:r>
        <w:rPr>
          <w:rFonts w:ascii="Times New Roman" w:cs="Times New Roman" w:eastAsia="Times New Roman" w:hAnsi="Times New Roman"/>
          <w:sz w:val="18"/>
          <w:szCs w:val="18"/>
          <w:color w:val="auto"/>
        </w:rPr>
        <w:t xml:space="preserve"> (xii)        Any Proxy Access Nominee who is included in the Corporation’s proxy statement for a particular annual meeting but withdraws from or becomes ineligible or unavailable for election at the annual meeting shall be ineligible to be included in the Corporation’s proxy statement as a Proxy Access Nominee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for the next two annual meetings.</w:t>
      </w:r>
    </w:p>
    <w:p>
      <w:pPr>
        <w:spacing w:after="0" w:line="180" w:lineRule="exact"/>
        <w:rPr>
          <w:sz w:val="20"/>
          <w:szCs w:val="20"/>
          <w:color w:val="auto"/>
        </w:rPr>
      </w:pPr>
    </w:p>
    <w:p>
      <w:pPr>
        <w:jc w:val="both"/>
        <w:ind w:left="1" w:firstLine="1775"/>
        <w:spacing w:after="0" w:line="247" w:lineRule="auto"/>
        <w:rPr>
          <w:sz w:val="20"/>
          <w:szCs w:val="20"/>
          <w:color w:val="auto"/>
        </w:rPr>
      </w:pPr>
      <w:r>
        <w:rPr>
          <w:rFonts w:ascii="Times New Roman" w:cs="Times New Roman" w:eastAsia="Times New Roman" w:hAnsi="Times New Roman"/>
          <w:sz w:val="18"/>
          <w:szCs w:val="18"/>
          <w:color w:val="auto"/>
        </w:rPr>
        <w:t xml:space="preserve"> (xiii)       The Board of Directors (and any other person or body authorized by the Board of Directors) shall have the power and authority to interpret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 to make any and all determinations necessary or advisable to apply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to any persons, facts or circumstances, including the power to determine (A) whether a person or group of persons qualifies as an Eligible Stockholder, (B) whether outstanding shares of the Corporation’s capital stock are “owned” for purposes of meeting the ownership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(C) whether a notice complies with the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(D) whether a person satisfies the qualifications and requirements to be a Proxy Access Nominee,</w:t>
      </w:r>
    </w:p>
    <w:p>
      <w:pPr>
        <w:spacing w:after="0" w:line="2" w:lineRule="exact"/>
        <w:rPr>
          <w:sz w:val="20"/>
          <w:szCs w:val="20"/>
          <w:color w:val="auto"/>
        </w:rPr>
      </w:pPr>
    </w:p>
    <w:p>
      <w:pPr>
        <w:jc w:val="both"/>
        <w:ind w:left="1" w:hanging="1"/>
        <w:spacing w:after="0" w:line="245" w:lineRule="auto"/>
        <w:tabs>
          <w:tab w:leader="none" w:pos="28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inclusion of the Required Information in the Corporation’s proxy statement is consistent with all applicable laws, rules, regulations and listing standards, and (F) whether any and all requirements of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have been satisfied. Any such interpretation or determination adopted in good faith by the Board of Directors (or any other person or body authorized by the Board of Directors) shall be conclusive and binding on all persons, including the Corporation and all record or beneficial owners of stock of the Corporation.</w:t>
      </w:r>
    </w:p>
    <w:p>
      <w:pPr>
        <w:spacing w:after="0" w:line="195" w:lineRule="exact"/>
        <w:rPr>
          <w:sz w:val="20"/>
          <w:szCs w:val="20"/>
          <w:color w:val="auto"/>
        </w:rPr>
      </w:pPr>
    </w:p>
    <w:p>
      <w:pPr>
        <w:jc w:val="both"/>
        <w:ind w:left="1" w:firstLine="1183"/>
        <w:spacing w:after="0" w:line="248" w:lineRule="auto"/>
        <w:rPr>
          <w:sz w:val="20"/>
          <w:szCs w:val="20"/>
          <w:color w:val="auto"/>
        </w:rPr>
      </w:pPr>
      <w:r>
        <w:rPr>
          <w:rFonts w:ascii="Times New Roman" w:cs="Times New Roman" w:eastAsia="Times New Roman" w:hAnsi="Times New Roman"/>
          <w:sz w:val="18"/>
          <w:szCs w:val="18"/>
          <w:color w:val="auto"/>
        </w:rPr>
        <w:t xml:space="preserve">(f)           No person shall be eligible for election as a director of the Corporation unless nominated in accordance with the procedures set forth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If the chair of the meeting determines that a nomination was not made in accordance with the foregoing procedures, the chair shall declare to the meeting that the nomination was defective and such defective nomination shall be disregarded. Notwithstanding the foregoing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to be considered a qualified representative of the stockholder, a person must be authorized by a written instrument executed by such stockholder or an electronic transmission delivered by such stockholder to act for such stockholder as a proxy at the meeting of stockholders and such person must produce such written instrument or electronic transmission, or a reliable reproduction of the written instrument or electronic transmission, at the meeting of stockholders.</w:t>
      </w:r>
    </w:p>
    <w:p>
      <w:pPr>
        <w:spacing w:after="0" w:line="191" w:lineRule="exact"/>
        <w:rPr>
          <w:sz w:val="20"/>
          <w:szCs w:val="20"/>
          <w:color w:val="auto"/>
        </w:rPr>
      </w:pPr>
    </w:p>
    <w:p>
      <w:pPr>
        <w:jc w:val="both"/>
        <w:ind w:left="1" w:firstLine="1183"/>
        <w:spacing w:after="0" w:line="259" w:lineRule="auto"/>
        <w:rPr>
          <w:sz w:val="20"/>
          <w:szCs w:val="20"/>
          <w:color w:val="auto"/>
        </w:rPr>
      </w:pPr>
      <w:r>
        <w:rPr>
          <w:rFonts w:ascii="Times New Roman" w:cs="Times New Roman" w:eastAsia="Times New Roman" w:hAnsi="Times New Roman"/>
          <w:sz w:val="18"/>
          <w:szCs w:val="18"/>
          <w:color w:val="auto"/>
        </w:rPr>
        <w:t xml:space="preserve">(g)           Subject to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of these Bylaws and except as otherwise required by law, nothing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construed to permit any stockholder of the Corporation to include in any proxy statement or other stockholder communication distributed on behalf of the Corporation or the Board of Directors information with respect to any nominee for director submitted by a stockholder.</w:t>
      </w:r>
    </w:p>
    <w:p>
      <w:pPr>
        <w:spacing w:after="0" w:line="180" w:lineRule="exact"/>
        <w:rPr>
          <w:sz w:val="20"/>
          <w:szCs w:val="20"/>
          <w:color w:val="auto"/>
        </w:rPr>
      </w:pPr>
    </w:p>
    <w:p>
      <w:pPr>
        <w:jc w:val="both"/>
        <w:ind w:left="1" w:firstLine="1184"/>
        <w:spacing w:after="0" w:line="259" w:lineRule="auto"/>
        <w:rPr>
          <w:sz w:val="20"/>
          <w:szCs w:val="20"/>
          <w:color w:val="auto"/>
        </w:rPr>
      </w:pPr>
      <w:r>
        <w:rPr>
          <w:rFonts w:ascii="Times New Roman" w:cs="Times New Roman" w:eastAsia="Times New Roman" w:hAnsi="Times New Roman"/>
          <w:sz w:val="18"/>
          <w:szCs w:val="18"/>
          <w:color w:val="auto"/>
        </w:rPr>
        <w:t xml:space="preserve">(h)           For purposes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these Bylaws, “public disclosure” shall include disclosure in a press release reported by the Dow Jones News Service, Associated Press or comparable national news service or in a document publicly filed by the Corporation with the SEC pursuant to Section 13, 14 or 15(d) of the Exchange Act.</w:t>
      </w:r>
    </w:p>
    <w:p>
      <w:pPr>
        <w:spacing w:after="0" w:line="180" w:lineRule="exact"/>
        <w:rPr>
          <w:sz w:val="20"/>
          <w:szCs w:val="20"/>
          <w:color w:val="auto"/>
        </w:rPr>
      </w:pPr>
    </w:p>
    <w:p>
      <w:pPr>
        <w:jc w:val="both"/>
        <w:ind w:left="1" w:firstLine="591"/>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Meetings Through Remote Communications</w:t>
      </w:r>
      <w:r>
        <w:rPr>
          <w:rFonts w:ascii="Times New Roman" w:cs="Times New Roman" w:eastAsia="Times New Roman" w:hAnsi="Times New Roman"/>
          <w:sz w:val="18"/>
          <w:szCs w:val="18"/>
          <w:color w:val="auto"/>
        </w:rPr>
        <w:t>. Stockholders may participate in a meeting of the stockholders by any means of remote communications, including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833" w:right="33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constitutes presence in person at the meeting. Notwithstanding anything to the contrary in these Bylaws, a meeting of stockholders may be held solely by remote communication pursuant to and in accordance with NRS 78.320(4).</w:t>
      </w:r>
    </w:p>
    <w:p>
      <w:pPr>
        <w:spacing w:after="0" w:line="1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4"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Powers; Performance of Duties</w:t>
      </w:r>
      <w:r>
        <w:rPr>
          <w:rFonts w:ascii="Times New Roman" w:cs="Times New Roman" w:eastAsia="Times New Roman" w:hAnsi="Times New Roman"/>
          <w:sz w:val="18"/>
          <w:szCs w:val="18"/>
          <w:color w:val="auto"/>
        </w:rPr>
        <w:t>. The business and affairs of the Corporation shall be managed by or under the direction of the Board of Directors, which may exercise all powers of the Corporation and do all such lawful acts and things except as otherwise provided in NRS Chapter 78 or the Articles of Incorporation.</w:t>
      </w:r>
    </w:p>
    <w:p>
      <w:pPr>
        <w:spacing w:after="0" w:line="180"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xml:space="preserve">. Subject to the rights, if any, of holders of preferred stock of the Corporation to elect directors of the Corporation, the Board of Directors shall consist of not less than one nor more than fourteen members with the exact number of directors within the foregoing fixed minimum and maximum to be determined from time to time exclusively by resolution duly adopted by the Board of Directors, without amendment to these Bylaws or the Articles of Incorporation. Unless otherwise provided in the Articles of Incorporation, each director shall hold office until the annual meeting of stockholders in the year in which his or her term expires and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restrict the right of the Board of Directors to fill vacancies or the right of the stockholders to remove directors, each as provided in these Bylaws.</w:t>
      </w:r>
    </w:p>
    <w:p>
      <w:pPr>
        <w:spacing w:after="0" w:line="194" w:lineRule="exact"/>
        <w:rPr>
          <w:sz w:val="20"/>
          <w:szCs w:val="20"/>
          <w:color w:val="auto"/>
        </w:rPr>
      </w:pPr>
    </w:p>
    <w:p>
      <w:pPr>
        <w:jc w:val="both"/>
        <w:ind w:firstLine="591"/>
        <w:spacing w:after="0" w:line="24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Chair of the Board</w:t>
      </w:r>
      <w:r>
        <w:rPr>
          <w:rFonts w:ascii="Times New Roman" w:cs="Times New Roman" w:eastAsia="Times New Roman" w:hAnsi="Times New Roman"/>
          <w:sz w:val="18"/>
          <w:szCs w:val="18"/>
          <w:color w:val="auto"/>
        </w:rPr>
        <w:t>. The Board of Directors shall elect a chair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 The chair of the board shall possess the same power as the chief executive officer or the president to sign all contracts, certificates and other instruments of the Corporation. During the absence or disability of the chief executive officer or the president, the chair of the board shall exercise all the powers and discharge all the duties of the chief executive officer or the president. The chair of the board shall also perform such other duties and may exercise such other powers as from time to time may be assigned to him or her by these Bylaws or by the Board of Directors</w:t>
      </w:r>
    </w:p>
    <w:p>
      <w:pPr>
        <w:spacing w:after="0" w:line="191" w:lineRule="exact"/>
        <w:rPr>
          <w:sz w:val="20"/>
          <w:szCs w:val="20"/>
          <w:color w:val="auto"/>
        </w:rPr>
      </w:pPr>
    </w:p>
    <w:p>
      <w:pPr>
        <w:jc w:val="both"/>
        <w:ind w:firstLine="591"/>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Vice Chair of the Board</w:t>
      </w:r>
      <w:r>
        <w:rPr>
          <w:rFonts w:ascii="Times New Roman" w:cs="Times New Roman" w:eastAsia="Times New Roman" w:hAnsi="Times New Roman"/>
          <w:sz w:val="18"/>
          <w:szCs w:val="18"/>
          <w:color w:val="auto"/>
        </w:rPr>
        <w:t>. The Board of Directors may elect a vice chair of the board from the members of the Board of Directors who shall preside at all meetings of the Board of Directors and stockholders at which he or she shall be present and the chair of the board is not present and shall have and may exercise such powers as may, from time to time, be assigned to him or her by the Board of Directors, these Bylaws or as provided by law.</w:t>
      </w:r>
    </w:p>
    <w:p>
      <w:pPr>
        <w:spacing w:after="0" w:line="187"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Director Elections</w:t>
      </w:r>
      <w:r>
        <w:rPr>
          <w:rFonts w:ascii="Times New Roman" w:cs="Times New Roman" w:eastAsia="Times New Roman" w:hAnsi="Times New Roman"/>
          <w:sz w:val="18"/>
          <w:szCs w:val="18"/>
          <w:color w:val="auto"/>
        </w:rPr>
        <w:t>. Prior to the election of directors at the Corporation’s 2027 annual meeting of stockholders, the directors are classified, with respect to the time for which they shall hold their respective offices, into three classes known as “Class I,” “Class II” and “Class III.” Beginning with the 2027 annual meeting of stockholders, the Class I directors, whose terms expire at such meeting,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9" w:name="page120"/>
    <w:bookmarkEnd w:id="119"/>
    <w:p>
      <w:pPr>
        <w:jc w:val="both"/>
        <w:spacing w:after="0" w:line="253" w:lineRule="auto"/>
        <w:rPr>
          <w:sz w:val="20"/>
          <w:szCs w:val="20"/>
          <w:color w:val="auto"/>
        </w:rPr>
      </w:pPr>
      <w:r>
        <w:rPr>
          <w:rFonts w:ascii="Times New Roman" w:cs="Times New Roman" w:eastAsia="Times New Roman" w:hAnsi="Times New Roman"/>
          <w:sz w:val="18"/>
          <w:szCs w:val="18"/>
          <w:color w:val="auto"/>
        </w:rPr>
        <w:t>will be elected to serve a one-year term; at the 2028 annual meeting of stockholders, the former Class I directors and the Class II directors, whose terms expire at such meeting, will be elected to serve a one-year term; and at the 2029 annual meeting of stockholders, and at each annual meeting of stockholders thereafter, all directors will be elected annually, to hold office for a one-year term expiring at the next annual meeting of stockholders and until such directors’ successors shall have been elected and qualified.</w:t>
      </w:r>
    </w:p>
    <w:p>
      <w:pPr>
        <w:spacing w:after="0" w:line="187"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Removal and Resignation of Directors</w:t>
      </w:r>
      <w:r>
        <w:rPr>
          <w:rFonts w:ascii="Times New Roman" w:cs="Times New Roman" w:eastAsia="Times New Roman" w:hAnsi="Times New Roman"/>
          <w:sz w:val="18"/>
          <w:szCs w:val="18"/>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Any director may resign effective upon giving written notice, unless the notice specifies a later time for effectiveness of such resignation, to the chair of the board, the president or the secretary, or in the absence of all of them, any other officer of the Corporation.</w:t>
      </w:r>
    </w:p>
    <w:p>
      <w:pPr>
        <w:spacing w:after="0" w:line="194"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Vacancies; Newly Created Directorships</w:t>
      </w:r>
      <w:r>
        <w:rPr>
          <w:rFonts w:ascii="Times New Roman" w:cs="Times New Roman" w:eastAsia="Times New Roman" w:hAnsi="Times New Roman"/>
          <w:sz w:val="18"/>
          <w:szCs w:val="18"/>
          <w:color w:val="auto"/>
        </w:rPr>
        <w:t>. Subject to any rights of the holders of preferred stock, if any, any vacancies on the Board of Directors resulting from death, resignation, retirement, disqualification, removal, or other cause, and newly created directorships resulting from any increase in the authorized number of directors, may be filled by a majority vote of the directors then in office or by a sole remaining director, in either case though less than a quorum, and each director so appointed shall hold office for a term expiring at the next annual meeting of stockholders and when such director’s successor is elected or appointed or until his or her earlier death, resignation, retirement, disqualification or removal. No decrease in the number of directors constituting the Board of Directors shall cause the removal or shorten the term of any incumbent directors.</w:t>
      </w:r>
    </w:p>
    <w:p>
      <w:pPr>
        <w:spacing w:after="0" w:line="190"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Board of Directors may provide by resolution the place, date, and hour for holding regular meetings, and if the Board of Directors so provides with respect to a regular meeting, notice of such regular meeting shall not be required.</w:t>
      </w:r>
    </w:p>
    <w:p>
      <w:pPr>
        <w:spacing w:after="0" w:line="166"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any rights of the holders of preferred stock, if any, and except as otherwise required by law, special meetings of the Board of Directors may be called only by the chair of the board, if any, or if there be no chair of the board, by the chief executive officer, the president or the secretary, and shall be called by the chair of the board, if any, the chief executive officer, the president, or the secretary upon the request of at least a majority of the Board of Directors. If the chair of the board, or if there be no chair of the board, each of the chief executive officer, the president, and the secretary, fails for any reason to call such special meeting, a special meeting may be called by a notice signed by at least a majority of the Board of Directors.</w:t>
      </w:r>
    </w:p>
    <w:p>
      <w:pPr>
        <w:spacing w:after="0" w:line="190"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80" w:lineRule="exact"/>
        <w:rPr>
          <w:sz w:val="20"/>
          <w:szCs w:val="20"/>
          <w:color w:val="auto"/>
        </w:rPr>
      </w:pPr>
    </w:p>
    <w:p>
      <w:pPr>
        <w:jc w:val="both"/>
        <w:ind w:firstLine="591"/>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there shall be delivered to each director at the address appearing for him or her on the records of the Corporation a copy of a written notice of any meeting (i) by delivery of such notice personally at least forty-eight (48) hours before the time of such meeting,, (ii) by mailing such notice postage prepaid at least forty-eight (48) hours before the time of such meeting, (iii) by facsimile at least twenty-four (24) hours before the time of such</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0" w:name="page121"/>
    <w:bookmarkEnd w:id="120"/>
    <w:p>
      <w:pPr>
        <w:jc w:val="both"/>
        <w:ind w:firstLine="1"/>
        <w:spacing w:after="0" w:line="245" w:lineRule="auto"/>
        <w:rPr>
          <w:sz w:val="20"/>
          <w:szCs w:val="20"/>
          <w:color w:val="auto"/>
        </w:rPr>
      </w:pPr>
      <w:r>
        <w:rPr>
          <w:rFonts w:ascii="Times New Roman" w:cs="Times New Roman" w:eastAsia="Times New Roman" w:hAnsi="Times New Roman"/>
          <w:sz w:val="18"/>
          <w:szCs w:val="18"/>
          <w:color w:val="auto"/>
        </w:rPr>
        <w:t>meeting, (iv) by overnight courier at least forty-eight (48) hours before the time of such meeting, or (v) by electronic transmission or electronic writing, including, without limitation, e-mail, at least twenty-four (24) hours before the time of such meeting.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Quorum; Adjourned Meetings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          A majority of the directors in office, at a meeting duly assembled, is necessary to constitute a quorum for the transaction of business.</w:t>
      </w:r>
    </w:p>
    <w:p>
      <w:pPr>
        <w:spacing w:after="0" w:line="236"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(b)          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80"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Manner of Acting</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the affirmative vote of a majority of the directors present at a meeting at which a quorum is present is the act of the Board of Directors.</w:t>
      </w:r>
    </w:p>
    <w:p>
      <w:pPr>
        <w:spacing w:after="0" w:line="166" w:lineRule="exact"/>
        <w:rPr>
          <w:sz w:val="20"/>
          <w:szCs w:val="20"/>
          <w:color w:val="auto"/>
        </w:rPr>
      </w:pPr>
    </w:p>
    <w:p>
      <w:pPr>
        <w:jc w:val="both"/>
        <w:ind w:firstLine="591"/>
        <w:spacing w:after="0" w:line="24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Meetings Through Remote Communications</w:t>
      </w:r>
      <w:r>
        <w:rPr>
          <w:rFonts w:ascii="Times New Roman" w:cs="Times New Roman" w:eastAsia="Times New Roman" w:hAnsi="Times New Roman"/>
          <w:sz w:val="18"/>
          <w:szCs w:val="18"/>
          <w:color w:val="auto"/>
        </w:rPr>
        <w:t xml:space="preserve">. Members of the Board of Directors or of any committee designated by the Board of Directors may participate in a meeting of the Board of Directors or such committee by any means of remote communications, including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constitutes presence in person at the meeting.</w:t>
      </w:r>
    </w:p>
    <w:p>
      <w:pPr>
        <w:spacing w:after="0" w:line="198"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21" w:name="page122"/>
    <w:bookmarkEnd w:id="121"/>
    <w:p>
      <w:pPr>
        <w:jc w:val="both"/>
        <w:spacing w:after="0" w:line="259" w:lineRule="auto"/>
        <w:rPr>
          <w:sz w:val="20"/>
          <w:szCs w:val="20"/>
          <w:color w:val="auto"/>
        </w:rPr>
      </w:pPr>
      <w:r>
        <w:rPr>
          <w:rFonts w:ascii="Times New Roman" w:cs="Times New Roman" w:eastAsia="Times New Roman" w:hAnsi="Times New Roman"/>
          <w:sz w:val="18"/>
          <w:szCs w:val="18"/>
          <w:color w:val="auto"/>
        </w:rPr>
        <w:t>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1183"/>
        <w:spacing w:after="0" w:line="253" w:lineRule="auto"/>
        <w:rPr>
          <w:sz w:val="20"/>
          <w:szCs w:val="20"/>
          <w:color w:val="auto"/>
        </w:rPr>
      </w:pPr>
      <w:r>
        <w:rPr>
          <w:rFonts w:ascii="Times New Roman" w:cs="Times New Roman" w:eastAsia="Times New Roman" w:hAnsi="Times New Roman"/>
          <w:sz w:val="18"/>
          <w:szCs w:val="18"/>
          <w:color w:val="auto"/>
        </w:rPr>
        <w:t>(a)          Except as otherwise restricted by NRS Chapter 78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spacing w:after="0" w:line="175"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(b)          The Board of Directors, in its discretion, or the officer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80" w:lineRule="exact"/>
        <w:rPr>
          <w:sz w:val="20"/>
          <w:szCs w:val="20"/>
          <w:color w:val="auto"/>
        </w:rPr>
      </w:pPr>
    </w:p>
    <w:p>
      <w:pPr>
        <w:jc w:val="both"/>
        <w:ind w:firstLine="1183"/>
        <w:spacing w:after="0" w:line="246" w:lineRule="auto"/>
        <w:rPr>
          <w:sz w:val="20"/>
          <w:szCs w:val="20"/>
          <w:color w:val="auto"/>
        </w:rPr>
      </w:pPr>
      <w:r>
        <w:rPr>
          <w:rFonts w:ascii="Times New Roman" w:cs="Times New Roman" w:eastAsia="Times New Roman" w:hAnsi="Times New Roman"/>
          <w:sz w:val="18"/>
          <w:szCs w:val="18"/>
          <w:color w:val="auto"/>
        </w:rPr>
        <w:t>(c)          The Board of Directors may, by resolution passed by at least a majority of the Board of Directors, designate one or more committees, provided that each such committee must have at least one director of the Corporation as a member. Unless the Articles of Incorporation, the charter of the committee, or the resolutions designating the committee expressly require that all members of such committee be directors of the Corporation, the Board of Directors may appoint natural persons who are not directors of the Corporation to serve on such committee. The Board of Directors may designate one or more individuals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individual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92" w:lineRule="exact"/>
        <w:rPr>
          <w:sz w:val="20"/>
          <w:szCs w:val="20"/>
          <w:color w:val="auto"/>
        </w:rPr>
      </w:pPr>
    </w:p>
    <w:p>
      <w:pPr>
        <w:jc w:val="both"/>
        <w:ind w:firstLine="1183"/>
        <w:spacing w:after="0" w:line="253" w:lineRule="auto"/>
        <w:rPr>
          <w:sz w:val="20"/>
          <w:szCs w:val="20"/>
          <w:color w:val="auto"/>
        </w:rPr>
      </w:pPr>
      <w:r>
        <w:rPr>
          <w:rFonts w:ascii="Times New Roman" w:cs="Times New Roman" w:eastAsia="Times New Roman" w:hAnsi="Times New Roman"/>
          <w:sz w:val="18"/>
          <w:szCs w:val="18"/>
          <w:color w:val="auto"/>
        </w:rPr>
        <w:t>(d)          The Board of Directors, by resolution adopted by at least a majority of the Board of Directors, may designate three or more directors to constitute an audit committee of the Corporation, to serve as such until the next annual meeting of the Board of Directors or until their respective successors are designated. The audit committee will carry out its responsibilities as set forth in an audit committee charter adopted, and as amended from time to time, by the Board of Directors.</w:t>
      </w:r>
    </w:p>
    <w:p>
      <w:pPr>
        <w:spacing w:after="0" w:line="187"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Board of Directors, without regard to personal interest, may establish the compensation of directors for services in any capacity, which may include the payment of expenses, if any, of attendance at each meeting of the Board of Directors, or a fixed sum for attendance at each meeting or a stated salary as director. If the Board of Directors establishes the compensation of directors pursuant to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such compensation is presumed to be fair to the Corporation unless proven unfair by a preponderance of the evidence. No such payment shall preclude any director from serving the Corporation in any other capacity and receiving compensation therefor. At the discretion of the Board of Directors, members of special or standing committees may be allowed like compensation for attending committee meetings.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22" w:name="page123"/>
    <w:bookmarkEnd w:id="122"/>
    <w:p>
      <w:pPr>
        <w:jc w:val="both"/>
        <w:ind w:firstLine="591"/>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chair of the board, or in the absence of the chair of the board by the vice chair, if any, or in his or her absence by a chair chosen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4" w:lineRule="exact"/>
        <w:rPr>
          <w:sz w:val="20"/>
          <w:szCs w:val="20"/>
          <w:color w:val="auto"/>
        </w:rPr>
      </w:pPr>
    </w:p>
    <w:p>
      <w:pPr>
        <w:jc w:val="both"/>
        <w:ind w:firstLine="591"/>
        <w:spacing w:after="0" w:line="24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or appoint a chief executive officer,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including but not limited to a chair of the board and vice chair of the board (each of whom must be a director), a chief financial officer, assistant chief financial officer, controller, and one or more vice presidents, assistant treasurers and assistant secretaries, who shall hold office at the pleasure of the Board of Directors, and shall have such powers and duties and be paid such compensation as may be directed by the Board of Directors. Any individual may hold two or more offices.</w:t>
      </w:r>
    </w:p>
    <w:p>
      <w:pPr>
        <w:spacing w:after="0" w:line="179"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Removal; Resignation</w:t>
      </w:r>
      <w:r>
        <w:rPr>
          <w:rFonts w:ascii="Times New Roman" w:cs="Times New Roman" w:eastAsia="Times New Roman" w:hAnsi="Times New Roman"/>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68"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because of death, resignation, removal or otherwise may be filled by the Board of Directors for the unexpired portion of the term of such office.</w:t>
      </w:r>
    </w:p>
    <w:p>
      <w:pPr>
        <w:spacing w:after="0" w:line="166" w:lineRule="exact"/>
        <w:rPr>
          <w:sz w:val="20"/>
          <w:szCs w:val="20"/>
          <w:color w:val="auto"/>
        </w:rPr>
      </w:pPr>
    </w:p>
    <w:p>
      <w:pPr>
        <w:jc w:val="both"/>
        <w:ind w:firstLine="591"/>
        <w:spacing w:after="0" w:line="24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subject to the control of the Board of Directors, have general executive charge, management and control of the properties, business and operations of the Corporation with all such powers as may be reasonably incident to such responsibilities, and the chief executive officer may agree upon and execute all leases, contracts, evidences of indebtedness and other obligations in the name of the Corporation and may sign all certificates for shares of capital stock of the Corporation. In the absence or disability of the chair of the board or vice chair of the board, or if there is none, the chief executive officer shall preside at all meetings of the stockholders and the Board of Directors. The chief executive officer shall also perform such other duties and may exercise such other powers as from time to time may be assigned to him or her by these Bylaws or by the Board of Directors.</w:t>
      </w:r>
    </w:p>
    <w:p>
      <w:pPr>
        <w:spacing w:after="0" w:line="186" w:lineRule="exact"/>
        <w:rPr>
          <w:sz w:val="20"/>
          <w:szCs w:val="20"/>
          <w:color w:val="auto"/>
        </w:rPr>
      </w:pPr>
    </w:p>
    <w:p>
      <w:pPr>
        <w:jc w:val="both"/>
        <w:ind w:firstLine="592"/>
        <w:spacing w:after="0" w:line="249"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xml:space="preserve">. The president, subject to the supervision and control of the Board of Directors, the chief executive officer and, if there is one, the chair of the board (or vice chair of the board), </w:t>
      </w:r>
      <w:r>
        <w:rPr>
          <w:rFonts w:ascii="Times New Roman" w:cs="Times New Roman" w:eastAsia="Times New Roman" w:hAnsi="Times New Roman"/>
          <w:sz w:val="18"/>
          <w:szCs w:val="18"/>
          <w:color w:val="auto"/>
        </w:rPr>
        <w:t>shall in general actively supervise and control the business and affairs of the Corporation</w:t>
      </w:r>
      <w:r>
        <w:rPr>
          <w:rFonts w:ascii="Times New Roman" w:cs="Times New Roman" w:eastAsia="Times New Roman" w:hAnsi="Times New Roman"/>
          <w:sz w:val="17"/>
          <w:szCs w:val="17"/>
          <w:color w:val="auto"/>
        </w:rPr>
        <w:t xml:space="preserve"> and shall see that all orders and resolutions of the Board of Directors are carried into effect</w:t>
      </w:r>
      <w:r>
        <w:rPr>
          <w:rFonts w:ascii="Times New Roman" w:cs="Times New Roman" w:eastAsia="Times New Roman" w:hAnsi="Times New Roman"/>
          <w:sz w:val="18"/>
          <w:szCs w:val="18"/>
          <w:color w:val="auto"/>
        </w:rPr>
        <w:t>. The president shall keep the Board of Directors fully informed as the Board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Directors may request and shall consult the Board of Directors concerning the business of the Corporation. In the absence or disability of the chief executive officer and, if there is one, the chair of the board (or vice chair of the board), the president shall preside at all meetings of the stockholders and the Board of Directors. The president shall perform such other duties and have such other powers which are delegated and assigned to him or her by the Board of Directors, the chief executive officer, these Bylaws or as provided by law.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3" w:name="page124"/>
    <w:bookmarkEnd w:id="123"/>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90"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the president, these Bylaws or as provided by law.</w:t>
      </w:r>
    </w:p>
    <w:p>
      <w:pPr>
        <w:spacing w:after="0" w:line="194"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the president, these Bylaws or as provided by law.</w:t>
      </w:r>
    </w:p>
    <w:p>
      <w:pPr>
        <w:spacing w:after="0" w:line="180"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taking proper vouchers for such disbursements, and shall render to the chief executive officer, the chair of the board, the vice chair of the board, the president and the Board of Directors, at its regular meetings or when the Board of Directors so requires, an account of all transactions as chief financial officer and of the financial condition of the Corporation. The chief financial officer shall perform such other duties as may from time to time be prescribed by the Board of Directors, the chief executive officer, the chair of the board, the vice chair of the board or the president.</w:t>
      </w:r>
    </w:p>
    <w:p>
      <w:pPr>
        <w:spacing w:after="0" w:line="194" w:lineRule="exact"/>
        <w:rPr>
          <w:sz w:val="20"/>
          <w:szCs w:val="20"/>
          <w:color w:val="auto"/>
        </w:rPr>
      </w:pPr>
    </w:p>
    <w:p>
      <w:pPr>
        <w:jc w:val="both"/>
        <w:ind w:firstLine="591"/>
        <w:spacing w:after="0" w:line="25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Assistant Chief Financial Officer</w:t>
      </w:r>
      <w:r>
        <w:rPr>
          <w:rFonts w:ascii="Times New Roman" w:cs="Times New Roman" w:eastAsia="Times New Roman" w:hAnsi="Times New Roman"/>
          <w:sz w:val="18"/>
          <w:szCs w:val="18"/>
          <w:color w:val="auto"/>
        </w:rPr>
        <w:t>. The assistant chief financial officer, or if there is more than one, the assistant chief financial officers, in the order determined by the Board of Directors (or if there is no such determination, then in the order of 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from time to time be prescribed by the Board of Directors, the chief executive officer, the chair of the board, the vice chair of the board, the president or the chief financial officer.</w:t>
      </w:r>
    </w:p>
    <w:p>
      <w:pPr>
        <w:spacing w:after="0" w:line="187"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xml:space="preserve"> The Board of Directors may elect a controller who shall be responsible for all accounting and auditing functions of the Corporation and who shall perform such other duties as may from time to time be required of him or her by the Board of Directors.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4" w:name="page125"/>
    <w:bookmarkEnd w:id="124"/>
    <w:p>
      <w:pPr>
        <w:jc w:val="both"/>
        <w:ind w:firstLine="590"/>
        <w:spacing w:after="0" w:line="247"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if any, shall have the custody of the 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funds and securities and shall keep full and accurate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 xml:space="preserve">accounts of receipts and disbursements in books belonging to the Corporation and shall deposit all moneys and other valuable effects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possession or under his or her control belonging to the Corporation.</w:t>
      </w:r>
    </w:p>
    <w:p>
      <w:pPr>
        <w:spacing w:after="0" w:line="195"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91" w:lineRule="exact"/>
        <w:rPr>
          <w:sz w:val="20"/>
          <w:szCs w:val="20"/>
          <w:color w:val="auto"/>
        </w:rPr>
      </w:pPr>
    </w:p>
    <w:p>
      <w:pPr>
        <w:jc w:val="both"/>
        <w:ind w:firstLine="591"/>
        <w:spacing w:after="0" w:line="24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Execution of Negotiable Instruments, Deeds and Contracts</w:t>
      </w:r>
      <w:r>
        <w:rPr>
          <w:rFonts w:ascii="Times New Roman" w:cs="Times New Roman" w:eastAsia="Times New Roman" w:hAnsi="Times New Roman"/>
          <w:sz w:val="18"/>
          <w:szCs w:val="18"/>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or the chief executive officer may from time to time designate. The Board of Directors may authorize the use of the facsimile and electronic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04"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Stock Certificates and Uncertificated Shares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1183"/>
        <w:spacing w:after="0" w:line="259" w:lineRule="auto"/>
        <w:rPr>
          <w:sz w:val="20"/>
          <w:szCs w:val="20"/>
          <w:color w:val="auto"/>
        </w:rPr>
      </w:pPr>
      <w:r>
        <w:rPr>
          <w:rFonts w:ascii="Times New Roman" w:cs="Times New Roman" w:eastAsia="Times New Roman" w:hAnsi="Times New Roman"/>
          <w:sz w:val="18"/>
          <w:szCs w:val="18"/>
          <w:color w:val="auto"/>
        </w:rPr>
        <w:t>(a)          Every holder of stock in the Corporation shall be entitled to have a certificate issued and signed by or in the name of the Corporation by (i) the chief executive officer, the president, or a vice president, and (ii) the secretary, an assistant secretary, the treasurer or the chief financial officer, if any, of the Corporation (or any other two officers or agents so authorized by the Board of Directors),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25" w:name="page126"/>
    <w:bookmarkEnd w:id="125"/>
    <w:p>
      <w:pPr>
        <w:jc w:val="both"/>
        <w:spacing w:after="0" w:line="246" w:lineRule="auto"/>
        <w:rPr>
          <w:sz w:val="20"/>
          <w:szCs w:val="20"/>
          <w:color w:val="auto"/>
        </w:rPr>
      </w:pPr>
      <w:r>
        <w:rPr>
          <w:rFonts w:ascii="Times New Roman" w:cs="Times New Roman" w:eastAsia="Times New Roman" w:hAnsi="Times New Roman"/>
          <w:sz w:val="18"/>
          <w:szCs w:val="18"/>
          <w:color w:val="auto"/>
        </w:rPr>
        <w:t>certifying the number of shares 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83" w:lineRule="exact"/>
        <w:rPr>
          <w:sz w:val="20"/>
          <w:szCs w:val="20"/>
          <w:color w:val="auto"/>
        </w:rPr>
      </w:pPr>
    </w:p>
    <w:p>
      <w:pPr>
        <w:jc w:val="both"/>
        <w:ind w:firstLine="1183"/>
        <w:spacing w:after="0" w:line="248" w:lineRule="auto"/>
        <w:rPr>
          <w:sz w:val="20"/>
          <w:szCs w:val="20"/>
          <w:color w:val="auto"/>
        </w:rPr>
      </w:pPr>
      <w:r>
        <w:rPr>
          <w:rFonts w:ascii="Times New Roman" w:cs="Times New Roman" w:eastAsia="Times New Roman" w:hAnsi="Times New Roman"/>
          <w:sz w:val="18"/>
          <w:szCs w:val="18"/>
          <w:color w:val="auto"/>
        </w:rPr>
        <w:t>(b)          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to the extent required by law,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91" w:lineRule="exact"/>
        <w:rPr>
          <w:sz w:val="20"/>
          <w:szCs w:val="20"/>
          <w:color w:val="auto"/>
        </w:rPr>
      </w:pPr>
    </w:p>
    <w:p>
      <w:pPr>
        <w:jc w:val="both"/>
        <w:ind w:firstLine="1183"/>
        <w:spacing w:after="0" w:line="249" w:lineRule="auto"/>
        <w:rPr>
          <w:sz w:val="20"/>
          <w:szCs w:val="20"/>
          <w:color w:val="auto"/>
        </w:rPr>
      </w:pPr>
      <w:r>
        <w:rPr>
          <w:rFonts w:ascii="Times New Roman" w:cs="Times New Roman" w:eastAsia="Times New Roman" w:hAnsi="Times New Roman"/>
          <w:sz w:val="18"/>
          <w:szCs w:val="18"/>
          <w:color w:val="auto"/>
        </w:rPr>
        <w:t>(c)         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or such other federal, state or local laws or regulations then in effect.</w:t>
      </w:r>
    </w:p>
    <w:p>
      <w:pPr>
        <w:spacing w:after="0" w:line="190" w:lineRule="exact"/>
        <w:rPr>
          <w:sz w:val="20"/>
          <w:szCs w:val="20"/>
          <w:color w:val="auto"/>
        </w:rPr>
      </w:pPr>
    </w:p>
    <w:p>
      <w:pPr>
        <w:jc w:val="both"/>
        <w:ind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Surrendered; Lost or Destroyed Certificates</w:t>
      </w:r>
      <w:r>
        <w:rPr>
          <w:rFonts w:ascii="Times New Roman" w:cs="Times New Roman" w:eastAsia="Times New Roman" w:hAnsi="Times New Roman"/>
          <w:sz w:val="18"/>
          <w:szCs w:val="18"/>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94"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Replacement Certificate</w:t>
      </w:r>
      <w:r>
        <w:rPr>
          <w:rFonts w:ascii="Times New Roman" w:cs="Times New Roman" w:eastAsia="Times New Roman" w:hAnsi="Times New Roman"/>
          <w:sz w:val="18"/>
          <w:szCs w:val="18"/>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6" w:name="page127"/>
    <w:bookmarkEnd w:id="126"/>
    <w:p>
      <w:pPr>
        <w:jc w:val="both"/>
        <w:spacing w:after="0" w:line="249" w:lineRule="auto"/>
        <w:rPr>
          <w:sz w:val="20"/>
          <w:szCs w:val="20"/>
          <w:color w:val="auto"/>
        </w:rPr>
      </w:pPr>
      <w:r>
        <w:rPr>
          <w:rFonts w:ascii="Times New Roman" w:cs="Times New Roman" w:eastAsia="Times New Roman" w:hAnsi="Times New Roman"/>
          <w:sz w:val="18"/>
          <w:szCs w:val="18"/>
          <w:color w:val="auto"/>
        </w:rPr>
        <w:t>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90" w:lineRule="exact"/>
        <w:rPr>
          <w:sz w:val="20"/>
          <w:szCs w:val="20"/>
          <w:color w:val="auto"/>
        </w:rPr>
      </w:pPr>
    </w:p>
    <w:p>
      <w:pPr>
        <w:jc w:val="both"/>
        <w:ind w:firstLine="591"/>
        <w:spacing w:after="0" w:line="249"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No transfer of stock shall be valid as against the Corporation except on surrender and cancellation of any certificate(s) therefor accompanied by an assignment or transfer by the registered owner made either in person or under assignment. Upon receipt of proper transfer instructions from the registered owner of uncertificated shares, such uncertificated shares shall be canceled and issuance of new, equivalent uncertificated shares or certificated shares shall be made to the stockholder entitled thereto and the transaction shall be recorded in the records of the Corporation. Whenever any transfer shall be expressly made for collateral security and not absolutely, the collateral nature of the transfer shall be reflected in the entry of transfer in the records of the Corporation.</w:t>
      </w:r>
    </w:p>
    <w:p>
      <w:pPr>
        <w:spacing w:after="0" w:line="190"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Transfer Agent; Registrars</w:t>
      </w:r>
      <w:r>
        <w:rPr>
          <w:rFonts w:ascii="Times New Roman" w:cs="Times New Roman" w:eastAsia="Times New Roman" w:hAnsi="Times New Roman"/>
          <w:sz w:val="18"/>
          <w:szCs w:val="18"/>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66"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DISTRIBUTIONS</w:t>
      </w:r>
    </w:p>
    <w:p>
      <w:pPr>
        <w:spacing w:after="0" w:line="204" w:lineRule="exact"/>
        <w:rPr>
          <w:sz w:val="20"/>
          <w:szCs w:val="20"/>
          <w:color w:val="auto"/>
        </w:rPr>
      </w:pPr>
    </w:p>
    <w:p>
      <w:pPr>
        <w:jc w:val="both"/>
        <w:ind w:firstLine="591"/>
        <w:spacing w:after="0" w:line="253" w:lineRule="auto"/>
        <w:rPr>
          <w:sz w:val="20"/>
          <w:szCs w:val="20"/>
          <w:color w:val="auto"/>
        </w:rPr>
      </w:pPr>
      <w:r>
        <w:rPr>
          <w:rFonts w:ascii="Times New Roman" w:cs="Times New Roman" w:eastAsia="Times New Roman" w:hAnsi="Times New Roman"/>
          <w:sz w:val="18"/>
          <w:szCs w:val="18"/>
          <w:color w:val="auto"/>
        </w:rPr>
        <w:t xml:space="preserve">Distributions may be declared, subject to the provisions of the laws of the State of Nevada and the Articles of Incorporation, by the Board of Directors and may be paid in money, shares of corporate stock, property or any other medium not prohibited under applicable law. The Board of Directors may fix in advance a record date, in accordance with and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prior to the distribution for the purpose of determining stockholders entitled to receive any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RECORDS AND REPORTS; CORPORATE SEAL; FISCAL YEAR</w:t>
      </w:r>
    </w:p>
    <w:p>
      <w:pPr>
        <w:spacing w:after="0" w:line="204"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66"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by resolution, authorize a seal, and the seal may be used by causing it, or a facsimile, to be impressed or affixed or reproduced or otherwise. Except as otherwise specifically provided in these Bylaws, any officer of the Corporation shall have the authority to affix the seal to any document requiring it.</w:t>
      </w:r>
    </w:p>
    <w:p>
      <w:pPr>
        <w:spacing w:after="0" w:line="180" w:lineRule="exact"/>
        <w:rPr>
          <w:sz w:val="20"/>
          <w:szCs w:val="20"/>
          <w:color w:val="auto"/>
        </w:rPr>
      </w:pPr>
    </w:p>
    <w:p>
      <w:pPr>
        <w:jc w:val="both"/>
        <w:ind w:firstLine="591"/>
        <w:spacing w:after="0" w:line="27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Fiscal Year-End</w:t>
      </w:r>
      <w:r>
        <w:rPr>
          <w:rFonts w:ascii="Times New Roman" w:cs="Times New Roman" w:eastAsia="Times New Roman" w:hAnsi="Times New Roman"/>
          <w:sz w:val="18"/>
          <w:szCs w:val="18"/>
          <w:color w:val="auto"/>
        </w:rPr>
        <w:t>. The fiscal year-end of the Corporation shall be such date as may be fixed from time to time by resolution of the Board of Directors.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1774"/>
        <w:spacing w:after="0" w:line="248" w:lineRule="auto"/>
        <w:rPr>
          <w:sz w:val="20"/>
          <w:szCs w:val="20"/>
          <w:color w:val="auto"/>
        </w:rPr>
      </w:pPr>
      <w:r>
        <w:rPr>
          <w:rFonts w:ascii="Times New Roman" w:cs="Times New Roman" w:eastAsia="Times New Roman" w:hAnsi="Times New Roman"/>
          <w:sz w:val="18"/>
          <w:szCs w:val="18"/>
          <w:color w:val="auto"/>
        </w:rPr>
        <w:t xml:space="preserve">(i)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mean each director or officer who was or is a party to, or is threatened to be made a party to, or is otherwise involved in, any Proceeding (as defined below), by reason of the fact that he or she is or was a director, officer, employee or agent (including, without limitation, as a trustee, fiduciary, administrator or manager) of the Corporation or any predecessor entity thereof,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sz w:val="20"/>
          <w:szCs w:val="20"/>
          <w:color w:val="auto"/>
        </w:rPr>
      </w:pPr>
    </w:p>
    <w:p>
      <w:pPr>
        <w:jc w:val="both"/>
        <w:ind w:firstLine="1774"/>
        <w:spacing w:after="0" w:line="249" w:lineRule="auto"/>
        <w:rPr>
          <w:sz w:val="20"/>
          <w:szCs w:val="20"/>
          <w:color w:val="auto"/>
        </w:rPr>
      </w:pPr>
      <w:r>
        <w:rPr>
          <w:rFonts w:ascii="Times New Roman" w:cs="Times New Roman" w:eastAsia="Times New Roman" w:hAnsi="Times New Roman"/>
          <w:sz w:val="18"/>
          <w:szCs w:val="18"/>
          <w:color w:val="auto"/>
        </w:rPr>
        <w:t>(ii)         Each Indemnitee shall be indemnified and held harmless by the Corporation to the fullest extent permitted by Nevada law (including, without limitation, NRS 78.751(3)), against all expense, liability and loss (including, without limitation, attorneys’ fees, judgments, fines, taxes, penalties, and amounts paid or to be paid in settlement) reasonably incurred or suffered by the Indemnitee in connection with any Proceeding; provided that,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190" w:lineRule="exact"/>
        <w:rPr>
          <w:sz w:val="20"/>
          <w:szCs w:val="20"/>
          <w:color w:val="auto"/>
        </w:rPr>
      </w:pPr>
    </w:p>
    <w:p>
      <w:pPr>
        <w:jc w:val="both"/>
        <w:ind w:firstLine="1774"/>
        <w:spacing w:after="0" w:line="253" w:lineRule="auto"/>
        <w:rPr>
          <w:sz w:val="20"/>
          <w:szCs w:val="20"/>
          <w:color w:val="auto"/>
        </w:rPr>
      </w:pPr>
      <w:r>
        <w:rPr>
          <w:rFonts w:ascii="Times New Roman" w:cs="Times New Roman" w:eastAsia="Times New Roman" w:hAnsi="Times New Roman"/>
          <w:sz w:val="18"/>
          <w:szCs w:val="18"/>
          <w:color w:val="auto"/>
        </w:rPr>
        <w:t xml:space="preserve">(iii)         Indemnification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continue as to an Indemnitee who has ceased to be a director or officer of the Corporation or any predecessor entity thereof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87" w:lineRule="exact"/>
        <w:rPr>
          <w:sz w:val="20"/>
          <w:szCs w:val="20"/>
          <w:color w:val="auto"/>
        </w:rPr>
      </w:pPr>
    </w:p>
    <w:p>
      <w:pPr>
        <w:jc w:val="both"/>
        <w:ind w:firstLine="1774"/>
        <w:spacing w:after="0" w:line="249" w:lineRule="auto"/>
        <w:rPr>
          <w:sz w:val="20"/>
          <w:szCs w:val="20"/>
          <w:color w:val="auto"/>
        </w:rPr>
      </w:pPr>
      <w:r>
        <w:rPr>
          <w:rFonts w:ascii="Times New Roman" w:cs="Times New Roman" w:eastAsia="Times New Roman" w:hAnsi="Times New Roman"/>
          <w:sz w:val="18"/>
          <w:szCs w:val="18"/>
          <w:color w:val="auto"/>
        </w:rPr>
        <w:t>(iv)         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90" w:lineRule="exact"/>
        <w:rPr>
          <w:sz w:val="20"/>
          <w:szCs w:val="20"/>
          <w:color w:val="auto"/>
        </w:rPr>
      </w:pPr>
    </w:p>
    <w:p>
      <w:pPr>
        <w:jc w:val="both"/>
        <w:ind w:firstLine="1183"/>
        <w:spacing w:after="0" w:line="27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Indemnification of Employees and Other Persons</w:t>
      </w:r>
      <w:r>
        <w:rPr>
          <w:rFonts w:ascii="Times New Roman" w:cs="Times New Roman" w:eastAsia="Times New Roman" w:hAnsi="Times New Roman"/>
          <w:sz w:val="18"/>
          <w:szCs w:val="18"/>
          <w:color w:val="auto"/>
        </w:rPr>
        <w:t>. The Corporation may, by action of its Board of Directors and to the extent provided in such action, indemnify employees and other persons as though they were Indemnitees.</w:t>
      </w:r>
    </w:p>
    <w:p>
      <w:pPr>
        <w:spacing w:after="0" w:line="166" w:lineRule="exact"/>
        <w:rPr>
          <w:sz w:val="20"/>
          <w:szCs w:val="20"/>
          <w:color w:val="auto"/>
        </w:rPr>
      </w:pPr>
    </w:p>
    <w:p>
      <w:pPr>
        <w:jc w:val="both"/>
        <w:ind w:firstLine="1183"/>
        <w:spacing w:after="0" w:line="27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exclusive of any other rights that any person may have or hereafter acquire under any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28" w:name="page129"/>
    <w:bookmarkEnd w:id="128"/>
    <w:p>
      <w:pPr>
        <w:jc w:val="both"/>
        <w:ind w:left="1"/>
        <w:spacing w:after="0" w:line="275" w:lineRule="auto"/>
        <w:rPr>
          <w:sz w:val="20"/>
          <w:szCs w:val="20"/>
          <w:color w:val="auto"/>
        </w:rPr>
      </w:pPr>
      <w:r>
        <w:rPr>
          <w:rFonts w:ascii="Times New Roman" w:cs="Times New Roman" w:eastAsia="Times New Roman" w:hAnsi="Times New Roman"/>
          <w:sz w:val="18"/>
          <w:szCs w:val="18"/>
          <w:color w:val="auto"/>
        </w:rPr>
        <w:t>statute (including, without limitation, NRS 78.7502), provision of the Articles of Incorporation or these Bylaws, agreement, vote of stockholders or directors, or otherwise.</w:t>
      </w:r>
    </w:p>
    <w:p>
      <w:pPr>
        <w:spacing w:after="0" w:line="166" w:lineRule="exact"/>
        <w:rPr>
          <w:sz w:val="20"/>
          <w:szCs w:val="20"/>
          <w:color w:val="auto"/>
        </w:rPr>
      </w:pPr>
    </w:p>
    <w:p>
      <w:pPr>
        <w:jc w:val="both"/>
        <w:ind w:left="1" w:firstLine="1183"/>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87" w:lineRule="exact"/>
        <w:rPr>
          <w:sz w:val="20"/>
          <w:szCs w:val="20"/>
          <w:color w:val="auto"/>
        </w:rPr>
      </w:pPr>
    </w:p>
    <w:p>
      <w:pPr>
        <w:ind w:left="1181"/>
        <w:spacing w:after="0"/>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Other Financial Arrangements</w:t>
      </w:r>
      <w:r>
        <w:rPr>
          <w:rFonts w:ascii="Times New Roman" w:cs="Times New Roman" w:eastAsia="Times New Roman" w:hAnsi="Times New Roman"/>
          <w:sz w:val="17"/>
          <w:szCs w:val="17"/>
          <w:color w:val="auto"/>
        </w:rPr>
        <w:t>. The other financial arrangements which may be made by the Corporation may include the following</w:t>
      </w:r>
    </w:p>
    <w:p>
      <w:pPr>
        <w:spacing w:after="0" w:line="34" w:lineRule="exact"/>
        <w:rPr>
          <w:sz w:val="20"/>
          <w:szCs w:val="20"/>
          <w:color w:val="auto"/>
        </w:rPr>
      </w:pPr>
    </w:p>
    <w:p>
      <w:pPr>
        <w:jc w:val="both"/>
        <w:ind w:left="1" w:hanging="1"/>
        <w:spacing w:after="0" w:line="245" w:lineRule="auto"/>
        <w:tabs>
          <w:tab w:leader="none" w:pos="2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93" w:lineRule="exact"/>
        <w:rPr>
          <w:sz w:val="20"/>
          <w:szCs w:val="20"/>
          <w:color w:val="auto"/>
        </w:rPr>
      </w:pPr>
    </w:p>
    <w:p>
      <w:pPr>
        <w:jc w:val="both"/>
        <w:ind w:left="1" w:firstLine="1183"/>
        <w:spacing w:after="0" w:line="24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Other Matters Relating to Insurance or Financial Arrangements</w:t>
      </w:r>
      <w:r>
        <w:rPr>
          <w:rFonts w:ascii="Times New Roman" w:cs="Times New Roman" w:eastAsia="Times New Roman" w:hAnsi="Times New Roman"/>
          <w:sz w:val="18"/>
          <w:szCs w:val="18"/>
          <w:color w:val="auto"/>
        </w:rPr>
        <w:t xml:space="preserve">. Any insurance or other financial arrangement made on behalf of a person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79" w:lineRule="exact"/>
        <w:rPr>
          <w:sz w:val="20"/>
          <w:szCs w:val="20"/>
          <w:color w:val="auto"/>
        </w:rPr>
      </w:pPr>
    </w:p>
    <w:p>
      <w:pPr>
        <w:jc w:val="both"/>
        <w:ind w:left="1" w:firstLine="591"/>
        <w:spacing w:after="0" w:line="24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relating to indemnification shall constitute a contract between the Corporation and each of its directors and officers which may be modified as to any director or officer only with that person’s consent or as specifically provided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Notwithstanding any other provision of these Bylaws relating to their amendment generally, any repeal or amendment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 repeal or amendment of these Bylaws shall affect any or all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so as to limit or reduce the indemnification in any manner unless adopted by (i) the unanimous vote of the directors of the Corporation then serving, or (ii) by the stockholders as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provided that no such amendment shall have a retroactive effect inconsistent with the preceding sentence.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CHANGES IN NEVADA LAW</w:t>
      </w:r>
    </w:p>
    <w:p>
      <w:pPr>
        <w:spacing w:after="0" w:line="204" w:lineRule="exact"/>
        <w:rPr>
          <w:sz w:val="20"/>
          <w:szCs w:val="20"/>
          <w:color w:val="auto"/>
        </w:rPr>
      </w:pPr>
    </w:p>
    <w:p>
      <w:pPr>
        <w:jc w:val="both"/>
        <w:ind w:left="1" w:firstLine="591"/>
        <w:spacing w:after="0" w:line="251" w:lineRule="auto"/>
        <w:rPr>
          <w:sz w:val="20"/>
          <w:szCs w:val="20"/>
          <w:color w:val="auto"/>
        </w:rPr>
      </w:pPr>
      <w:r>
        <w:rPr>
          <w:rFonts w:ascii="Times New Roman" w:cs="Times New Roman" w:eastAsia="Times New Roman" w:hAnsi="Times New Roman"/>
          <w:sz w:val="18"/>
          <w:szCs w:val="18"/>
          <w:color w:val="auto"/>
        </w:rPr>
        <w:t xml:space="preserve">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129" w:name="page130"/>
    <w:bookmarkEnd w:id="129"/>
    <w:p>
      <w:pPr>
        <w:jc w:val="both"/>
        <w:spacing w:after="0" w:line="259" w:lineRule="auto"/>
        <w:rPr>
          <w:sz w:val="20"/>
          <w:szCs w:val="20"/>
          <w:color w:val="auto"/>
        </w:rPr>
      </w:pPr>
      <w:r>
        <w:rPr>
          <w:rFonts w:ascii="Times New Roman" w:cs="Times New Roman" w:eastAsia="Times New Roman" w:hAnsi="Times New Roman"/>
          <w:sz w:val="18"/>
          <w:szCs w:val="18"/>
          <w:color w:val="auto"/>
        </w:rPr>
        <w:t>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OR REPEAL</w:t>
      </w:r>
    </w:p>
    <w:p>
      <w:pPr>
        <w:spacing w:after="0" w:line="204" w:lineRule="exact"/>
        <w:rPr>
          <w:sz w:val="20"/>
          <w:szCs w:val="20"/>
          <w:color w:val="auto"/>
        </w:rPr>
      </w:pPr>
    </w:p>
    <w:p>
      <w:pPr>
        <w:jc w:val="both"/>
        <w:ind w:firstLine="591"/>
        <w:spacing w:after="0" w:line="259"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amend or repeal these Bylaws or to adopt new bylaws; provided that these Bylaws may be amended or repealed in any respect, and new bylaws may be adopted, in each case by the affirmative vote of the holders of at least a majority of the outstanding voting power of the Corporation, voting together as a single class.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SEVERABILITY</w:t>
      </w:r>
    </w:p>
    <w:p>
      <w:pPr>
        <w:spacing w:after="0" w:line="204" w:lineRule="exact"/>
        <w:rPr>
          <w:sz w:val="20"/>
          <w:szCs w:val="20"/>
          <w:color w:val="auto"/>
        </w:rPr>
      </w:pPr>
    </w:p>
    <w:p>
      <w:pPr>
        <w:jc w:val="both"/>
        <w:ind w:firstLine="591"/>
        <w:spacing w:after="0" w:line="248" w:lineRule="auto"/>
        <w:rPr>
          <w:sz w:val="20"/>
          <w:szCs w:val="20"/>
          <w:color w:val="auto"/>
        </w:rPr>
      </w:pPr>
      <w:r>
        <w:rPr>
          <w:rFonts w:ascii="Times New Roman" w:cs="Times New Roman" w:eastAsia="Times New Roman" w:hAnsi="Times New Roman"/>
          <w:sz w:val="18"/>
          <w:szCs w:val="18"/>
          <w:color w:val="auto"/>
        </w:rPr>
        <w:t>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 Bylaws containing any such provision held to be invalid, illegal or unenforceable that is not itself held to be invalid, illegal or unenforceable) shall not in any way be affected or impaired thereby; and (ii) to the fullest extent possible, the provisions of the Bylaws (including, without limitation, each such portion of any paragraph of the Bylaws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438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2518410</wp:posOffset>
            </wp:positionH>
            <wp:positionV relativeFrom="page">
              <wp:posOffset>4533265</wp:posOffset>
            </wp:positionV>
            <wp:extent cx="2527300" cy="923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2527300" cy="923290"/>
                    </a:xfrm>
                    <a:prstGeom prst="rect">
                      <a:avLst/>
                    </a:prstGeom>
                    <a:noFill/>
                  </pic:spPr>
                </pic:pic>
              </a:graphicData>
            </a:graphic>
          </wp:anchor>
        </w:drawing>
        <w:drawing>
          <wp:anchor simplePos="0" relativeHeight="251657728" behindDoc="1" locked="0" layoutInCell="0" allowOverlap="1">
            <wp:simplePos x="0" y="0"/>
            <wp:positionH relativeFrom="page">
              <wp:posOffset>6775450</wp:posOffset>
            </wp:positionH>
            <wp:positionV relativeFrom="page">
              <wp:posOffset>1012190</wp:posOffset>
            </wp:positionV>
            <wp:extent cx="571500" cy="55791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571500"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58595B"/>
        </w:rPr>
        <w:t>FIDELITY NATIONAL FINANCIAL, INC.</w:t>
      </w:r>
    </w:p>
    <w:p>
      <w:pPr>
        <w:sectPr>
          <w:pgSz w:w="11900" w:h="16838" w:orient="portrait"/>
          <w:cols w:equalWidth="0" w:num="1">
            <w:col w:w="9019"/>
          </w:cols>
          <w:pgMar w:left="1440" w:top="1440" w:right="1440"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601 RIVERSIDE AVENUE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JACKSONVILLE, FLORIDA 32204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652780</wp:posOffset>
            </wp:positionV>
            <wp:extent cx="714438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276860</wp:posOffset>
            </wp:positionV>
            <wp:extent cx="7144385" cy="894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4385"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4385" cy="894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4385" cy="8943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bullet"/>
      <w:start w:val="1"/>
    </w:lvl>
  </w:abstractNum>
  <w:abstractNum w:abstractNumId="8">
    <w:nsid w:val="579478FE"/>
    <w:multiLevelType w:val="hybridMultilevel"/>
    <w:lvl w:ilvl="0">
      <w:lvlJc w:val="left"/>
      <w:lvlText w:val="2"/>
      <w:numFmt w:val="bullet"/>
      <w:start w:val="1"/>
    </w:lvl>
  </w:abstractNum>
  <w:abstractNum w:abstractNumId="9">
    <w:nsid w:val="749ABB43"/>
    <w:multiLevelType w:val="hybridMultilevel"/>
    <w:lvl w:ilvl="0">
      <w:lvlJc w:val="left"/>
      <w:lvlText w:val="8"/>
      <w:numFmt w:val="bullet"/>
      <w:start w:val="1"/>
    </w:lvl>
  </w:abstractNum>
  <w:abstractNum w:abstractNumId="10">
    <w:nsid w:val="3DC240FB"/>
    <w:multiLevelType w:val="hybridMultilevel"/>
    <w:lvl w:ilvl="0">
      <w:lvlJc w:val="left"/>
      <w:lvlText w:val="%1"/>
      <w:numFmt w:val="decimal"/>
      <w:start w:val="21"/>
    </w:lvl>
  </w:abstractNum>
  <w:abstractNum w:abstractNumId="11">
    <w:nsid w:val="1BA026FA"/>
    <w:multiLevelType w:val="hybridMultilevel"/>
    <w:lvl w:ilvl="0">
      <w:lvlJc w:val="left"/>
      <w:lvlText w:val="%1"/>
      <w:numFmt w:val="decimal"/>
      <w:start w:val="30"/>
    </w:lvl>
  </w:abstractNum>
  <w:abstractNum w:abstractNumId="12">
    <w:nsid w:val="79A1DEAA"/>
    <w:multiLevelType w:val="hybridMultilevel"/>
    <w:lvl w:ilvl="0">
      <w:lvlJc w:val="left"/>
      <w:lvlText w:val="%1"/>
      <w:numFmt w:val="decimal"/>
      <w:start w:val="53"/>
    </w:lvl>
  </w:abstractNum>
  <w:abstractNum w:abstractNumId="13">
    <w:nsid w:val="75C6C33A"/>
    <w:multiLevelType w:val="hybridMultilevel"/>
    <w:lvl w:ilvl="0">
      <w:lvlJc w:val="left"/>
      <w:lvlText w:val="%1"/>
      <w:numFmt w:val="decimal"/>
      <w:start w:val="78"/>
    </w:lvl>
  </w:abstractNum>
  <w:abstractNum w:abstractNumId="14">
    <w:nsid w:val="12E685FB"/>
    <w:multiLevelType w:val="hybridMultilevel"/>
    <w:lvl w:ilvl="0">
      <w:lvlJc w:val="left"/>
      <w:lvlText w:val="%1"/>
      <w:numFmt w:val="decimal"/>
      <w:start w:val="82"/>
    </w:lvl>
  </w:abstractNum>
  <w:abstractNum w:abstractNumId="15">
    <w:nsid w:val="70C6A529"/>
    <w:multiLevelType w:val="hybridMultilevel"/>
    <w:lvl w:ilvl="0">
      <w:lvlJc w:val="left"/>
      <w:lvlText w:val="%1"/>
      <w:numFmt w:val="decimal"/>
      <w:start w:val="88"/>
    </w:lvl>
  </w:abstractNum>
  <w:abstractNum w:abstractNumId="16">
    <w:nsid w:val="520EEDD1"/>
    <w:multiLevelType w:val="hybridMultilevel"/>
    <w:lvl w:ilvl="0">
      <w:lvlJc w:val="left"/>
      <w:lvlText w:val="%1"/>
      <w:numFmt w:val="decimal"/>
      <w:start w:val="88"/>
    </w:lvl>
  </w:abstractNum>
  <w:abstractNum w:abstractNumId="17">
    <w:nsid w:val="374A3FE6"/>
    <w:multiLevelType w:val="hybridMultilevel"/>
    <w:lvl w:ilvl="0">
      <w:lvlJc w:val="left"/>
      <w:lvlText w:val="%1"/>
      <w:numFmt w:val="decimal"/>
      <w:start w:val="88"/>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X"/>
      <w:numFmt w:val="bullet"/>
      <w:start w:val="1"/>
    </w:lvl>
  </w:abstractNum>
  <w:abstractNum w:abstractNumId="45">
    <w:nsid w:val="5DB70AE5"/>
    <w:multiLevelType w:val="hybridMultilevel"/>
    <w:lvl w:ilvl="0">
      <w:lvlJc w:val="left"/>
      <w:lvlText w:val="&amp;"/>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2"/>
    </w:lvl>
  </w:abstractNum>
  <w:abstractNum w:abstractNumId="53">
    <w:nsid w:val="42C296BD"/>
    <w:multiLevelType w:val="hybridMultilevel"/>
    <w:lvl w:ilvl="0">
      <w:lvlJc w:val="left"/>
      <w:lvlText w:val="%1."/>
      <w:numFmt w:val="decimal"/>
      <w:start w:val="1"/>
    </w:lvl>
    <w:lvl w:ilvl="1">
      <w:lvlJc w:val="left"/>
      <w:lvlText w:val="(%2)"/>
      <w:numFmt w:val="upperLetter"/>
      <w:start w:val="6"/>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decimal"/>
      <w:start w:val="2"/>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lvl w:ilvl="1">
      <w:lvlJc w:val="left"/>
      <w:lvlText w:val="•"/>
      <w:numFmt w:val="bullet"/>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3"/>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decimal"/>
      <w:start w:val="3"/>
    </w:lvl>
  </w:abstractNum>
  <w:abstractNum w:abstractNumId="66">
    <w:nsid w:val="8F2B15E"/>
    <w:multiLevelType w:val="hybridMultilevel"/>
    <w:lvl w:ilvl="0">
      <w:lvlJc w:val="left"/>
      <w:lvlText w:val="%1."/>
      <w:numFmt w:val="decimal"/>
      <w:start w:val="7"/>
    </w:lvl>
  </w:abstractNum>
  <w:abstractNum w:abstractNumId="67">
    <w:nsid w:val="1A32234B"/>
    <w:multiLevelType w:val="hybridMultilevel"/>
    <w:lvl w:ilvl="0">
      <w:lvlJc w:val="left"/>
      <w:lvlText w:val="%1."/>
      <w:numFmt w:val="decimal"/>
      <w:start w:val="8"/>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1)"/>
      <w:numFmt w:val="upperLetter"/>
      <w:start w:val="3"/>
    </w:lvl>
  </w:abstractNum>
  <w:abstractNum w:abstractNumId="79">
    <w:nsid w:val="6EB5BD4"/>
    <w:multiLevelType w:val="hybridMultilevel"/>
    <w:lvl w:ilvl="0">
      <w:lvlJc w:val="left"/>
      <w:lvlText w:val="(%1)"/>
      <w:numFmt w:val="upperLetter"/>
      <w:start w:val="4"/>
    </w:lvl>
  </w:abstractNum>
  <w:abstractNum w:abstractNumId="80">
    <w:nsid w:val="6F6DD9AC"/>
    <w:multiLevelType w:val="hybridMultilevel"/>
    <w:lvl w:ilvl="0">
      <w:lvlJc w:val="left"/>
      <w:lvlText w:val="(%1)"/>
      <w:numFmt w:val="upperLetter"/>
      <w:start w:val="7"/>
    </w:lvl>
  </w:abstractNum>
  <w:abstractNum w:abstractNumId="81">
    <w:nsid w:val="94211F2"/>
    <w:multiLevelType w:val="hybridMultilevel"/>
    <w:lvl w:ilvl="0">
      <w:lvlJc w:val="left"/>
      <w:lvlText w:val="(%1)"/>
      <w:numFmt w:val="decimal"/>
      <w:start w:val="10"/>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Roman"/>
      <w:start w:val="4"/>
    </w:lvl>
  </w:abstractNum>
  <w:abstractNum w:abstractNumId="85">
    <w:nsid w:val="1716703B"/>
    <w:multiLevelType w:val="hybridMultilevel"/>
    <w:lvl w:ilvl="0">
      <w:lvlJc w:val="left"/>
      <w:lvlText w:val="(%1)"/>
      <w:numFmt w:val="lowerLetter"/>
      <w:start w:val="4"/>
    </w:lvl>
  </w:abstractNum>
  <w:abstractNum w:abstractNumId="86">
    <w:nsid w:val="14E17E33"/>
    <w:multiLevelType w:val="hybridMultilevel"/>
    <w:lvl w:ilvl="0">
      <w:lvlJc w:val="left"/>
      <w:lvlText w:val="(%1)"/>
      <w:numFmt w:val="decimal"/>
      <w:start w:val="3"/>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upperLetter"/>
      <w:start w:val="5"/>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2026-04-16T15:15:50Z</dcterms:created>
  <dcterms:modified xsi:type="dcterms:W3CDTF">2026-04-16T15:15:50Z</dcterms:modified>
</cp:coreProperties>
</file>