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July 31, 2016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272,634,601</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67,166,506</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June 30, 2016 and December 31, 2015</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 Condensed Consolidated Statements of Earnings for the three-month and six-month periods ended June 30, 2016 and 2015</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Earnings for the three-month and six-month periods ended June 30, 2016</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2015</w:t>
              </w:r>
            </w:hyperlink>
          </w:p>
        </w:tc>
        <w:tc>
          <w:tcPr>
            <w:tcW w:w="8840" w:type="dxa"/>
            <w:vAlign w:val="bottom"/>
            <w:tcBorders>
              <w:top w:val="single" w:sz="8" w:color="0000EE"/>
            </w:tcBorders>
            <w:gridSpan w:val="14"/>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6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D. Condensed Consolidated Statement of Equity for the six-month period ended June 30, 2016</w:t>
              </w:r>
            </w:hyperlink>
          </w:p>
        </w:tc>
        <w:tc>
          <w:tcPr>
            <w:tcW w:w="2900" w:type="dxa"/>
            <w:vAlign w:val="bottom"/>
            <w:gridSpan w:val="5"/>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six-month periods ended June 30, 2016 and 2015</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F. Notes to Condensed Consolidated Financial Statements</w:t>
              </w:r>
            </w:hyperlink>
          </w:p>
        </w:tc>
        <w:tc>
          <w:tcPr>
            <w:tcW w:w="3840" w:type="dxa"/>
            <w:vAlign w:val="bottom"/>
            <w:tcBorders>
              <w:top w:val="single" w:sz="8" w:color="0000EE"/>
            </w:tcBorders>
            <w:gridSpan w:val="5"/>
          </w:tcPr>
          <w:p>
            <w:pPr>
              <w:spacing w:after="0"/>
              <w:rPr>
                <w:sz w:val="21"/>
                <w:szCs w:val="21"/>
                <w:color w:val="auto"/>
              </w:rPr>
            </w:pPr>
          </w:p>
        </w:tc>
        <w:tc>
          <w:tcPr>
            <w:tcW w:w="17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5"/>
              </w:rPr>
              <w:t>Fixed maturity securities available for sale, at fair value, at June 30, 2016 and December 31, 2015 includes pledged fixed maturity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$336 and $342, respectively, related to secured trust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4"/>
              </w:rPr>
              <w:t>Short-term investments, at June 30, 2016 and December 31, 2015 includes short-term investments of $258 and $266, respectively,</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related to 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4,853</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3"/>
              </w:rPr>
              <w:t>Cash and cash equivalents, at June 30, 2016 and December 31, 2015 includes $520 and $108, respectively, of pledged cash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$21 and $32, at June 30, 2016 and December 31, 2015,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4,760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14,438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1" w:lineRule="exact"/>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Reserve for title claim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9"/>
              </w:rPr>
              <w:t>FNF Group common stock, $0.0001 par value; authorized 487,000,000 shares as of June 30, 2016 and December 31, 2015;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0"/>
              </w:rPr>
              <w:t>outstanding of 272,703,257 and 275,781,160 as of June 30, 2016 and December 31, 2015, respectively, and issued of 283,681,067 and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282,394,970 as of June 30, 2016 and December 31, 2015,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7"/>
              </w:rPr>
              <w:t>FNFV Group common stock, $0.0001 par value; authorized 113,000,000 shares as of June 30, 2016 and December 31, 2015;</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outstanding of 67,241,506 and 72,217,882 as of June 30, 2016 and December 31, 2015, respectively, and issued of 80,581,608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80,581,466 as of June 30, 2016 and December 31, 2015, respectively</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4,826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24,317,912 shares as of June 30, 2016 and 14,977,394 shares as of December 31, 2015, at cost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5,809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6,669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84"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84"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860" w:type="dxa"/>
            <w:vAlign w:val="bottom"/>
          </w:tcPr>
          <w:p>
            <w:pPr>
              <w:ind w:left="4460"/>
              <w:spacing w:after="0"/>
              <w:rPr>
                <w:sz w:val="20"/>
                <w:szCs w:val="20"/>
                <w:color w:val="auto"/>
              </w:rPr>
            </w:pPr>
            <w:r>
              <w:rPr>
                <w:rFonts w:ascii="Arial" w:cs="Arial" w:eastAsia="Arial" w:hAnsi="Arial"/>
                <w:sz w:val="14"/>
                <w:szCs w:val="14"/>
                <w:color w:val="auto"/>
              </w:rPr>
              <w:t>(Dollars in millions, except per share data)</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860" w:type="dxa"/>
            <w:vAlign w:val="bottom"/>
          </w:tcPr>
          <w:p>
            <w:pPr>
              <w:spacing w:after="0"/>
              <w:rPr>
                <w:sz w:val="24"/>
                <w:szCs w:val="24"/>
                <w:color w:val="auto"/>
              </w:rPr>
            </w:pPr>
          </w:p>
        </w:tc>
        <w:tc>
          <w:tcPr>
            <w:tcW w:w="18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Three months ended June</w:t>
            </w: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1"/>
                <w:szCs w:val="21"/>
                <w:color w:val="auto"/>
              </w:rPr>
            </w:pPr>
          </w:p>
        </w:tc>
        <w:tc>
          <w:tcPr>
            <w:tcW w:w="150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540</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786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w w:val="95"/>
              </w:rPr>
              <w:t>Earnings from continuing operations before income taxes and equity in (losses)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equity in (losses)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09"/>
        </w:trPr>
        <w:tc>
          <w:tcPr>
            <w:tcW w:w="7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760"/>
              <w:spacing w:after="0"/>
              <w:rPr>
                <w:sz w:val="20"/>
                <w:szCs w:val="20"/>
                <w:color w:val="auto"/>
              </w:rPr>
            </w:pPr>
            <w:r>
              <w:rPr>
                <w:rFonts w:ascii="Arial" w:cs="Arial" w:eastAsia="Arial" w:hAnsi="Arial"/>
                <w:sz w:val="16"/>
                <w:szCs w:val="16"/>
                <w:color w:val="auto"/>
                <w:w w:val="94"/>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07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1" w:right="259" w:bottom="107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investments and other financial instruments, net (excluding investments in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Unrealized gain (loss) on investments in unconsolidated affiliates (2)</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w w:val="93"/>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09"/>
        </w:trPr>
        <w:tc>
          <w:tcPr>
            <w:tcW w:w="7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09"/>
        </w:trPr>
        <w:tc>
          <w:tcPr>
            <w:tcW w:w="7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$16 million and $(11) million for the three-month periods ended June 30, 2016 and 2015, respectively, and $29 million and $(6) million for the six-month periods ended June 30, 2016 and 2015,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$5 million for the three-month periods ended June 30, 2016 and 2015, respectively, and $9 million and $(3) million for the six-month periods ended June 30, 2016 and 2015,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$(3) million for the three-month periods ended June 30, 2016 and 2015, respectively, and $3 million and $(5) million for the six-month periods ended June 30, 2016 and 2015,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for the three and six-month periods ended June 30,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2015</w:t>
            </w:r>
          </w:p>
        </w:tc>
        <w:tc>
          <w:tcPr>
            <w:tcW w:w="460" w:type="dxa"/>
            <w:vAlign w:val="bottom"/>
          </w:tcPr>
          <w:p>
            <w:pPr>
              <w:jc w:val="right"/>
              <w:spacing w:after="0"/>
              <w:rPr>
                <w:sz w:val="20"/>
                <w:szCs w:val="20"/>
                <w:color w:val="auto"/>
              </w:rPr>
            </w:pPr>
            <w:r>
              <w:rPr>
                <w:rFonts w:ascii="Arial" w:cs="Arial" w:eastAsia="Arial" w:hAnsi="Arial"/>
                <w:sz w:val="13"/>
                <w:szCs w:val="13"/>
                <w:color w:val="auto"/>
              </w:rPr>
              <w:t>282</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4,795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(346)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June 30,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284</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(546)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6,669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0"/>
              </w:rPr>
              <w:t>For the six months ended June</w:t>
            </w:r>
          </w:p>
        </w:tc>
      </w:tr>
      <w:tr>
        <w:trPr>
          <w:trHeight w:val="192"/>
        </w:trPr>
        <w:tc>
          <w:tcPr>
            <w:tcW w:w="9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68"/>
              <w:spacing w:after="0"/>
              <w:rPr>
                <w:sz w:val="20"/>
                <w:szCs w:val="20"/>
                <w:color w:val="auto"/>
              </w:rPr>
            </w:pPr>
            <w:r>
              <w:rPr>
                <w:rFonts w:ascii="Arial" w:cs="Arial" w:eastAsia="Arial" w:hAnsi="Arial"/>
                <w:sz w:val="14"/>
                <w:szCs w:val="14"/>
                <w:b w:val="1"/>
                <w:bCs w:val="1"/>
                <w:color w:val="auto"/>
                <w:w w:val="92"/>
              </w:rPr>
              <w:t>30,</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96"/>
        </w:trPr>
        <w:tc>
          <w:tcPr>
            <w:tcW w:w="9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9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270</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204</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Gain on sales of investments and other assets, net</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Cascade Timberlands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pledged cash, pledged investments, and secured trust deposits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trade receivables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(decrease) in reserve for title claim losses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w:t>
            </w: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other assets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the sale of cost method and other investments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(purchases of) short-term investment securities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other investing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Acquisition of eLynx Holdings, Inc., net of cash acquired</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BPG Holdings, LLC, net of cash acquired</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 of Cascade Timberlands</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1,334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 in non-controlling interest</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Black Knight IPO</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and debt issuance costs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Distributions by Black Knight to member</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treasury stock</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r>
      <w:tr>
        <w:trPr>
          <w:trHeight w:val="25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50"/>
        </w:trPr>
        <w:tc>
          <w:tcPr>
            <w:tcW w:w="9360" w:type="dxa"/>
            <w:vAlign w:val="bottom"/>
          </w:tcPr>
          <w:p>
            <w:pPr>
              <w:ind w:left="40"/>
              <w:spacing w:after="0"/>
              <w:rPr>
                <w:sz w:val="20"/>
                <w:szCs w:val="20"/>
                <w:color w:val="auto"/>
              </w:rPr>
            </w:pPr>
            <w:r>
              <w:rPr>
                <w:rFonts w:ascii="Arial" w:cs="Arial" w:eastAsia="Arial" w:hAnsi="Arial"/>
                <w:sz w:val="14"/>
                <w:szCs w:val="14"/>
                <w:color w:val="auto"/>
              </w:rPr>
              <w:t>Net (decrease) increase in cash and cash equivalents, excluding pledged cash related to secured trust deposits</w:t>
            </w:r>
          </w:p>
        </w:tc>
        <w:tc>
          <w:tcPr>
            <w:tcW w:w="10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413</w:t>
            </w: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83"/>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w:t>
            </w:r>
          </w:p>
        </w:tc>
      </w:tr>
      <w:tr>
        <w:trPr>
          <w:trHeight w:val="224"/>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information: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97"/>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paid,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r>
      <w:tr>
        <w:trPr>
          <w:trHeight w:val="172"/>
        </w:trPr>
        <w:tc>
          <w:tcPr>
            <w:tcW w:w="936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bl>
    <w:p>
      <w:pPr>
        <w:sectPr>
          <w:pgSz w:w="11900" w:h="16900"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See Notes to Condensed Consolidated Financial Statements</w:t>
      </w:r>
    </w:p>
    <w:p>
      <w:pPr>
        <w:sectPr>
          <w:pgSz w:w="11900" w:h="16838" w:orient="portrait"/>
          <w:cols w:equalWidth="0" w:num="1">
            <w:col w:w="9019"/>
          </w:cols>
          <w:pgMar w:left="1440" w:top="508"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508"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2015.</w:t>
      </w:r>
    </w:p>
    <w:p>
      <w:pPr>
        <w:spacing w:after="0" w:line="46"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2015 Condensed Consolidated Financial Statements to conform to classifications used in 2016.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our FNFV group, we own majority and minority equity investment stakes in a number of entities, including American Blue Ribbon Holdings, LLC ("ABRH"), Ceridian HCM, Inc. ("Ceridian"), Digital Insurance, Inc. ("Digital Insurance") and Del Frisco's Restaurant Group ("Del Frisco's", NYSE: DFRG).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Group</w:t>
      </w:r>
    </w:p>
    <w:p>
      <w:pPr>
        <w:spacing w:after="0" w:line="171" w:lineRule="exact"/>
        <w:rPr>
          <w:sz w:val="20"/>
          <w:szCs w:val="20"/>
          <w:color w:val="auto"/>
        </w:rPr>
      </w:pPr>
    </w:p>
    <w:p>
      <w:pPr>
        <w:jc w:val="both"/>
        <w:ind w:left="660" w:hanging="409"/>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hold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 As of and for the six months ended June 30,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134"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title-related.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26, 2016, we announced that FNF Group signed a definitive agreement to acquire Commissions, Inc. ("CINC"), a leading provider of web-based real estate marketing and customer relationship management software for elite agents and teams across North America. CINC’s product offerings include software, marketing and services designed to enhance the productivity and sales results of elite Realtors® and agent teams through lead generation and proactive lead management.</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June 30, 2016, our investment in CF Corp has a fair value of $30 million and is included in Equity securities available for sale on the corresponding Condensed Consolidated Balance Sheet.</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Note B for further discussion.</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On April 29, 2016, pursuant to the terms of a certain “synthetic lease” agreement, dated as of June 29, 2004, as amended on June 27, 2011, and further described under </w:t>
      </w: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xml:space="preserve"> in Item 2 of Part I of this Quarterly Report, we exercised our option to purchase the land and various real property improvements associated with our corporate campus and headquarters in Jacksonville, Florida from SunTrust Bank for $71 million.</w:t>
      </w:r>
    </w:p>
    <w:p>
      <w:pPr>
        <w:spacing w:after="0" w:line="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3, 2016 our Board of Directors adopted a resolution increasing the size of the Company’s Board of Directors to eleven, and elected Janet Kerr to serve on our Board of Directors. Ms. Kerr serves in Class II of our Board of Directors, and her initial term expired at the annual meeting of our shareholders held on June 15, 2016, at which time shareholders elected her to the Board of Directors. At this time, Ms. Kerr has not been appointed to any committee of our Board.</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hold to the total weighted average diluted shares of Black Knight outstanding and multiply such ratio by Black Knight's net earnings. The result is used as a substitution for Black Knight's net earnings attributable to FNF included in our consolidated net earnings in the numerator for our diluted earnings per share calculation. As the result had no effect for the three or six-months ended June 30, 2016, there were no adjustments made to net earnings attributable to FNF in our calculation of diluted earnings per share. There are no adjustments to earnings attributable to FNF in our calculation of basic earnings per share. There are no adjustments made to net earnings attributable to FNFV in our calculation of basic or diluted earnings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2 million antidilutive options outstanding during both the three and six-months ended June 30, 2016. There were no antidilutive options outstanding during the three or six-month periods ended June 30,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aforementioned updates and to add practical expedients for contracts at various stages of completion.We are evaluating the effect this new guidance will have on our consolidated financial statements and related disclosures. We have not yet selected a transition method nor have we determined the effect of the standard on our ongoing financial reporting. Upon issuance of ASU 2015-14, the effective date of ASU 2014-09 was deferred to annual and interim periods beginning on or after December 15, 2017.</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2015, the FASB issued ASU No. 2015-02 </w:t>
      </w:r>
      <w:r>
        <w:rPr>
          <w:rFonts w:ascii="Arial" w:cs="Arial" w:eastAsia="Arial" w:hAnsi="Arial"/>
          <w:sz w:val="16"/>
          <w:szCs w:val="16"/>
          <w:i w:val="1"/>
          <w:iCs w:val="1"/>
          <w:color w:val="auto"/>
        </w:rPr>
        <w:t>Consolidation (Topic 810): Amendments to the Consolidation Analysis</w:t>
      </w:r>
      <w:r>
        <w:rPr>
          <w:rFonts w:ascii="Arial" w:cs="Arial" w:eastAsia="Arial" w:hAnsi="Arial"/>
          <w:sz w:val="16"/>
          <w:szCs w:val="16"/>
          <w:color w:val="auto"/>
        </w:rPr>
        <w:t>.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as amended,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for prior periods. This update is effective for annual and interim periods beginning on or after December 15, 2015. We adopted the update as of March 31, 2016. The update did not have a material effect on our financial position or results of operations.</w:t>
      </w:r>
    </w:p>
    <w:p>
      <w:pPr>
        <w:spacing w:after="0" w:line="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2015, the FASB issued ASU No. 2015-09 </w:t>
      </w:r>
      <w:r>
        <w:rPr>
          <w:rFonts w:ascii="Arial" w:cs="Arial" w:eastAsia="Arial" w:hAnsi="Arial"/>
          <w:sz w:val="17"/>
          <w:szCs w:val="17"/>
          <w:i w:val="1"/>
          <w:iCs w:val="1"/>
          <w:color w:val="auto"/>
        </w:rPr>
        <w:t>Financial Services - Insurance (Topic 944): Disclosures about Short-Duration Contracts</w:t>
      </w:r>
      <w:r>
        <w:rPr>
          <w:rFonts w:ascii="Arial" w:cs="Arial" w:eastAsia="Arial" w:hAnsi="Arial"/>
          <w:sz w:val="17"/>
          <w:szCs w:val="17"/>
          <w:color w:val="auto"/>
        </w:rPr>
        <w:t>.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periods beginning after December 15, 2015, and interim periods within annual periods beginning after December 15, 2016, with early application permitted. We do not expect this update to have a significant effect on our ongoing financial reporting as our primary insurance products are not short-duration contracts. However, we are still evaluating the totality of the effects the update will have on our disclosures.</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Adjustments</w:t>
      </w:r>
      <w:r>
        <w:rPr>
          <w:rFonts w:ascii="Arial" w:cs="Arial" w:eastAsia="Arial" w:hAnsi="Arial"/>
          <w:sz w:val="17"/>
          <w:szCs w:val="17"/>
          <w:color w:val="auto"/>
        </w:rPr>
        <w:t>. The amendments in this ASU require that an acquirer recognize adjustments to provisional amounts that are identified during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reporting period in which the adjustment amounts are determined. The acquirer will be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We adopted the update as of March 31, 2016. The update did not have a material effect on our financial position or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w:t>
      </w:r>
    </w:p>
    <w:p>
      <w:pPr>
        <w:spacing w:after="0" w:line="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currently evaluating the effect this new guidance will have on our consolidated financial statements and related disclosures and have not yet concluded on its effects.</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No. 2016-04 </w:t>
      </w:r>
      <w:r>
        <w:rPr>
          <w:rFonts w:ascii="Arial" w:cs="Arial" w:eastAsia="Arial" w:hAnsi="Arial"/>
          <w:sz w:val="18"/>
          <w:szCs w:val="18"/>
          <w:i w:val="1"/>
          <w:iCs w:val="1"/>
          <w:color w:val="auto"/>
        </w:rPr>
        <w:t>Liabilities - Extinguishment of Liabilities (Subtopic 405-20): Recognition of Breakage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Prepaid Stored-Value Products</w:t>
      </w:r>
      <w:r>
        <w:rPr>
          <w:rFonts w:ascii="Arial" w:cs="Arial" w:eastAsia="Arial" w:hAnsi="Arial"/>
          <w:sz w:val="18"/>
          <w:szCs w:val="18"/>
          <w:color w:val="auto"/>
        </w:rPr>
        <w:t>. The primary amendment in this ASU will provide guidance for derecognition of prepaid stored-value product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certain criteria and was designed to alleviate diversity in practice under current GAAP. This update is effective for annual and interim periods beginning after December 15, 2017, including interim periods within those fiscal years. We do not expect this update to have a significant effect on our ongoing financial reporting as we do not have a significant liability for prepaid stored-value products. However, we are still evaluating the totality of the effects the update will have on our consolidated financial statements and related disclosures.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2016, the FASB issued ASU No.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Method of Accounting</w:t>
      </w:r>
      <w:r>
        <w:rPr>
          <w:rFonts w:ascii="Arial" w:cs="Arial" w:eastAsia="Arial" w:hAnsi="Arial"/>
          <w:sz w:val="17"/>
          <w:szCs w:val="17"/>
          <w:color w:val="auto"/>
        </w:rPr>
        <w:t>. The primary amendment in this ASU is to eliminate the requirement to retroactively adopt the equity method of accounting.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is effective for annual and interim periods beginning after December 15, 2016, including interim periods within those fiscal years. We adopted the update as of March 31, 2016. The update did not have a material effect on our financial position or results of operations.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standard makes several modifications to ASC Topic 718 related to the accounting for forfeitures, employer tax withholding on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We adopted this ASU as of March 31, 2016. For the three and six-month periods ended June 30, 2016 we have recorded $7 million and $11 million, respectively, in income tax benefit related to the tax effects associated with the exercise of stock options within Income tax expense on the Condensed Consolidated Statement of Earnings. There was no impact to opening equity for the six-month period ended June 30, 2016. There was no impact to net earnings for the three or six-month periods ended June 30, 2015. The Condensed Consolidated Statement of Cash Flows for the six-month period ended June 30, 2015 has been restated to conform with the current period, which resulted in an increase to both cash flows provided by operations and cash flows used in financing activities of $11 million for the period. We did not change our accounting policy for estimating expected forfeitures of stock compensation.</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16, 2016, Black Knight completed its acquisition of eLynx, a leading lending document and data delivery platform. eLynx helps clients in the financial services and real estate industries electronically capture and manage documents and associated data throughout the document lifecycle. Black Knight purchased eLynx to augment its origination technologies. This acquisition positions Black Knight to electronically support the full mortgage origination process. The acquisition does not meet the definition of "significant" pursuant to Article 3 of Regulation S-X (§210.3-05). Further, the results of operations are not material to our financial statements. Further details on the acquisition are discussed below.</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Black Knight paid total consideration, net of cash received, of $115 million for 100% of the equity interests of eLynx.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Borrowings under revolving line of credit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fair value of eLynx’s acquired Computer software and Other intangible assets was determined using a preliminary third-party valuation based on significant estimates and assumptions, including Level 3 inputs, which are judgmental in nature. These estimates and assumptions include the projected timing and amount of future cash flows, discount rates reflecting the risk inherent in the future cash flows and future market prices. The fair value of the remaining assets acquired and liabilities assumed approximate their carrying values, and therefore, no fair value adjustments are reflected in these amounts.</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64"/>
        </w:trPr>
        <w:tc>
          <w:tcPr>
            <w:tcW w:w="98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98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4"/>
        </w:trPr>
        <w:tc>
          <w:tcPr>
            <w:tcW w:w="98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Property and equipment, Computer software and Other acquired in the eLynx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36</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7"/>
        </w:trPr>
        <w:tc>
          <w:tcPr>
            <w:tcW w:w="69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40</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June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2"/>
              </w:rPr>
              <w:t>June 30, 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3,283</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50"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and December 31, 2015 we held no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2016 and December 31, 2015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2016</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429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2016</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76"/>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Maturity</w:t>
            </w:r>
          </w:p>
        </w:tc>
        <w:tc>
          <w:tcPr>
            <w:tcW w:w="1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320" w:type="dxa"/>
            <w:vAlign w:val="bottom"/>
          </w:tcPr>
          <w:p>
            <w:pPr>
              <w:ind w:left="280"/>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60" w:type="dxa"/>
            <w:vAlign w:val="bottom"/>
            <w:vMerge w:val="restart"/>
          </w:tcPr>
          <w:p>
            <w:pPr>
              <w:jc w:val="right"/>
              <w:ind w:right="3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2016 and December 31, 2015,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recorded $3 million in impairment charges relating to investments during the six-month period ended June 30, 2016. The impairment charges related to an investment in an unconsolidated affiliate in which we determined the ability to recover our investment was unlikely. We recorded no impairment charges relating to investments during the three-month period ended June 30, 2016 or the three or six-month periods ended June 30, 2015. As of June 30, 2016 we held no fixed maturity securities for which an other-than-temporary impairment had been previously recognized. As of December 31, 2015, we held $2 million in fixed maturity and equity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six-month periods ended June 30, 2016 and 2015,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600" w:type="dxa"/>
            <w:vAlign w:val="bottom"/>
            <w:gridSpan w:val="2"/>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191</w:t>
            </w:r>
          </w:p>
        </w:tc>
        <w:tc>
          <w:tcPr>
            <w:tcW w:w="64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8"/>
              </w:rPr>
              <w:t>—</w:t>
            </w:r>
          </w:p>
        </w:tc>
        <w:tc>
          <w:tcPr>
            <w:tcW w:w="9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15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236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3"/>
              </w:rPr>
              <w:t>Three months ended June 30, 2015</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Six months ended June 30, 2015</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Realized</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(Losses)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8"/>
              </w:rPr>
              <w:t>Sale/Maturity</w:t>
            </w:r>
          </w:p>
        </w:tc>
        <w:tc>
          <w:tcPr>
            <w:tcW w:w="100" w:type="dxa"/>
            <w:vAlign w:val="bottom"/>
          </w:tcPr>
          <w:p>
            <w:pPr>
              <w:spacing w:after="0"/>
              <w:rPr>
                <w:sz w:val="16"/>
                <w:szCs w:val="16"/>
                <w:color w:val="auto"/>
              </w:rPr>
            </w:pPr>
          </w:p>
        </w:tc>
        <w:tc>
          <w:tcPr>
            <w:tcW w:w="5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extinguishment costs</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June 30, 2016 and December 31, 2015,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163</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our equity investment in Ceridian, we own certain of their outstanding bonds. Our investment in Ceridian bonds is included in Fixed maturity securities available for sale on the Condensed Consolidated Balance Sheets and had a fair value of $29 million and $23 million as of June 30, 2016 and December 31, 2015, respectively. We did not purchase or dispose of any Ceridian bonds in the six-month period ended June 30, 2016.</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three-month periods ended June 30, 2016 and 2015, we recorded $(4) million and $2 million, in equity in (losses) earnings of Ceridian, respectively, and $3 million and $2 million in equity in earnings of other unconsolidated affiliates, respectively. During the six-month periods ended June 30, 2016 and 2015, we recorded $(6) million and $1 million, in equity in (losses) earnings of Ceridian, respectively, and $7 million and $2 million in equity in earnings of other unconsolidated affiliates,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for Ceridian for the relevant dates and time periods included in Investments in unconsolidated affiliates and Equity in earnings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3"/>
          </w:tcPr>
          <w:p>
            <w:pPr>
              <w:ind w:left="3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4,333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7,186</w:t>
            </w:r>
          </w:p>
        </w:tc>
      </w:tr>
      <w:tr>
        <w:trPr>
          <w:trHeight w:val="20"/>
        </w:trPr>
        <w:tc>
          <w:tcPr>
            <w:tcW w:w="3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6,044</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7,186</w:t>
            </w:r>
          </w:p>
        </w:tc>
      </w:tr>
      <w:tr>
        <w:trPr>
          <w:trHeight w:val="20"/>
        </w:trPr>
        <w:tc>
          <w:tcPr>
            <w:tcW w:w="3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275"/>
        </w:trPr>
        <w:tc>
          <w:tcPr>
            <w:tcW w:w="390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Three months ended June</w:t>
            </w:r>
          </w:p>
        </w:tc>
        <w:tc>
          <w:tcPr>
            <w:tcW w:w="196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Three months ended June</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200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Six months ended June 30,</w:t>
            </w:r>
          </w:p>
        </w:tc>
      </w:tr>
      <w:tr>
        <w:trPr>
          <w:trHeight w:val="192"/>
        </w:trPr>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30, 2016</w:t>
            </w: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30, 2015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345</w:t>
            </w:r>
          </w:p>
        </w:tc>
        <w:tc>
          <w:tcPr>
            <w:tcW w:w="6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675"/>
        </w:trPr>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right"/>
              <w:ind w:right="316"/>
              <w:spacing w:after="0"/>
              <w:rPr>
                <w:sz w:val="20"/>
                <w:szCs w:val="20"/>
                <w:color w:val="auto"/>
              </w:rPr>
            </w:pPr>
            <w:r>
              <w:rPr>
                <w:rFonts w:ascii="Arial" w:cs="Arial" w:eastAsia="Arial" w:hAnsi="Arial"/>
                <w:sz w:val="18"/>
                <w:szCs w:val="18"/>
                <w:color w:val="auto"/>
                <w:w w:val="89"/>
              </w:rPr>
              <w:t>16</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Revolving Credit Facility, unsecured, unused portion of $800 at June 30, 2016, due July 2018 with interest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+ 1.45%</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Unsecured Black Knight InfoServ notes, including premium, interest payable semi-annually at 5.75%, due April</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Black Knight Term A Facility, due May 27, 2020 with interest currently payable monthly at LIBOR + 2.00%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at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Black Knight Term B Facility, due May 27, 2022 with interest currently payable quarterly at LIBOR + 3.00%</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(3.75% at June 30, 2016)</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 Knight Revolving Credit Facility, unused portion of $320, due May 27, 2020 with interest currently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+ 2.00% (2.48% at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w w:val="97"/>
              </w:rPr>
              <w:t>ABRH Term Loan, interest payable monthly at LIBOR + 2.50% (2.96% at June 30, 2016), due August 2019</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Digital Insurance Revolving Credit Facility, unused portion of $51, due March 31, 2020 with interest payable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at LIBOR + 2.50% - 3.50% (3.70% at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9"/>
              </w:rPr>
              <w:t>ABRH Revolving Credit Facility, unused portion of $85, due August 2019 with interest payable monthly at</w:t>
            </w: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LIBOR + 2.50%</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2,793</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June 30, 2016, the estimated fair value of our long-term debt was approximately $3,196 million, which was $385 million higher than its carrying value, excluding $26 million of net unamortized debt issuance costs and premium/discount. The carrying values of our ABRH term loan, ABRH revolving credit facility and Digital Insurance revolving credit facility approximate the fair values at June 30, 2016 as they are variable rate instruments with short reset periods which reflect current market rates. The fair value of our unsecured notes payable was $1,775 million as of June 30, 2016. The fair values of our unsecured notes payable are based on established market prices for the securities on June 30, 2016 and are considered Level 2 financial liabilities. The carrying value of the Black Knight Term A, Term B, and revolving facilities approximate fair value at June 30, 2016. The revolving credit facilities are considered Level 2 financial liabilities.</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material terms of the BKIS Credit Agreement are set forth in our Annual Report for the year ended December 31, 2015 and have not been amended since the filing of such Annual Report. As of June 30, 2016 BKIS had aggregate outstanding debt of $1,170 million under the BKIS Credit Agreement, net of debt issuance costs. We hold $50 million of the outstanding Term B notes which eliminate in consolidation.</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material terms of the Digital Insurance Facility are set forth in our Annual Report for the year ended December 31, 2015. On March 10, 2016, the Digital Insurance Facility was amended to increase the borrowing capacity from $120 million to $160 million and to add Fifth Third Bank as an additional lender. As of June 30, 2016, Digital Insurance had outstanding debt of $108 million under the Digital Insurance Facility.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revolving loan of $100 million (the “ABRH Revolver") with a maturity date of August 19, 2019.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The material terms of the ABRH Credit Facility are set forth in our Annual Report on Form 10-K for the year ended December 31, 2015 and have not been amended since the filing of such Annual Report, except to clarify that a commitment fee is also due thereunder, at a rate per annum equal to between 32.5 and 40 basis points on the average daily unused portion of the commitments under the ABRH Revolver. As of June 30, 2016, ABRH had $95 million outstanding for the ABRH Term Loan, had no outstanding borrowings under the ABRH Revolver, had $15 million of outstanding letters of credit and had $85 million of remaining borrowing capacity under the ABRH Credit Facility.</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2, 2014, as a result of the LPS acquisition, FNF acquired $600 million aggregate principal amount of 5.75% Senior Notes due in 2023, initially issued by BKIS on October 12, 2012 (the "Black Knight Senior Notes"). The material terms of the Black Knight Senior Notes are set forth in our Annual Report for the year ended December 31, 2015. On January 16, 2014, we issued an offer to purchase the Black Knight Senior Notes pursuant to the change of control provisions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 aggregate principal of its Black Knight Senior Notes at a price of 105.75% under the note feature allowing redemption using proceeds from an equity offering.</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The material terms of the Revolving Credit Facility are set forth in our Annual Report for the year ended December 31, 2015. As of June 30, 2016, there was no outstanding balance under the Revolving Credit Facility and $4 million in unamortized debt issuance costs.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2015.</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2015. Beginning October 1, 2013, these notes are convertible under the 130% Sale Price Condition described in our Annual Report.</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 The material terms of the 6.60% notes are set forth in our Annual Report for the year ended December 31, 2015.</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2016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2016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class action and purported class action lawsuits, which make allegations related to aspects of our operations. We believe that no actions, other than the matters discussed below, depart from customary litigation incidental to our business.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$69 million as of June 30, 2016 and $75 million as of December 31, 2015.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Following a review by the Board of Governors of the Federal Reserve System, the Federal Deposit Insurance Corporation, the Office of the Comptroller of the Currency and the Office of Thrift Supervision (collectively, the “banking agencies”), Lender Processing Services, Inc. (“LPS”) entered into a consent order (the “Order”) dated April 13, 2011 with the banking agencies. The banking agencies’ review of LPS’s services included the services provided by LPS’s default operations to mortgage servicers regulated by the banking agencies, including document execution services. The Order does not make any findings of fact or conclusions of wrongdoing, nor did LPS admit any fault or liability. Under the Order, LPS agreed to further study the issues identified in the review and to enhance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will continue to take longer to complete than the Company originally anticipated. In addition, the LPS default operations that were subject to the Order were contributed to ServiceLink in connection with FNF's acquisition of LPS in January 2014. To the extent such review, once completed, requires additional remediation of mortgage documents or identifies any financial injury from the document execution services LPS provided, ServiceLink (as a result of the contribution of the underlying LPS business) has agreed to implement an appropriate plan to address the issues. The Order contains various deadlines to accomplish the undertakings set forth therein, including the preparation of a remediation plan following the completion of the document execution review. ServiceLink will continue to make periodic reports to the banking agencies on the progress with respect to each of the undertakings in the Order. Although the Order does not include any fine or other monetary penalty, the banking agencies reserved their right to impose civil monetary penalties at any time. Based on discussions with the banking agencies and actions taken by the banking agencies with respect to other companies, the Company believes the likelihood that the banking agencies will assess a civil monetary penalty is both probable and reasonably estimable, and ServiceLink Holdings, LLC has included an estimate of such loss in its accrual for loss contingencies. The banking agencies notified ServiceLink in December 2015 that they wish to discuss terminating the Order through a possible agreed civil monetary penalty amount in lieu of requiring any additional document execution review by the independent third party. At this time, the parties have not agreed on a possible civil monetary penalty amount. The Company does not believe an adjustment to the amount already accrued in loss contingencies is warranted based upon discussions thus far. The parties have entered into a tolling agreement to allow the parties to engage in these discussions. This matter is subject to a Cross-Indemnity Agreement dated December 22, 2014, between Black Knight Financial Services, LLC and ServiceLink Holdings, LLC.</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16, 2013, LPS received notice that Merion Capital, L.P. and Merion Capital II, L.P. (together "Merion Capital") were asserting their appraisal right relative to their ownership of 5,682,276 shares of LPS stock (the “Appraisal Shares”) in connection with the acquisition of LPS by FNF on January 2, 2014. On February 6, 2014, Merion Capital filed an appraisal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proceeding, captioned Merion Capital LP and Merion Capital II, LP v. Lender Processing Services, Inc., C.A. No. 9320-VCL, in the Delaware Court of Chancery seeking a judicial determination of the "fair" value of Merion Capital's 5,682,276 shares of LPS common stock under Delaware law, together with statutory interest. We filed an answer to this suit on March 3, 2014. Merion’s expert has opined that the consideration should have been $50.46 per share, which was approximately 36 percent higher than the final consideration of $37.14, and therefore, they are owed an additional $75 million plus statutory interest, which is approximately $12 million as of June 30, 2016. The Company’s position is that the merger consideration paid was fair value, and no additional consideration is owed. A bench trial was held on May 2-5, 2016. Post-trial arguments will be held on September 21, 2016. We will continue to vigorously defend against the appraisal proceedings, and we do not believe the result will have a material adverse effect on our financial condition.</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20, 2016, our Board of Directors declared cash dividends of $0.21 per share, payable on September 30, 2016, to FNF Group common shareholders of record as of September 16,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2015, we determined that Pacific Union International, Inc. ("Pacific Union"), a luxury real estate broker based in California in which we acquired a controlling stake in December 2014, better aligned with the businesses within our FNF Group Corporate and Other segment. Accordingly, Total assets of $38 million and Goodwill of $31 million as of June 30, 2015; Other revenues of $57 million, Depreciation and amortization of $1 million and Earnings from continuing operations of $2 million for the three months ended June 30, 2015; and Other revenues of $78 million, Depreciation and amortization of $2 million, and Earnings from continuing operations of less than $1 million for the six months ended June 30, 2015, which were previously included in the Title segment are now included in the FNF Group Corporate and Other segment in the below tables.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867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907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1,783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2,098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2,430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1,822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2,134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2,482</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8,963</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13,032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1,406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14,438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4,863</w:t>
            </w:r>
          </w:p>
        </w:tc>
        <w:tc>
          <w:tcPr>
            <w:tcW w:w="0" w:type="dxa"/>
            <w:vAlign w:val="bottom"/>
          </w:tcPr>
          <w:p>
            <w:pPr>
              <w:spacing w:after="0"/>
              <w:rPr>
                <w:sz w:val="1"/>
                <w:szCs w:val="1"/>
                <w:color w:val="auto"/>
              </w:rPr>
            </w:pPr>
          </w:p>
        </w:tc>
      </w:tr>
      <w:tr>
        <w:trPr>
          <w:trHeight w:val="324"/>
        </w:trPr>
        <w:tc>
          <w:tcPr>
            <w:tcW w:w="4240" w:type="dxa"/>
            <w:vAlign w:val="bottom"/>
          </w:tcPr>
          <w:p>
            <w:pPr>
              <w:ind w:left="340"/>
              <w:spacing w:after="0"/>
              <w:rPr>
                <w:sz w:val="20"/>
                <w:szCs w:val="20"/>
                <w:color w:val="auto"/>
              </w:rPr>
            </w:pPr>
            <w:r>
              <w:rPr>
                <w:rFonts w:ascii="Arial" w:cs="Arial" w:eastAsia="Arial" w:hAnsi="Arial"/>
                <w:sz w:val="18"/>
                <w:szCs w:val="18"/>
                <w:color w:val="auto"/>
                <w:w w:val="92"/>
              </w:rPr>
              <w:t>As of and for the three months ended June 30, 2015: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w w:val="9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w w:val="9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1,144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857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371</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1,971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1,711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1,995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2,395</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Earnings (loss) from continuing operations, before equity in earnings of</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8,697</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12,659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1,073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1,738</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14,397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4,740</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12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2,183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1,608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3,201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3,791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663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4,454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3,269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3,853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582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677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4,530</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289</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8,963</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13,032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1,406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14,438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4,863</w:t>
            </w:r>
          </w:p>
        </w:tc>
        <w:tc>
          <w:tcPr>
            <w:tcW w:w="0" w:type="dxa"/>
            <w:vAlign w:val="bottom"/>
          </w:tcPr>
          <w:p>
            <w:pPr>
              <w:spacing w:after="0"/>
              <w:rPr>
                <w:sz w:val="1"/>
                <w:szCs w:val="1"/>
                <w:color w:val="auto"/>
              </w:rPr>
            </w:pPr>
          </w:p>
        </w:tc>
      </w:tr>
      <w:tr>
        <w:trPr>
          <w:trHeight w:val="324"/>
        </w:trPr>
        <w:tc>
          <w:tcPr>
            <w:tcW w:w="4240" w:type="dxa"/>
            <w:vAlign w:val="bottom"/>
          </w:tcPr>
          <w:p>
            <w:pPr>
              <w:ind w:left="340"/>
              <w:spacing w:after="0"/>
              <w:rPr>
                <w:sz w:val="20"/>
                <w:szCs w:val="20"/>
                <w:color w:val="auto"/>
              </w:rPr>
            </w:pPr>
            <w:r>
              <w:rPr>
                <w:rFonts w:ascii="Arial" w:cs="Arial" w:eastAsia="Arial" w:hAnsi="Arial"/>
                <w:sz w:val="18"/>
                <w:szCs w:val="18"/>
                <w:color w:val="auto"/>
                <w:w w:val="96"/>
              </w:rPr>
              <w:t>As of and for the six months ended June 30, 2015: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w w:val="9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w w:val="9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1,522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1,665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735</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2,987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3,524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878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4,402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3,049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3,578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4,456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Earnings (loss) from continuing operations, before equity in earnings of</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8,697</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12,659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1,073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1,738</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14,397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4,740</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12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Group</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insurance. This segment also includes the transaction services business acquired from LPS, now combined with our ServiceLink business. Transaction services include other title-related services used in the production and management of mortgage loans, including mortgage loans that experience default.</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segment consists of the operations of ABRH, in which we hold a 55% ownership interest. ABRH and its affiliates are the owners and operators of the O'Charley's, Ninety Nine Restaurants, Village Inn, Bakers Square, and Legendary Baking restaurant and food service concepts. As of and for the six months ended June 30,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title-related.</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6"/>
                <w:szCs w:val="16"/>
                <w:color w:val="auto"/>
              </w:rPr>
            </w:pPr>
          </w:p>
        </w:tc>
      </w:tr>
      <w:tr>
        <w:trPr>
          <w:trHeight w:val="276"/>
        </w:trPr>
        <w:tc>
          <w:tcPr>
            <w:tcW w:w="900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3"/>
                <w:szCs w:val="23"/>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31</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Additions to IT hardware financed through a lease</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89"/>
        </w:trPr>
        <w:tc>
          <w:tcPr>
            <w:tcW w:w="9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treasury stock purchases payable in period</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Borrowings to finance IT hardware additions</w:t>
            </w: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02"/>
        </w:trPr>
        <w:tc>
          <w:tcPr>
            <w:tcW w:w="9000" w:type="dxa"/>
            <w:vAlign w:val="bottom"/>
          </w:tcPr>
          <w:p>
            <w:pPr>
              <w:ind w:left="5600"/>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Annual Report on Form 10-K (our "Annual Report") for the year ended December 31, 2015 and other filings with the SEC.</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December 2008 through December 2015, the Federal Reserve held the federal funds rate at historically low levels of 0.0%-0.50%. As a result of the low federal funds rate, mortgage interest rates were at historically low levels over the same period. Through 2015 and the six-months ended June 30, 2016, mortgage interest rates fluctuated between 3.25% and 4.25% and have dropped to the lower end of such range recently due to increased global economic uncertainty.</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14, 2016 the Mortgage Bankers Association ("MBA") estimated the size of the U.S. mortgage originations market as shown in the following table for 2015 - 2018 in their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extended period of low interest rates described above resulted in a greater proportion of refinance transactions to overall mortgage originations compared to historical norms. In 2015, the ratio of refinances to total originations increased to nearly 50% as the anticipation of increased mortgage rates resulting from projected increases in the target federal funds rate weighed on the market. The MBA predicts the ratio will return to historical norms and the ratio of refinances will remain high through 2016 and subsequently decrease through 2018. The MBA also predicts mortgage originations in 2017 through 2018 will decrease compared to the 2015 and 2016 periods as refinance transactions decrease. We cannot be certain how, if at all, the positive effects of a change in mix of purchase to refinance transactions and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Because commercial real estate transactions tend to be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Through the six months ended June 30, 2016, we experienced a slight decrease in the fee per file of commercial transactions as compared to the corresponding period in 2015. The volume of our commercial real estate transactions has remained strong through the current period, indicating strong commercial markets.</w:t>
      </w:r>
    </w:p>
    <w:p>
      <w:pPr>
        <w:spacing w:after="0" w:line="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Group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November 20, 2013, the CFPB issued additional rules regarding mortgage forms and other mortgage related disclosures with the intent to provide "easier-to-use" mortgage disclosure forms for consumers. The additional disclosure rules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Integrated Disclosure" or "TRID”) to consolidate existing loan disclosures under TILA and RESPA for closed-end credit transactions secured by real property. TRID requires (i) timely delivery of a loan estimate upon receipt of a consumer’s application and (ii) timely delivery of a closing disclosure prior to consummation. TRID also imposes certain restrictions, including the prohibition of imposing fees prior to provision of an estimate and the prohibition of providing estimates prior to a consumer’s submission of verifying documents. We do not believe the changes will have a significant effect on long-term mortgage volumes and do not believe this had a material impact on our results from operations for the six months ended June 30, 2016.</w:t>
      </w:r>
    </w:p>
    <w:p>
      <w:pPr>
        <w:spacing w:after="0" w:line="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Readiness for and compliance with TRID required extensive planning; changes to systems, forms and processes; and heightened coordination among market participants. We believe that FNF, its agents or other market participants have generally been successful in their implementation efforts. It is our experience that mortgage lenders have become increasingly focused on the risk of non-compliance with these evolving regulations and the technologies and solutions that help them to comply with the increased regulatory oversight and burdens. Black Knight has developed solutions that target this need, which has resulted in additional revenue for Black Knight.</w:t>
      </w:r>
    </w:p>
    <w:p>
      <w:pPr>
        <w:spacing w:after="0" w:line="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including title insurers.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into 2016, we saw seasonality trends return closer to historical patterns. During 2015, we experienced a moderate increase in existing home sales and a decline in total housing inventory. The trend has continued through the six months ended June 30, 2016.</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impacted differently by the level of mortgage originations, including refinancing transactions. Black Knight's mortgage servicing platform is less affected by varying levels of mortgage originations because it earns revenues based on the total number of mortgage loans it processes, which tend to stay more constant than the market for originations. Black Knight's origination technology and some of its data businesses are directly affected by the volume of real estate transactions and mortgage originations, but many of its client contracts for origination technology contain minimum charges.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are also impacted by general economic conditions. For example, in the event that a difficult economy or other factors lead to a decline in levels of home ownership and a reduction in the number of mortgage loans outstanding and Black Knight is not able to counter the impact of those events with increased market share or higher fees, it could have a material adverse effect on our mortgage processing revenues. In contrast, we believe that a weaker economy tends to increase the volume of consumer mortgage defaults, which may increase the revenues in Black Knight's specialty servicing technology business that is used to service residential mortgage loans in default. Moreover, interest rates tend to decline in a weaker economy driving higher than normal refinance transactions that provide potential volume increases to Black Knight's origination technology offerings, most specifically the RealEC Exchange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964</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1,665</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61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4,456</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1,313</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4,051</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(losses)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earnings of unconsolidated affiliates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Total revenues increased by $87 million in the three months ended June 30, 2016, compared to the corresponding period in 2015. The increase consisted of a $139 million increase at FNF Group and a $52 million decrease at FNFV. Total revenues increased by $74 million in the six months ended June 30, 2016, compared to the corresponding period in 2015. The increase consisted of a $275 million increase at FNF Group and a $201 million decrease at FNFV.</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earnings from continuing operations increased by $36 million in the three months ended June 30, 2016, compared to the corresponding period in 2015. The increase consisted of a $37 million increase at FNF Group and $1 million decrease at FNFV. Net earnings from continuing operations increased by $20 million in the six months ended June 30, 2016, compared to the corresponding period in 2015. The increase consisted of a $35 million increase at FNF Group and $15 million decrease at FNFV.</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Group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necessary actions to maintain expense levels consistent with revenue streams. However, a short-term lag exists in reducing controllable fixed costs and certain fixed costs are incurred regardless of revenue levels.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Group segments and FNFV segments is discussed in further detail at the segment level below.</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Income tax expense was $101 million and $88 million in the three-month periods ended June 30, 2016 and 2015, respectively, and $150 million and $138 million in the six-month periods ended June 30, 2016 and 2015, respectively. Income tax expense as a percentage of earnings before income taxes was 33% and 35% for the three-month periods ended June 30, 2016 and 2015, respectively, and 34% for both six-month periods ended June 30, 2016 and 2015. Income taxes as a percentage of earnings before income taxes fluctuates depending on our estimate of ultimate income tax liability and changes in the characteristics of net earnings, such as the weighting of operating income versus investment income.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 (losses) earnings of unconsolidated affiliates was $(1) million and $4 million for the three-month periods ended June 30, 2016 and 2015, respectively, and $1 million and $3 million for the six-month periods ended June 30, 2016 and 2015, respectively. The equity in (losses) earnings in 2016 and 2015 consisted primarily of net losses related to our investment in Ceridian, offset by earnings at various other unconsolidated affiliates, which is described further at the segment level below.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04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9"/>
        </w:trPr>
        <w:tc>
          <w:tcPr>
            <w:tcW w:w="6040" w:type="dxa"/>
            <w:vAlign w:val="bottom"/>
          </w:tcPr>
          <w:p>
            <w:pPr>
              <w:ind w:left="40"/>
              <w:spacing w:after="0"/>
              <w:rPr>
                <w:sz w:val="20"/>
                <w:szCs w:val="20"/>
                <w:color w:val="auto"/>
              </w:rPr>
            </w:pPr>
            <w:r>
              <w:rPr>
                <w:rFonts w:ascii="Arial" w:cs="Arial" w:eastAsia="Arial" w:hAnsi="Arial"/>
                <w:sz w:val="18"/>
                <w:szCs w:val="18"/>
                <w:color w:val="auto"/>
                <w:w w:val="91"/>
              </w:rPr>
              <w:t>Earnings from continuing operations before income taxes and equity in earnings of</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2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$111 million, or 6%, in the three months ended June 30, 2016 and increased by $220 million, or 7%, in the six months ended June 30, 2016 from the corresponding periods in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Six months ended June 30,</w:t>
            </w:r>
          </w:p>
        </w:tc>
        <w:tc>
          <w:tcPr>
            <w:tcW w:w="86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52</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Title premiums increased by 8% in the three months ended June 30, 2016 as compared to the corresponding period in 2015. The increase comprised of a decrease in Title premiums from direct operations of $7 million, or 1%, and an increase in Title premiums from agency operations of $94 million, or 16%, in the three months ended June 30, 2016. Title premiums increased by 9% in the six months ended June 30, 2016 as compared to the corresponding period in 2015. The increase comprised of a decrease in Title premiums from direct operations of $2 million, or less than 1%, and an increase in Title premiums from agency operations of $183 million, or 18%, in the six months ended June 30,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7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26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Title premiums from direct operations decreased in the three and six months ended June 30, 2016 as compared to the corresponding periods in 2015 primarily due to a decrease in closed order volume offset by a favorable change in the mix of closed orders from purchase and refinance transactions. A favorable increase in Closed title insurance orders from purchase transactions was largely offset by a decrease in Closed title insurance orders from refinance transactions in the three and six months ended June 30, 2016 as compared to the corresponding period in 2015. Closed order volumes were 401,000 and 723,000 in the three and six months ended June 30, 2016, respectively compared with 408,000 and 754,000 in the three and six months ended June 30, 2015, respectively. This represented an overall decrease of 2% and 4%, respectively. Open title orders increased over the three months ended June 30, 2016 and decreased over the six months ended June 30, 2016 as compared to the corresponding periods in 2015. The increase in the three-month period reflected an increase in purchase and refinance transactions resulting from a drop in interest rates quarter over quarter. The average fee per file in our direct operations was $2,116 and $2,079 in the three and six months ended June 30, 2016, respectively, compared to $2,026 and $1,938 in the three and six months ended June 30, 2015. The increase in average fee per file reflects the aforementioned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6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increase in title premiums from agency operations is primarily the result of an increase in remitted agency premiums due to strength in agency driven real estate markets, including the mid-Atlantic and southern states, as well as an increase in the number of independent agents with which we transacted business period over period.</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Escrow, title-related and other fees increased by $17 million, or 3%, in the three months ended June 30, 2016, and increased by $33 million, or 3%, in the six months ended June 30, 2016 from the corresponding periods in 2015. Escrow fees, which are more closely related to our direct operations, increased by $20 million, or 10%, in the three months ended June 30, 2016 and increased $28 million, or 8%, in the six months ended June 30, 2016 compared to the corresponding periods in 2015. The increase is representative of the change in the mix of purchase to refinance orders previously discussed. Other fees in the Title segment, excluding escrow fees, decreased by $3 million, or 1%, in the three months ended June 30, 2016, and increased $5 million, or 1%, in the six months ended June 30, 2016 from the corresponding periods in 2015. The decrease in other fees in the three-month period was primarily driven by revenue decreases at ServiceLink offset by increased fee revenue in our home warranty businesses. The increase in other fees in the six-month period is driven primarily by increased revenue in our home warranty business partially offset by decreases at ServiceLink.</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$4 million in the three months ended June 30, 2016 and increased by $3 million in the six months ended June 30, 2016 compared to the corresponding periods in 2015. The increase is attributable to increased interest income on our short-term and cost method investments as well as increased dividends on our equity securities and preferred stock holdings, offset by a decrease in interest income related to our fixed maturity securities.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There was a $17 million, or 3% increase in the three-month period ended June 30, 2016, and a $43 million, or 4%, increase in the six-month period ended June 30, 2016 compared to the corresponding periods in 2015. The increase in the 2016 period is primarily due to higher commissions and bonuses associated with a stronger residential purchase market and higher headcount and costs associated with the implementation of TRID. Personnel costs as a percentage of total revenues from direct title premiums and escrow, title-related and other fees were 51% and 54% for the three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six-month periods ended June 30, 2016 and 50% and 52% for the three and six-month periods ended June 30, 2015, respectively. The increase in personnel costs as a percentage of revenue is consistent with the increase in headcount. Average employee count in the Title segment was 21,845 and 21,016 in the three-month periods ended June 30, 2016 and 2015, respectively, and 21,325 and 20,322 in the six-month periods ended June 30, 2016 and 2015, respectively.</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decreased by $1 million, or less than 1% in the three months ended June 30, 2016 and increased $13 million, or 2%, in the six months ended June 30, 2016 from the corresponding periods in 2015. Other operating expenses as a percentage of total revenue excluding agency premiums, interest and investment income, and realized gains and losses have remained consistent across all periods.</w:t>
      </w:r>
    </w:p>
    <w:p>
      <w:pPr>
        <w:spacing w:after="0" w:line="8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Three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increased by $1 million in the three months ended June 30, 2016 and decreased $1 million in the six months ended June 30, 2016 compared to the corresponding periods in 2015.</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primarily due to favorable development on more recent policy year claims.</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claim loss provision for title insurance was $68 million and $69 million for the three-month periods ended June 30, 2016 and 2015, respectively, and reflects an average provision rate of 5.5% and 6% of title premiums, respectively. The claim loss provision for title insurance was $120 million for both six-month periods ended June 30, 2016 and 2015, and reflects an average provision rate of 5.5% and 6% of title premiums, respectively. We continually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Black Knight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190"/>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256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232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459</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0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256</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227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37"/>
        </w:trPr>
        <w:tc>
          <w:tcPr>
            <w:tcW w:w="60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215</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204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revenues for our Black Knight segment increased $29 million, or 13%, in the three-month period ended June 30, 2016 and increased $44 million, or 10%, in the six-month period ended June 30, 2016 compared to the corresponding periods in 2015. The increase in both periods was primarily driven by loan growth on Black Knight's mortgage servicing platform, price increases, the implementation of new clients and higher transaction volumes in its origination technology segment.</w:t>
      </w:r>
    </w:p>
    <w:p>
      <w:pPr>
        <w:spacing w:after="0" w:line="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operating expenses increased by $14 million, or 34%, in the three-month period ended June 30, 2016 and increased by $18 million, or 23%, in the six-month period ended June 30, 2016 compared to the corresponding periods in 2015. The increase is primarily driven by lower capitalized software development and deferred implementation costs, increased bonus accruals, and increased public company costs.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expense increased by $5 million, or 45%, in the three-month period ended June 30, 2016 and increased by $13 million, or 68%, in the six-month period ended June 30, 2016 compared to the corresponding periods in 2015. The increase is attributable to new third party debt issued in connection with Black Knight's initial public offering in May 2015, offset slightly by decreased interest on its outstanding public debt resulting from paydowns of principal in May 2015.</w:t>
      </w:r>
    </w:p>
    <w:p>
      <w:pPr>
        <w:spacing w:after="0" w:line="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Earnings from continuing operations before income taxes increased by $18 million in the three-month period ended June 30, 2016 and increased by $19 million in the six-month period ended June 30, 2016 compared to the corresponding periods in 2015. The increase is primarily attributable to the increased revenue, offset by increased operating and interest expense, discussed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FNF Group Corporate and Other segment generated revenues of $56 million and $57 million for the three months ended June 30, 2016 and 2015, respectively, and $86 million and $75 million for the six months ended June 30, 2016 and 2015, respectively. The revenue in all periods represents revenue generated by our real estate brokerage subsidiaries offset by the elimination of revenues between our Black Knight segment and our Title segment. The increase of $11 million, or 15%, in the six-month period is primarily attributable to revenue growth and acquisitions by Pacific Union.</w:t>
      </w:r>
    </w:p>
    <w:p>
      <w:pPr>
        <w:spacing w:after="0" w:line="4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Other operating expenses in the FNF Group Corporate and Other segment were $56 million and $57 million for the three months ended June 30, 2016 and 2015, respectively, and $89 million and $75 million for the six months ended June 30, 2016 and 2015, respectively. Both periods reflect expenses at our real estate brokerage subsidiaries offset by the elimination of management fees and other intercompany fees between our Black Knight segment and our Title segment. The increase of $14 million, or 19%, in the six months ended June 30, 2016 is primarily attributable to the growth of Pacific Union.</w:t>
      </w:r>
    </w:p>
    <w:p>
      <w:pPr>
        <w:spacing w:after="0" w:line="4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Interest expense was $16 million and $20 million for the three months ended June 30, 2016 and 2015, respectively, and $31 million and $41 million for the six months ended June 30, 2016 and 2015, respectively. The decrease is attributable to the repayment of the $1.1 billion FNF term loan in late May 2015.</w:t>
      </w:r>
    </w:p>
    <w:p>
      <w:pPr>
        <w:spacing w:after="0" w:line="1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segment generated pretax losses of $33 million and $32 million for the three months ended June 30, 2016 and 2015, respectively, and $65 million and $62 million, for the six months ended June 30, 2016 and 2015, respectively. The increased loss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six-month period was primarily attributable to realized losses related to investment impairments, increased personnel costs associated with acquisitions, and the increased operating expenses offset by the decrease in interest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0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62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190"/>
        </w:trPr>
        <w:tc>
          <w:tcPr>
            <w:tcW w:w="6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619</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718</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0"/>
        </w:trPr>
        <w:tc>
          <w:tcPr>
            <w:tcW w:w="6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for the Restaurant group segment decreased $79 million, or 21%, in the three months ended June 30, 2016 and decreased $153 million, or 21%, in the six months ended June 30, 2016, from the corresponding periods in 2015. The decrease is primarily attributable to the spin-off of J. Alexander's in September 2015 and the sale of the Max &amp; Erma's concept in January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restaurant revenue decreased by $68 million, or 22%, in the three months ended June 30, 2016 and decreased $129 million, or 21% in the six months ended June 30, 2016, from the corresponding periods in 2015. The change is consistent with the change in revenue.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continuing operations before income taxes decreased by $1 million, or 14%, in the three months ended June 30, 2016, and decreased by $11 million, or 65%, in the six months ended June 30, 2016 from the corresponding periods in 2015. The decrease is primarily attributable to the results of J. Alexander's which are not included in the 2016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and other smaller operations which are not title-related. This segment also includes our Investment Success Incentive Program ("ISIP") which is tied to monetization or liquidity events producing realized or realizable economic gains relating to our investments.</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FNFV Corporate and Other segment generated revenues of $56 million and $29 million for the three months ended June 30, 2016 and 2015, respectively, and $95 million and $143 million for the six months ended June 30, 2016 and 2015, respectively. The increase of $27 million, or 93%, in the three-month period is primarily attributable to increased revenue resulting from acquisitions and growth at Digital Insurance as well as $15 million of realized gains associated with the sale of Stillwater Insurance Group, our specialty insurance business, in the second quarter of 2016. The decrease of $48 million, or 34%, in the six-month period is primarily attributable to the sale of Cascade Timberlands in the first quarter of 2015.</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were $12 million and $8 million for the three months ended June 30, 2016 and 2015, respectively, and $18 million and $86 million for the six months ended June 30, 2016 and 2015, respectively. The increase of $4 million in the three-month period is primarily attributable to acquisitions and growth at Digital Insurance. The decrease of $68 million in the six-month period is primarily attributable to the sale of Cascade Timberlands in the first quarter of 2015.</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were $26 million and $22 million for the three months ended June 30, 2016 and 2015, respectively and $51 million and $43 million for the six months ended June 30, 2016 and 2015, respectively. The change in both periods is primarily attributable to acquisitions and growth at Digital Insurance.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generated pretax earnings (losses) of $13 million and $(5) million for the three months ended June 30, 2016 and 2015, respectively and $14 million and $6 million for the six months ended June 30, 2016 and 2015, respectively. The change in earnings is attributable to the aforementioned changes in earnings and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$0.21 per share for the second quarter of 2016, or approximately $57 million to our FNF Group common shareholders. On July 20, 2016, our Board of Directors declared cash dividends of $0.21 per share, payable on September 30, 2016, to FNF Group common shareholders of record as of September 16, 2016.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2015, $2,049 million of our net assets were restricted from dividend payments without prior approval from the relevant departments of insurance. As of June 30, 2016, our title subsidiaries can pay or make ordinary distributions in 2016 to us of approximately $19 million, in the aggregate. However, we anticipate that our title insurance subsidiaries will pay or make extraordinary dividends in 2016 of approximately $231 million by obtaining prior approval from the relevant departments of insurance. Our underwritten title companies and non-insurance subsidiaries collect revenue and pay operating expenses. However, they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flows provided by operations for the six months ended June 30, 2016 and 2015 totaled $374 million and $389 million, respectively. The decrease of $15 million is primarily attributable to increased payments for taxes offset by increased net earnings and a reduction in claims paid in the 2016 period.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$190 million and $103 million for the six-month periods ended June 30, 2016 and 2015, respectively, with the increase primarily related to the purchase of our corporate headquarters in April 2016 as well as other increases in property, plant and equipment additions in our title and restaurant segments.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E included in Item 1 of Part 1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Item 2 of Part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fluctuations in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into 2016, we saw seasonality trends return closer to historical patterns. During 2015, we experienced a moderate increase in existing home sales and a decline in total housing inventory. The trend has continued through the six months ended June 30, 2016.</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segment, average weekly sales per restaurant are typically higher in the first and fourth quarters. Accordingly, we typically generate a disproportionate share of our earnings from operations in those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filed on February 23, 2016, other than as described below.</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29, 2016, pursuant to the terms of a certain “synthetic lease” agreement, dated as of June 29, 2004, as amended on June 27, 2011, and further described below, we exercised our option to purchase the land and various real property improvements associated with our corporate campus and headquarters in Jacksonville, Florida from SunTrust Bank for $71 million.</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20, 2016, Black Knight entered into two interest rate swap agreements to hedge forecasted monthly interest rate payments on a total of $400 million of floating rate debt ($200 million notional value each) (the “Swap Agreements”). The Swap Agreements have been designated as cash flow hedging instruments. Under the terms of the Swap Agreements, Black Knight receives payments based on the 1-month LIBOR rate and pays a weighted average fixed rate of 1.01%. The effective term for the Swap Agreements is February 1, 2016 through January 31, 2019.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E to the Condensed Consolidated Financial Statements included in Item 1 of Part I of this Quarterly Report for further discussion of our notes payable.</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October 28, 2014, our Board of Directors approved a three-year stock purchase program, effective November 6, 2014,</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we could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 We repurchased 4,976,518 shares under these programs during the six months ended June 30, 2016 for $53 million, or an average of $10.74 per share. Subsequent to June 30, 2016 through market close on July 31, 2016, we purchased 75,000 additional shares for $1 million, or an average of $11.56 per share. Since the original commencement of the program effective March 1, 2016 through market close on July 31, 2016, we have repurchased a total of 1,850,000 shares for $21 million, or an average of $11.52 per share, and there are 11,645,000 shares available to be repurchased under this program.</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20, 2015, our Board of Directors approved a new three-year stock repurchase program under which we can purchase up to 25 million of our FNF Group common stock through July 30, 2018. We may make repurchases from time to time in the open market, in block purchases or in privately negotiated transactions, depending on market conditions and other factors. We repurchased 4,364,000 shares of FNF Group common stock during the six months ended June 30, 2016 for $147 million, or an average of $33.59 per share. Subsequent to June 30, 2016 through market close on July 31, 2016, we purchased 150,000 additional shares for $6 million, or an average of $37.02 per share. Since the original commencement of this program through market close on July 31, 2016, we have repurchased a total of 9,089,000 shares of FNF Group common stock for $318 million, or an average of $34.97 per share, and there are 15,911,000 shares available to be repurchased under the program.</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are not currently engaged in off-balance sheet activities. Through April of 2016, we had an off-balance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leasing arrangement (commonly referred to as a “synthetic lease”) for our corporate campus in Jacksonville, Florida. The material terms of the synthetic lease are set forth in our Annual Report for the year ended December 31, 2015. On April 29, 2016, we exercised our option to purchase the property, at which time the lease previously associated with the property was terminated.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Item 1 of Part II.</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three months ended June 30, 2016:</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4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00"/>
          </w:cols>
          <w:pgMar w:left="240" w:top="121" w:right="25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4/1/2016 - 4/30/2016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18,225,000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5/1/2016 - 5/31/2016</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1,064,000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1,064,000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17,161,000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6/1/2016 - 6/30/2016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16,061,000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2,464,000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20, 2015, our Board of Directors approved a three-year stock repurchase program. Under the stock repurchase program, we may repurchase up to 25 million shares of our common stock through July 30, 2018.</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FNFV during the three months ended June 30, 2016:</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4/1/2016 - 4/30/2016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13,195,000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5/1/2016 - 5/31/2016</w:t>
            </w:r>
          </w:p>
        </w:tc>
        <w:tc>
          <w:tcPr>
            <w:tcW w:w="12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925,000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925,000</w:t>
            </w: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12,270,000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6/1/2016 - 6/30/2016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11,720,000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 Exhibits:</w:t>
            </w:r>
          </w:p>
        </w:tc>
        <w:tc>
          <w:tcPr>
            <w:tcW w:w="10080" w:type="dxa"/>
            <w:vAlign w:val="bottom"/>
          </w:tcPr>
          <w:p>
            <w:pPr>
              <w:spacing w:after="0"/>
              <w:rPr>
                <w:sz w:val="20"/>
                <w:szCs w:val="20"/>
                <w:color w:val="auto"/>
              </w:rPr>
            </w:pPr>
          </w:p>
        </w:tc>
      </w:tr>
      <w:tr>
        <w:trPr>
          <w:trHeight w:val="580"/>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10.1</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Amendment effective May 3, 2016 to Director Services Agreement between the Registrant and William P. Foley II effective January 8,</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2016 (incorporated by reference to Exhibit 10.27 to Registrant's Annual Report on Form 10-K for the year ended December 31, 2015)</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10.2</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Raymond R. Quirk</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effective October 10, 2008 (incorporated by reference to Exhibit 10.16 to the Registrant's Annual Report on Form 10-K for the year</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ended December 31, 2009)</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10.3</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Amendment effective May 3, 2016 to Amended and Restated Employment Agreement between the Registrant and Brent B. Bickett</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effective July 1, 2012 (incorporated by reference to Exhibit 10.11 to the Registrant's Quarterly Report on Form 10-Q for the quarter</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ended June 30, 2012)</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10.4</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Amendment effective May 3, 2016 to Amended and Restated Employment Agreement between the Registrant and Anthony J. Park</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effective February 4, 2010 (incorporated by reference to Exhibit 10.13 to the Registrant's Annual Report on Form 10-K for the year</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ended December 31, 2009)</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10.5</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Michael L. Gravelle</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effective March 1, 2015 (incorporated by reference to Exhibit 10.3 to the Registrant's Quarterly Report on Form 10-Q for the quarter</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ended March 31, 2015)</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10.6</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Peter T. Sadowski</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effective February 4, 2010 (incorporated by reference to Exhibit 10.25 to the Registrant's Annual Report on Form 10-K for the year</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ended December 31, 2012)</w:t>
            </w:r>
          </w:p>
        </w:tc>
      </w:tr>
      <w:tr>
        <w:trPr>
          <w:trHeight w:val="392"/>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10.7</w:t>
            </w:r>
          </w:p>
        </w:tc>
        <w:tc>
          <w:tcPr>
            <w:tcW w:w="10080" w:type="dxa"/>
            <w:vAlign w:val="bottom"/>
          </w:tcPr>
          <w:p>
            <w:pPr>
              <w:ind w:left="200"/>
              <w:spacing w:after="0"/>
              <w:rPr>
                <w:sz w:val="20"/>
                <w:szCs w:val="20"/>
                <w:color w:val="auto"/>
              </w:rPr>
            </w:pPr>
            <w:r>
              <w:rPr>
                <w:rFonts w:ascii="Arial" w:cs="Arial" w:eastAsia="Arial" w:hAnsi="Arial"/>
                <w:sz w:val="18"/>
                <w:szCs w:val="18"/>
                <w:color w:val="auto"/>
              </w:rPr>
              <w:t>Employment Agreement between the Registrant and Michael Nolan effective March 3, 2016</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10.8</w:t>
            </w: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Amendment effective May 3, 2016 to Employment Agreement between the Registrant and Michael Nolan effective March 3, 2016</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(incorporated by reference to Exhibit 10.7 to the Registrant's Quarterly Report on Form 10-Q for the quarter ended June 30, 2016)</w:t>
            </w:r>
          </w:p>
        </w:tc>
      </w:tr>
      <w:tr>
        <w:trPr>
          <w:trHeight w:val="392"/>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10.9</w:t>
            </w:r>
          </w:p>
        </w:tc>
        <w:tc>
          <w:tcPr>
            <w:tcW w:w="10080" w:type="dxa"/>
            <w:vAlign w:val="bottom"/>
          </w:tcPr>
          <w:p>
            <w:pPr>
              <w:ind w:left="200"/>
              <w:spacing w:after="0"/>
              <w:rPr>
                <w:sz w:val="20"/>
                <w:szCs w:val="20"/>
                <w:color w:val="auto"/>
              </w:rPr>
            </w:pPr>
            <w:r>
              <w:rPr>
                <w:rFonts w:ascii="Arial" w:cs="Arial" w:eastAsia="Arial" w:hAnsi="Arial"/>
                <w:sz w:val="18"/>
                <w:szCs w:val="18"/>
                <w:color w:val="auto"/>
              </w:rPr>
              <w:t>Employment Agreement between the Registrant and Roger Jewkes effective March 3, 2016</w:t>
            </w:r>
          </w:p>
        </w:tc>
      </w:tr>
      <w:tr>
        <w:trPr>
          <w:trHeight w:val="377"/>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93"/>
              </w:rPr>
              <w:t>10.10</w:t>
            </w: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Amendment effective May 3, 2016 to Employment Agreement between the Registrant and Roger Jewkes effective March 3, 2016</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(incorporated by reference to Exhibit 10.9 to the Registrant's Quarterly Report on Form 10-Q for the quarter ended June 30, 2016)</w:t>
            </w:r>
          </w:p>
        </w:tc>
      </w:tr>
      <w:tr>
        <w:trPr>
          <w:trHeight w:val="392"/>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31.1</w:t>
            </w:r>
          </w:p>
        </w:tc>
        <w:tc>
          <w:tcPr>
            <w:tcW w:w="1008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31.2</w:t>
            </w:r>
          </w:p>
        </w:tc>
        <w:tc>
          <w:tcPr>
            <w:tcW w:w="1008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32.1</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U.S.C. Section 1350.</w:t>
            </w:r>
          </w:p>
        </w:tc>
      </w:tr>
      <w:tr>
        <w:trPr>
          <w:trHeight w:val="526"/>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32.2</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U.S.C. Section 1350.</w:t>
            </w:r>
          </w:p>
        </w:tc>
      </w:tr>
      <w:tr>
        <w:trPr>
          <w:trHeight w:val="446"/>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99.1</w:t>
            </w:r>
          </w:p>
        </w:tc>
        <w:tc>
          <w:tcPr>
            <w:tcW w:w="10080" w:type="dxa"/>
            <w:vAlign w:val="bottom"/>
          </w:tcPr>
          <w:p>
            <w:pPr>
              <w:ind w:left="20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32"/>
        </w:trPr>
        <w:tc>
          <w:tcPr>
            <w:tcW w:w="1080" w:type="dxa"/>
            <w:vAlign w:val="bottom"/>
          </w:tcPr>
          <w:p>
            <w:pPr>
              <w:jc w:val="center"/>
              <w:ind w:right="410"/>
              <w:spacing w:after="0"/>
              <w:rPr>
                <w:sz w:val="20"/>
                <w:szCs w:val="20"/>
                <w:color w:val="auto"/>
              </w:rPr>
            </w:pPr>
            <w:r>
              <w:rPr>
                <w:rFonts w:ascii="Arial" w:cs="Arial" w:eastAsia="Arial" w:hAnsi="Arial"/>
                <w:sz w:val="18"/>
                <w:szCs w:val="18"/>
                <w:color w:val="auto"/>
                <w:w w:val="85"/>
              </w:rPr>
              <w:t>99.2</w:t>
            </w:r>
          </w:p>
        </w:tc>
        <w:tc>
          <w:tcPr>
            <w:tcW w:w="10080" w:type="dxa"/>
            <w:vAlign w:val="bottom"/>
          </w:tcPr>
          <w:p>
            <w:pPr>
              <w:ind w:left="20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bl>
    <w:p>
      <w:pPr>
        <w:spacing w:after="0" w:line="229" w:lineRule="exact"/>
        <w:rPr>
          <w:sz w:val="20"/>
          <w:szCs w:val="20"/>
          <w:color w:val="auto"/>
        </w:rPr>
      </w:pPr>
    </w:p>
    <w:p>
      <w:pPr>
        <w:jc w:val="both"/>
        <w:ind w:left="1520" w:hanging="1127"/>
        <w:spacing w:after="0" w:line="25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June 30, 2016,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1"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Date: August 9, 2016</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80" w:type="dxa"/>
            <w:vAlign w:val="bottom"/>
          </w:tcPr>
          <w:p>
            <w:pPr>
              <w:spacing w:after="0"/>
              <w:rPr>
                <w:sz w:val="20"/>
                <w:szCs w:val="20"/>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r>
      <w:tr>
        <w:trPr>
          <w:trHeight w:val="486"/>
        </w:trPr>
        <w:tc>
          <w:tcPr>
            <w:tcW w:w="3280" w:type="dxa"/>
            <w:vAlign w:val="bottom"/>
          </w:tcPr>
          <w:p>
            <w:pPr>
              <w:spacing w:after="0"/>
              <w:rPr>
                <w:sz w:val="24"/>
                <w:szCs w:val="24"/>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28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Table of Contents</w:t>
              </w:r>
            </w:hyperlink>
          </w:p>
        </w:tc>
        <w:tc>
          <w:tcPr>
            <w:tcW w:w="9900" w:type="dxa"/>
            <w:vAlign w:val="bottom"/>
          </w:tcPr>
          <w:p>
            <w:pPr>
              <w:spacing w:after="0"/>
              <w:rPr>
                <w:sz w:val="17"/>
                <w:szCs w:val="17"/>
                <w:color w:val="auto"/>
              </w:rPr>
            </w:pPr>
          </w:p>
        </w:tc>
      </w:tr>
      <w:tr>
        <w:trPr>
          <w:trHeight w:val="1020"/>
        </w:trPr>
        <w:tc>
          <w:tcPr>
            <w:tcW w:w="1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904"/>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Amendment effective May 3, 2016 to Director Services Agreement between the Registrant and William P. Foley II effective January 8,</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2016 (incorporated by reference to Exhibit 10.27 to Registrant's Annual Report on Form 10-K for the year ended December 31, 2015)</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Raymond R. Quirk</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effective October 10, 2008 (incorporated by reference to Exhibit 10.16 to the Registrant's Annual Report on Form 10-K for the year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ended December 31, 2008)</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Amendment effective May 3, 2016 to Amended and Restated Employment Agreement between the Registrant and Brent B. Bickett</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effective July 1, 2012 (incorporated by reference to Exhibit 10.11 to the Registrant's Quarterly Report on Form 10-Q for the quarter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ended June 30, 2012)</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Amendment effective May 3, 2016 to Amended and Restated Employment Agreement between the Registrant and Anthony J. Park</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effective February 4, 2010 (incorporated by reference to Exhibit 10.13 to the Registrant's Annual Report on Form 10-K for the year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ended December 31, 2009)</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Michael L. Gravelle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effective March 1, 2015 (incorporated by reference to Exhibit 10.3 to the Registrant's Quarterly Report on Form 10-Q for the quarter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ended March 31, 2015)</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Peter T. Sadowski</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effective February 4, 2010 (incorporated by reference to Exhibit 10.25 to the Registrant's Annual Report on Form 10-K for the year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ended December 31, 2012)</w:t>
            </w:r>
          </w:p>
        </w:tc>
      </w:tr>
      <w:tr>
        <w:trPr>
          <w:trHeight w:val="392"/>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Employment Agreement between the Registrant and Michael Nolan effective March 3, 2016</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5"/>
              </w:rPr>
              <w:t>Amendment effective May 3, 2016 to Employment Agreement between the Registrant and Michael Nolan effective March 3, 2016</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(incorporated by reference to Exhibit 10.7 to the Registrant's Quarterly Report on Form 10-Q for the quarter ended June 30, 2016)</w:t>
            </w:r>
          </w:p>
        </w:tc>
      </w:tr>
      <w:tr>
        <w:trPr>
          <w:trHeight w:val="392"/>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10.9</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Employment Agreement between the Registrant and Roger Jewkes effective March 3, 2016</w:t>
            </w:r>
          </w:p>
        </w:tc>
      </w:tr>
      <w:tr>
        <w:trPr>
          <w:trHeight w:val="377"/>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93"/>
              </w:rPr>
              <w:t>10.10</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5"/>
              </w:rPr>
              <w:t>Amendment effective May 3, 2016 to Employment Agreement between the Registrant and Roger Jewkes effective March 3, 2016</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(incorporated by reference to Exhibit 10.9 to the Registrant's Quarterly Report on Form 10-Q for the quarter ended June 30, 2016)</w:t>
            </w:r>
          </w:p>
        </w:tc>
      </w:tr>
      <w:tr>
        <w:trPr>
          <w:trHeight w:val="392"/>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 2002, 18</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U.S.C. Section 1350.</w:t>
            </w:r>
          </w:p>
        </w:tc>
      </w:tr>
      <w:tr>
        <w:trPr>
          <w:trHeight w:val="52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U.S.C. Section 1350.</w:t>
            </w:r>
          </w:p>
        </w:tc>
      </w:tr>
      <w:tr>
        <w:trPr>
          <w:trHeight w:val="44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32"/>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bl>
    <w:p>
      <w:pPr>
        <w:spacing w:after="0" w:line="229" w:lineRule="exact"/>
        <w:rPr>
          <w:sz w:val="20"/>
          <w:szCs w:val="20"/>
          <w:color w:val="auto"/>
        </w:rPr>
      </w:pPr>
    </w:p>
    <w:p>
      <w:pPr>
        <w:jc w:val="both"/>
        <w:ind w:left="1540" w:hanging="1127"/>
        <w:spacing w:after="0" w:line="25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June 30, 2016,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ectPr>
          <w:pgSz w:w="11900" w:h="16838" w:orient="portrait"/>
          <w:cols w:equalWidth="0" w:num="1">
            <w:col w:w="11360"/>
          </w:cols>
          <w:pgMar w:left="240" w:top="10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108" w:right="29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DIRECTOR SERVICES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THIS FIRST AMENDMENT TO DIRECTOR SERVICES AGREEMENT (the "Amendment") is effective as of May 3, 2016 (the "Effective Date"), by and between </w:t>
      </w:r>
      <w:r>
        <w:rPr>
          <w:rFonts w:ascii="Arial" w:cs="Arial" w:eastAsia="Arial" w:hAnsi="Arial"/>
          <w:sz w:val="19"/>
          <w:szCs w:val="19"/>
          <w:b w:val="1"/>
          <w:bCs w:val="1"/>
          <w:color w:val="auto"/>
        </w:rPr>
        <w:t>FIDELITY NATIONAL FINANCIAL, INC.</w:t>
      </w:r>
      <w:r>
        <w:rPr>
          <w:rFonts w:ascii="Arial" w:cs="Arial" w:eastAsia="Arial" w:hAnsi="Arial"/>
          <w:sz w:val="19"/>
          <w:szCs w:val="19"/>
          <w:color w:val="auto"/>
        </w:rPr>
        <w:t xml:space="preserve">, a Delaware corporation (the "Company"), and </w:t>
      </w:r>
      <w:r>
        <w:rPr>
          <w:rFonts w:ascii="Arial" w:cs="Arial" w:eastAsia="Arial" w:hAnsi="Arial"/>
          <w:sz w:val="19"/>
          <w:szCs w:val="19"/>
          <w:b w:val="1"/>
          <w:bCs w:val="1"/>
          <w:color w:val="auto"/>
        </w:rPr>
        <w:t>WILLIAM P. FOLEY, II</w:t>
      </w:r>
      <w:r>
        <w:rPr>
          <w:rFonts w:ascii="Arial" w:cs="Arial" w:eastAsia="Arial" w:hAnsi="Arial"/>
          <w:sz w:val="19"/>
          <w:szCs w:val="19"/>
          <w:color w:val="auto"/>
        </w:rPr>
        <w:t xml:space="preserve"> (“Foley”) and amends that certain Director Services Agreement dated as of January 8, 2016 (the “Agreement”). In consideration of the mutual covenants and agreements set forth herein, the parties agree as follows:</w:t>
      </w:r>
    </w:p>
    <w:p>
      <w:pPr>
        <w:spacing w:after="0" w:line="143" w:lineRule="exact"/>
        <w:rPr>
          <w:sz w:val="20"/>
          <w:szCs w:val="20"/>
          <w:color w:val="auto"/>
        </w:rPr>
      </w:pPr>
    </w:p>
    <w:p>
      <w:pPr>
        <w:jc w:val="both"/>
        <w:ind w:left="660" w:firstLine="645"/>
        <w:spacing w:after="0" w:line="248" w:lineRule="auto"/>
        <w:tabs>
          <w:tab w:leader="none" w:pos="2091" w:val="left"/>
        </w:tabs>
        <w:numPr>
          <w:ilvl w:val="0"/>
          <w:numId w:val="12"/>
        </w:numPr>
        <w:rPr>
          <w:rFonts w:ascii="Arial" w:cs="Arial" w:eastAsia="Arial" w:hAnsi="Arial"/>
          <w:sz w:val="18"/>
          <w:szCs w:val="18"/>
          <w:color w:val="auto"/>
        </w:rPr>
      </w:pPr>
      <w:r>
        <w:rPr>
          <w:rFonts w:ascii="Arial" w:cs="Arial" w:eastAsia="Arial" w:hAnsi="Arial"/>
          <w:sz w:val="22"/>
          <w:szCs w:val="22"/>
          <w:color w:val="auto"/>
        </w:rPr>
        <w:t>Section 8(e) of the Agreement is deleted in its entirety and the following is inserted in lieu thereof: “</w:t>
      </w: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 If Foley’s services are terminated due to death or Disability, the Company shall pay Foley (or to Foley’s estate or personal representative in the case of death), within (30) thirty business days after the Date of Termination, any Accrued Obligations. Additionally, subject to Section 27(b)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Chairman</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WILLIAM P. FOLEY, II</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FIRST AMENDMENT TO AMENDED AND RESTATED EMPLOYMENT AGREEMENT (the "Amendment") is effective as of May 3, 2016 (the "Effective Date"), by and between </w:t>
      </w:r>
      <w:r>
        <w:rPr>
          <w:rFonts w:ascii="Arial" w:cs="Arial" w:eastAsia="Arial" w:hAnsi="Arial"/>
          <w:sz w:val="22"/>
          <w:szCs w:val="22"/>
          <w:b w:val="1"/>
          <w:bCs w:val="1"/>
          <w:color w:val="auto"/>
        </w:rPr>
        <w:t>FIDELITY NATIONAL FINANCIAL, INC.</w:t>
      </w:r>
      <w:r>
        <w:rPr>
          <w:rFonts w:ascii="Arial" w:cs="Arial" w:eastAsia="Arial" w:hAnsi="Arial"/>
          <w:sz w:val="22"/>
          <w:szCs w:val="22"/>
          <w:color w:val="auto"/>
        </w:rPr>
        <w:t xml:space="preserve">, a Delaware corporation (the "Company"), and </w:t>
      </w:r>
      <w:r>
        <w:rPr>
          <w:rFonts w:ascii="Arial" w:cs="Arial" w:eastAsia="Arial" w:hAnsi="Arial"/>
          <w:sz w:val="22"/>
          <w:szCs w:val="22"/>
          <w:b w:val="1"/>
          <w:bCs w:val="1"/>
          <w:color w:val="auto"/>
        </w:rPr>
        <w:t>RAYMOND R. QUIRK</w:t>
      </w:r>
      <w:r>
        <w:rPr>
          <w:rFonts w:ascii="Arial" w:cs="Arial" w:eastAsia="Arial" w:hAnsi="Arial"/>
          <w:sz w:val="22"/>
          <w:szCs w:val="22"/>
          <w:color w:val="auto"/>
        </w:rPr>
        <w:t xml:space="preserve"> (the “Employee”) and amends that certain Amended and Restated Employment Agreement dated as of October 10, 2008 (the “Agreement”). In consideration of the mutual covenants and agreements set forth herein, the parties agree as follows:</w:t>
      </w:r>
    </w:p>
    <w:p>
      <w:pPr>
        <w:spacing w:after="0" w:line="192" w:lineRule="exact"/>
        <w:rPr>
          <w:sz w:val="20"/>
          <w:szCs w:val="20"/>
          <w:color w:val="auto"/>
        </w:rPr>
      </w:pPr>
    </w:p>
    <w:p>
      <w:pPr>
        <w:jc w:val="both"/>
        <w:ind w:left="660" w:firstLine="645"/>
        <w:spacing w:after="0" w:line="290" w:lineRule="auto"/>
        <w:tabs>
          <w:tab w:leader="none" w:pos="2091" w:val="left"/>
        </w:tabs>
        <w:numPr>
          <w:ilvl w:val="1"/>
          <w:numId w:val="13"/>
        </w:numPr>
        <w:rPr>
          <w:rFonts w:ascii="Arial" w:cs="Arial" w:eastAsia="Arial" w:hAnsi="Arial"/>
          <w:sz w:val="16"/>
          <w:szCs w:val="16"/>
          <w:color w:val="auto"/>
        </w:rPr>
      </w:pPr>
      <w:r>
        <w:rPr>
          <w:rFonts w:ascii="Arial" w:cs="Arial" w:eastAsia="Arial" w:hAnsi="Arial"/>
          <w:sz w:val="19"/>
          <w:szCs w:val="19"/>
          <w:color w:val="auto"/>
        </w:rPr>
        <w:t>Section 8(c) of the Agreement is deleted in its entirety and the following is inserted in lieu thereof: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Employee’s employment is terminated due to death or Disability, the Company shall pay the Employee (or to the Employee’s estate or personal representative in the case of death), within (30) thirty business days after the Date of Termination, (i) any Accrued Obligations and (ii) a prorated Annual Bonus based on</w:t>
      </w:r>
    </w:p>
    <w:p>
      <w:pPr>
        <w:spacing w:after="0" w:line="1" w:lineRule="exact"/>
        <w:rPr>
          <w:rFonts w:ascii="Arial" w:cs="Arial" w:eastAsia="Arial" w:hAnsi="Arial"/>
          <w:sz w:val="16"/>
          <w:szCs w:val="16"/>
          <w:color w:val="auto"/>
        </w:rPr>
      </w:pPr>
    </w:p>
    <w:p>
      <w:pPr>
        <w:jc w:val="both"/>
        <w:ind w:left="660" w:hanging="4"/>
        <w:spacing w:after="0" w:line="258" w:lineRule="auto"/>
        <w:tabs>
          <w:tab w:leader="none" w:pos="1027"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target Annual Bonus opportunity in the year in which the Date of Termination occurs or the prior year if no target Annual Bonus opportunity has yet been determined and (B) the fraction of the year the Employee was employed. Additionally, subject to Section 8(e)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Chief Executive Officer</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RAYMOND R. QUIRK</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THIS AMENDMENT NO. 4 TO AMENDED AND RESTATED EMPLOYMENT AGREEMENT (the "Amendment") is effective as of May 3, 2016 (the "Effective Date"), by and between </w:t>
      </w:r>
      <w:r>
        <w:rPr>
          <w:rFonts w:ascii="Arial" w:cs="Arial" w:eastAsia="Arial" w:hAnsi="Arial"/>
          <w:sz w:val="21"/>
          <w:szCs w:val="21"/>
          <w:b w:val="1"/>
          <w:bCs w:val="1"/>
          <w:color w:val="auto"/>
        </w:rPr>
        <w:t>FIDELITY NATIONAL FINANCIAL, INC.</w:t>
      </w:r>
      <w:r>
        <w:rPr>
          <w:rFonts w:ascii="Arial" w:cs="Arial" w:eastAsia="Arial" w:hAnsi="Arial"/>
          <w:sz w:val="21"/>
          <w:szCs w:val="21"/>
          <w:color w:val="auto"/>
        </w:rPr>
        <w:t xml:space="preserve">, a Delaware corporation (the "Company"), and </w:t>
      </w:r>
      <w:r>
        <w:rPr>
          <w:rFonts w:ascii="Arial" w:cs="Arial" w:eastAsia="Arial" w:hAnsi="Arial"/>
          <w:sz w:val="21"/>
          <w:szCs w:val="21"/>
          <w:b w:val="1"/>
          <w:bCs w:val="1"/>
          <w:color w:val="auto"/>
        </w:rPr>
        <w:t>BRENT B. BICKETT</w:t>
      </w:r>
      <w:r>
        <w:rPr>
          <w:rFonts w:ascii="Arial" w:cs="Arial" w:eastAsia="Arial" w:hAnsi="Arial"/>
          <w:sz w:val="21"/>
          <w:szCs w:val="21"/>
          <w:color w:val="auto"/>
        </w:rPr>
        <w:t xml:space="preserve"> (the “Employee”) and amends that certain Amended and Restated Employment Agreement dated as of July 2, 2008, Amendment to Amended and Restated Employment Agreement dated as of February 4, 2010, Amendment No. 2 to Amended and Restated Employment Agreement dated as of January 2, 2012, and Amendment No. 3 to Amended and Restated Employment Agreement dated as of July 1, 2012 (the “Agreement”). In consideration of the mutual covenants and agreements set forth herein, the parties agree as follows:</w:t>
      </w:r>
    </w:p>
    <w:p>
      <w:pPr>
        <w:spacing w:after="0" w:line="181" w:lineRule="exact"/>
        <w:rPr>
          <w:sz w:val="20"/>
          <w:szCs w:val="20"/>
          <w:color w:val="auto"/>
        </w:rPr>
      </w:pPr>
    </w:p>
    <w:p>
      <w:pPr>
        <w:jc w:val="both"/>
        <w:ind w:left="660" w:firstLine="645"/>
        <w:spacing w:after="0" w:line="293" w:lineRule="auto"/>
        <w:tabs>
          <w:tab w:leader="none" w:pos="2091" w:val="left"/>
        </w:tabs>
        <w:numPr>
          <w:ilvl w:val="1"/>
          <w:numId w:val="15"/>
        </w:numPr>
        <w:rPr>
          <w:rFonts w:ascii="Arial" w:cs="Arial" w:eastAsia="Arial" w:hAnsi="Arial"/>
          <w:sz w:val="16"/>
          <w:szCs w:val="16"/>
          <w:color w:val="auto"/>
        </w:rPr>
      </w:pPr>
      <w:r>
        <w:rPr>
          <w:rFonts w:ascii="Arial" w:cs="Arial" w:eastAsia="Arial" w:hAnsi="Arial"/>
          <w:sz w:val="19"/>
          <w:szCs w:val="19"/>
          <w:color w:val="auto"/>
        </w:rPr>
        <w:t>Section 9(c) of the Agreement is deleted in its entirety and the following is inserted in lieu thereof: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Employee’s employment is terminated due to death or Disability, the Company shall pay the Employee (or to the Employee’s estate or personal representative in the case of death), within thirty</w:t>
      </w:r>
    </w:p>
    <w:p>
      <w:pPr>
        <w:spacing w:after="0" w:line="1" w:lineRule="exact"/>
        <w:rPr>
          <w:rFonts w:ascii="Arial" w:cs="Arial" w:eastAsia="Arial" w:hAnsi="Arial"/>
          <w:sz w:val="16"/>
          <w:szCs w:val="16"/>
          <w:color w:val="auto"/>
        </w:rPr>
      </w:pPr>
    </w:p>
    <w:p>
      <w:pPr>
        <w:jc w:val="both"/>
        <w:ind w:left="660" w:hanging="4"/>
        <w:spacing w:after="0" w:line="290" w:lineRule="auto"/>
        <w:tabs>
          <w:tab w:leader="none" w:pos="1074" w:val="left"/>
        </w:tabs>
        <w:numPr>
          <w:ilvl w:val="0"/>
          <w:numId w:val="16"/>
        </w:numPr>
        <w:rPr>
          <w:rFonts w:ascii="Arial" w:cs="Arial" w:eastAsia="Arial" w:hAnsi="Arial"/>
          <w:sz w:val="19"/>
          <w:szCs w:val="19"/>
          <w:color w:val="auto"/>
        </w:rPr>
      </w:pPr>
      <w:r>
        <w:rPr>
          <w:rFonts w:ascii="Arial" w:cs="Arial" w:eastAsia="Arial" w:hAnsi="Arial"/>
          <w:sz w:val="19"/>
          <w:szCs w:val="19"/>
          <w:color w:val="auto"/>
        </w:rPr>
        <w:t>business days after the Date of Termination: (i) any Accrued Obligations; plus (ii) a prorated Annual Bonus based upon the target Annual Bonus Opportunity in the year in which the Date of Termination occurs or the prior year if no target Annual Bonus Opportunity has yet been determined multiplied by the percentage of the calendar year completed before the Date of Termination. Additionally, subject to Section 9(e)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Executive Vice President - Corporate Strategy</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BRENT B. BICKETT</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6" w:name="page47"/>
    <w:bookmarkEnd w:id="46"/>
    <w:p>
      <w:pPr>
        <w:ind w:left="10300"/>
        <w:spacing w:after="0"/>
        <w:rPr>
          <w:sz w:val="20"/>
          <w:szCs w:val="20"/>
          <w:color w:val="auto"/>
        </w:rPr>
      </w:pPr>
      <w:r>
        <w:rPr>
          <w:rFonts w:ascii="Arial" w:cs="Arial" w:eastAsia="Arial" w:hAnsi="Arial"/>
          <w:sz w:val="19"/>
          <w:szCs w:val="19"/>
          <w:b w:val="1"/>
          <w:bCs w:val="1"/>
          <w:color w:val="auto"/>
        </w:rPr>
        <w:t>Exhibit 10.4</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AMENDMENT NO. 2 TO AMENDED AND RESTATED EMPLOYMENT AGREEMENT (the "Amendment") is effective as of May 3, 2016 (the "Effective Date"), by and between </w:t>
      </w:r>
      <w:r>
        <w:rPr>
          <w:rFonts w:ascii="Arial" w:cs="Arial" w:eastAsia="Arial" w:hAnsi="Arial"/>
          <w:sz w:val="22"/>
          <w:szCs w:val="22"/>
          <w:b w:val="1"/>
          <w:bCs w:val="1"/>
          <w:color w:val="auto"/>
        </w:rPr>
        <w:t>FIDELITY NATIONAL FINANCIAL, INC.</w:t>
      </w:r>
      <w:r>
        <w:rPr>
          <w:rFonts w:ascii="Arial" w:cs="Arial" w:eastAsia="Arial" w:hAnsi="Arial"/>
          <w:sz w:val="22"/>
          <w:szCs w:val="22"/>
          <w:color w:val="auto"/>
        </w:rPr>
        <w:t xml:space="preserve">, a Delaware corporation (the "Company"), and </w:t>
      </w:r>
      <w:r>
        <w:rPr>
          <w:rFonts w:ascii="Arial" w:cs="Arial" w:eastAsia="Arial" w:hAnsi="Arial"/>
          <w:sz w:val="22"/>
          <w:szCs w:val="22"/>
          <w:b w:val="1"/>
          <w:bCs w:val="1"/>
          <w:color w:val="auto"/>
        </w:rPr>
        <w:t>ANTHONY J. PARK</w:t>
      </w:r>
      <w:r>
        <w:rPr>
          <w:rFonts w:ascii="Arial" w:cs="Arial" w:eastAsia="Arial" w:hAnsi="Arial"/>
          <w:sz w:val="22"/>
          <w:szCs w:val="22"/>
          <w:color w:val="auto"/>
        </w:rPr>
        <w:t xml:space="preserve"> (the “Employee”) and amends that certain Amended and Restated Employment Agreement dated as of October 10, 2008 and Amendment to Amended and Restated Employment Agreement dated as of February 4, 2010 (the “Agreement”). In consideration of the mutual covenants and agreements set forth herein, the parties agree as follows:</w:t>
      </w:r>
    </w:p>
    <w:p>
      <w:pPr>
        <w:spacing w:after="0" w:line="194" w:lineRule="exact"/>
        <w:rPr>
          <w:sz w:val="20"/>
          <w:szCs w:val="20"/>
          <w:color w:val="auto"/>
        </w:rPr>
      </w:pPr>
    </w:p>
    <w:p>
      <w:pPr>
        <w:jc w:val="both"/>
        <w:ind w:left="660" w:firstLine="645"/>
        <w:spacing w:after="0" w:line="290" w:lineRule="auto"/>
        <w:tabs>
          <w:tab w:leader="none" w:pos="2091" w:val="left"/>
        </w:tabs>
        <w:numPr>
          <w:ilvl w:val="1"/>
          <w:numId w:val="17"/>
        </w:numPr>
        <w:rPr>
          <w:rFonts w:ascii="Arial" w:cs="Arial" w:eastAsia="Arial" w:hAnsi="Arial"/>
          <w:sz w:val="16"/>
          <w:szCs w:val="16"/>
          <w:color w:val="auto"/>
        </w:rPr>
      </w:pPr>
      <w:r>
        <w:rPr>
          <w:rFonts w:ascii="Arial" w:cs="Arial" w:eastAsia="Arial" w:hAnsi="Arial"/>
          <w:sz w:val="19"/>
          <w:szCs w:val="19"/>
          <w:color w:val="auto"/>
        </w:rPr>
        <w:t>Section 8(c) of the Agreement is deleted in its entirety and the following is inserted in lieu thereof: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Employee’s employment is terminated due to death or Disability, the Company shall pay the Employee (or to the Employee’s estate or personal representative in the case of death), within (30) thirty business days after the Date of Termination, (i) any Accrued Obligations and (ii) a prorated Annual Bonus based on</w:t>
      </w:r>
    </w:p>
    <w:p>
      <w:pPr>
        <w:spacing w:after="0" w:line="1" w:lineRule="exact"/>
        <w:rPr>
          <w:rFonts w:ascii="Arial" w:cs="Arial" w:eastAsia="Arial" w:hAnsi="Arial"/>
          <w:sz w:val="16"/>
          <w:szCs w:val="16"/>
          <w:color w:val="auto"/>
        </w:rPr>
      </w:pPr>
    </w:p>
    <w:p>
      <w:pPr>
        <w:jc w:val="both"/>
        <w:ind w:left="660" w:hanging="4"/>
        <w:spacing w:after="0" w:line="258" w:lineRule="auto"/>
        <w:tabs>
          <w:tab w:leader="none" w:pos="1027"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target Annual Bonus opportunity in the year in which the Date of Termination occurs or the prior year if no target Annual Bonus opportunity has yet been determined and (B) the fraction of the year the Employee was employed. Additionally, subject to Section 8(e)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Executive Vice President and Chief Financial Officer</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ANTHONY J. PARK</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THIS AMENDMENT NO. 3 TO AMENDED AND RESTATED EMPLOYMENT AGREEMENT (the "Amendment") is effective as of May 3, 2016 (the "Effective Date"), by and between </w:t>
      </w:r>
      <w:r>
        <w:rPr>
          <w:rFonts w:ascii="Arial" w:cs="Arial" w:eastAsia="Arial" w:hAnsi="Arial"/>
          <w:sz w:val="19"/>
          <w:szCs w:val="19"/>
          <w:b w:val="1"/>
          <w:bCs w:val="1"/>
          <w:color w:val="auto"/>
        </w:rPr>
        <w:t>FIDELITY NATIONAL FINANCIAL, INC.</w:t>
      </w:r>
      <w:r>
        <w:rPr>
          <w:rFonts w:ascii="Arial" w:cs="Arial" w:eastAsia="Arial" w:hAnsi="Arial"/>
          <w:sz w:val="19"/>
          <w:szCs w:val="19"/>
          <w:color w:val="auto"/>
        </w:rPr>
        <w:t xml:space="preserve">, a Delaware corporation (the "Company"), and </w:t>
      </w:r>
      <w:r>
        <w:rPr>
          <w:rFonts w:ascii="Arial" w:cs="Arial" w:eastAsia="Arial" w:hAnsi="Arial"/>
          <w:sz w:val="19"/>
          <w:szCs w:val="19"/>
          <w:b w:val="1"/>
          <w:bCs w:val="1"/>
          <w:color w:val="auto"/>
        </w:rPr>
        <w:t>MICHAEL L. GRAVELLE</w:t>
      </w:r>
      <w:r>
        <w:rPr>
          <w:rFonts w:ascii="Arial" w:cs="Arial" w:eastAsia="Arial" w:hAnsi="Arial"/>
          <w:sz w:val="19"/>
          <w:szCs w:val="19"/>
          <w:color w:val="auto"/>
        </w:rPr>
        <w:t xml:space="preserve"> (the “Employee”) and amends that certain Amended and Restated Employment Agreement dated as of January 1, 2010, Amendment No. 1 to Amended and Restated Employment Agreement dated as of January 30, 2013 and Amendment No. 2 to Amended and Restated Employment Agreement dated as of March 1, 2015 (the “Agreement”). In consideration of the mutual covenants and agreements set forth herein, the parties agree as follows:</w:t>
      </w:r>
    </w:p>
    <w:p>
      <w:pPr>
        <w:spacing w:after="0" w:line="150" w:lineRule="exact"/>
        <w:rPr>
          <w:sz w:val="20"/>
          <w:szCs w:val="20"/>
          <w:color w:val="auto"/>
        </w:rPr>
      </w:pPr>
    </w:p>
    <w:p>
      <w:pPr>
        <w:jc w:val="both"/>
        <w:ind w:left="660" w:firstLine="645"/>
        <w:spacing w:after="0" w:line="291" w:lineRule="auto"/>
        <w:tabs>
          <w:tab w:leader="none" w:pos="2091" w:val="left"/>
        </w:tabs>
        <w:numPr>
          <w:ilvl w:val="0"/>
          <w:numId w:val="19"/>
        </w:numPr>
        <w:rPr>
          <w:rFonts w:ascii="Arial" w:cs="Arial" w:eastAsia="Arial" w:hAnsi="Arial"/>
          <w:sz w:val="16"/>
          <w:szCs w:val="16"/>
          <w:color w:val="auto"/>
        </w:rPr>
      </w:pPr>
      <w:r>
        <w:rPr>
          <w:rFonts w:ascii="Arial" w:cs="Arial" w:eastAsia="Arial" w:hAnsi="Arial"/>
          <w:sz w:val="19"/>
          <w:szCs w:val="19"/>
          <w:color w:val="auto"/>
        </w:rPr>
        <w:t>Section 9(c) of the Agreement is deleted in its entirety and the following is inserted in lieu thereof: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Employee’s employment is terminated due to death or Disability, the Company shall pay the Employee (or to the Employee’s estate or personal representative in the case of death), within sixty-five (65) days after the Date of Termination: (i) any Accrued Obligations; plus (ii) a prorated Annual Bonus based upon the target Annual Bonus Opportunity in the year in which the Date of Termination occurs or the prior year if no target Annual Bonus Opportunity has yet been determined multiplied by the percentage of the calendar year completed before the Date of Termination. Additionally, subject to Section 9(d)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ind w:left="5740"/>
        <w:spacing w:after="0"/>
        <w:tabs>
          <w:tab w:leader="none" w:pos="6180" w:val="left"/>
          <w:tab w:leader="none" w:pos="7240" w:val="left"/>
          <w:tab w:leader="none" w:pos="7840" w:val="left"/>
          <w:tab w:leader="none" w:pos="8880" w:val="left"/>
          <w:tab w:leader="none" w:pos="9760" w:val="left"/>
          <w:tab w:leader="none" w:pos="10660" w:val="left"/>
        </w:tabs>
        <w:rPr>
          <w:sz w:val="20"/>
          <w:szCs w:val="20"/>
          <w:color w:val="auto"/>
        </w:rPr>
      </w:pPr>
      <w:r>
        <w:rPr>
          <w:rFonts w:ascii="Arial" w:cs="Arial" w:eastAsia="Arial" w:hAnsi="Arial"/>
          <w:sz w:val="22"/>
          <w:szCs w:val="22"/>
          <w:color w:val="auto"/>
        </w:rPr>
        <w:t>Its:</w:t>
        <w:tab/>
        <w:t>Executive</w:t>
        <w:tab/>
        <w:t>Vice</w:t>
        <w:tab/>
        <w:t>President,</w:t>
        <w:tab/>
        <w:t>General</w:t>
        <w:tab/>
        <w:t>Counsel</w:t>
      </w:r>
      <w:r>
        <w:rPr>
          <w:sz w:val="20"/>
          <w:szCs w:val="20"/>
          <w:color w:val="auto"/>
        </w:rPr>
        <w:tab/>
      </w:r>
      <w:r>
        <w:rPr>
          <w:rFonts w:ascii="Arial" w:cs="Arial" w:eastAsia="Arial" w:hAnsi="Arial"/>
          <w:sz w:val="19"/>
          <w:szCs w:val="19"/>
          <w:color w:val="auto"/>
        </w:rPr>
        <w:t>and</w:t>
      </w:r>
    </w:p>
    <w:p>
      <w:pPr>
        <w:ind w:left="5740"/>
        <w:spacing w:after="0"/>
        <w:rPr>
          <w:sz w:val="20"/>
          <w:szCs w:val="20"/>
          <w:color w:val="auto"/>
        </w:rPr>
      </w:pPr>
      <w:r>
        <w:rPr>
          <w:rFonts w:ascii="Arial" w:cs="Arial" w:eastAsia="Arial" w:hAnsi="Arial"/>
          <w:sz w:val="22"/>
          <w:szCs w:val="22"/>
          <w:color w:val="auto"/>
        </w:rPr>
        <w:t>Corporate Secretary</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MICHAEL L. GRAVELLE</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AMENDMENT NO. 2 TO AMENDED AND RESTATED EMPLOYMENT AGREEMENT (the "Amendment") is effective as of May 3, 2016 (the "Effective Date"), by and between </w:t>
      </w:r>
      <w:r>
        <w:rPr>
          <w:rFonts w:ascii="Arial" w:cs="Arial" w:eastAsia="Arial" w:hAnsi="Arial"/>
          <w:sz w:val="22"/>
          <w:szCs w:val="22"/>
          <w:b w:val="1"/>
          <w:bCs w:val="1"/>
          <w:color w:val="auto"/>
        </w:rPr>
        <w:t>FIDELITY NATIONAL FINANCIAL, INC.</w:t>
      </w:r>
      <w:r>
        <w:rPr>
          <w:rFonts w:ascii="Arial" w:cs="Arial" w:eastAsia="Arial" w:hAnsi="Arial"/>
          <w:sz w:val="22"/>
          <w:szCs w:val="22"/>
          <w:color w:val="auto"/>
        </w:rPr>
        <w:t xml:space="preserve">, a Delaware corporation (the "Company"), and </w:t>
      </w:r>
      <w:r>
        <w:rPr>
          <w:rFonts w:ascii="Arial" w:cs="Arial" w:eastAsia="Arial" w:hAnsi="Arial"/>
          <w:sz w:val="22"/>
          <w:szCs w:val="22"/>
          <w:b w:val="1"/>
          <w:bCs w:val="1"/>
          <w:color w:val="auto"/>
        </w:rPr>
        <w:t>PETER T. SADOWSKI</w:t>
      </w:r>
      <w:r>
        <w:rPr>
          <w:rFonts w:ascii="Arial" w:cs="Arial" w:eastAsia="Arial" w:hAnsi="Arial"/>
          <w:sz w:val="22"/>
          <w:szCs w:val="22"/>
          <w:color w:val="auto"/>
        </w:rPr>
        <w:t xml:space="preserve"> (the “Employee”) and amends that certain Amended and Restated Employment Agreement dated as of July 23, 2008, Amendment to Amended and Restated Employment Agreement dated as of February 4, 2010 (the “Agreement”). In consideration of the mutual covenants and agreements set forth herein, the parties agree as follows:</w:t>
      </w:r>
    </w:p>
    <w:p>
      <w:pPr>
        <w:spacing w:after="0" w:line="194" w:lineRule="exact"/>
        <w:rPr>
          <w:sz w:val="20"/>
          <w:szCs w:val="20"/>
          <w:color w:val="auto"/>
        </w:rPr>
      </w:pPr>
    </w:p>
    <w:p>
      <w:pPr>
        <w:jc w:val="both"/>
        <w:ind w:left="660" w:firstLine="645"/>
        <w:spacing w:after="0" w:line="293" w:lineRule="auto"/>
        <w:tabs>
          <w:tab w:leader="none" w:pos="2091" w:val="left"/>
        </w:tabs>
        <w:numPr>
          <w:ilvl w:val="1"/>
          <w:numId w:val="20"/>
        </w:numPr>
        <w:rPr>
          <w:rFonts w:ascii="Arial" w:cs="Arial" w:eastAsia="Arial" w:hAnsi="Arial"/>
          <w:sz w:val="16"/>
          <w:szCs w:val="16"/>
          <w:color w:val="auto"/>
        </w:rPr>
      </w:pPr>
      <w:r>
        <w:rPr>
          <w:rFonts w:ascii="Arial" w:cs="Arial" w:eastAsia="Arial" w:hAnsi="Arial"/>
          <w:sz w:val="19"/>
          <w:szCs w:val="19"/>
          <w:color w:val="auto"/>
        </w:rPr>
        <w:t>Section 9(c) of the Agreement is deleted in its entirety and the following is inserted in lieu thereof: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Employee’s employment is terminated due to death or Disability, the Company shall pay the Employee (or to the Employee’s estate or personal representative in the case of death), within thirty</w:t>
      </w:r>
    </w:p>
    <w:p>
      <w:pPr>
        <w:spacing w:after="0" w:line="1" w:lineRule="exact"/>
        <w:rPr>
          <w:rFonts w:ascii="Arial" w:cs="Arial" w:eastAsia="Arial" w:hAnsi="Arial"/>
          <w:sz w:val="16"/>
          <w:szCs w:val="16"/>
          <w:color w:val="auto"/>
        </w:rPr>
      </w:pPr>
    </w:p>
    <w:p>
      <w:pPr>
        <w:jc w:val="both"/>
        <w:ind w:left="660" w:hanging="4"/>
        <w:spacing w:after="0" w:line="290" w:lineRule="auto"/>
        <w:tabs>
          <w:tab w:leader="none" w:pos="1074" w:val="left"/>
        </w:tabs>
        <w:numPr>
          <w:ilvl w:val="0"/>
          <w:numId w:val="21"/>
        </w:numPr>
        <w:rPr>
          <w:rFonts w:ascii="Arial" w:cs="Arial" w:eastAsia="Arial" w:hAnsi="Arial"/>
          <w:sz w:val="19"/>
          <w:szCs w:val="19"/>
          <w:color w:val="auto"/>
        </w:rPr>
      </w:pPr>
      <w:r>
        <w:rPr>
          <w:rFonts w:ascii="Arial" w:cs="Arial" w:eastAsia="Arial" w:hAnsi="Arial"/>
          <w:sz w:val="19"/>
          <w:szCs w:val="19"/>
          <w:color w:val="auto"/>
        </w:rPr>
        <w:t>business days after the Date of Termination: (i) any Accrued Obligations; plus (ii) a prorated Annual Bonus based upon the target Annual Bonus Opportunity in the year in which the Date of Termination occurs or the prior year if no target Annual Bonus Opportunity has yet been determined multiplied by the percentage of the calendar year completed before the Date of Termination. Additionally, subject to Section 9(e)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Executive Vice President, Chief Legal Officer</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PETER T. SADOWSKI</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THIS EMPLOYMENT AGREEMENT (the "Agreement") is effective as of March 2, 2016 (the "Effective Date"), by and between </w:t>
      </w:r>
      <w:r>
        <w:rPr>
          <w:rFonts w:ascii="Arial" w:cs="Arial" w:eastAsia="Arial" w:hAnsi="Arial"/>
          <w:sz w:val="21"/>
          <w:szCs w:val="21"/>
          <w:b w:val="1"/>
          <w:bCs w:val="1"/>
          <w:color w:val="auto"/>
        </w:rPr>
        <w:t>FIDELITY NATIONAL FINANCIAL, INC.,</w:t>
      </w:r>
      <w:r>
        <w:rPr>
          <w:rFonts w:ascii="Arial" w:cs="Arial" w:eastAsia="Arial" w:hAnsi="Arial"/>
          <w:sz w:val="21"/>
          <w:szCs w:val="21"/>
          <w:color w:val="auto"/>
        </w:rPr>
        <w:t xml:space="preserve"> a Delaware corporation (the "Company"), and </w:t>
      </w:r>
      <w:r>
        <w:rPr>
          <w:rFonts w:ascii="Arial" w:cs="Arial" w:eastAsia="Arial" w:hAnsi="Arial"/>
          <w:sz w:val="21"/>
          <w:szCs w:val="21"/>
          <w:b w:val="1"/>
          <w:bCs w:val="1"/>
          <w:color w:val="auto"/>
        </w:rPr>
        <w:t>MICHAEL NOLAN</w:t>
      </w:r>
      <w:r>
        <w:rPr>
          <w:rFonts w:ascii="Arial" w:cs="Arial" w:eastAsia="Arial" w:hAnsi="Arial"/>
          <w:sz w:val="21"/>
          <w:szCs w:val="21"/>
          <w:color w:val="auto"/>
        </w:rPr>
        <w:t xml:space="preserve"> (the "Employee"). In consideration of the mutual covenants and agreements set forth herein, the parties agree as follows:</w:t>
      </w:r>
    </w:p>
    <w:p>
      <w:pPr>
        <w:spacing w:after="0" w:line="168" w:lineRule="exact"/>
        <w:rPr>
          <w:sz w:val="20"/>
          <w:szCs w:val="20"/>
          <w:color w:val="auto"/>
        </w:rPr>
      </w:pPr>
    </w:p>
    <w:p>
      <w:pPr>
        <w:jc w:val="both"/>
        <w:ind w:firstLine="494"/>
        <w:spacing w:after="0" w:line="246" w:lineRule="auto"/>
        <w:tabs>
          <w:tab w:leader="none" w:pos="1459"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Agreement is to recognize Employee's significant contributions to the overall financial performance and success of the Company and its affiliates, to protect the Company's and its affiliates’ business interests through the addition of restrictive covenants, and to provide a single, integrated document which shall provide the basis for Employee's continued employment by the Company, and to terminate all prior arrangements between Employee and the Company and any of its affiliates relating to employment. In consideration of the execution of this Agreement and the termination of all such prior agreements and arrangements, the Employee releases all rights and claims that he has, had or may have arising under such prior arrangements.</w:t>
      </w:r>
    </w:p>
    <w:p>
      <w:pPr>
        <w:spacing w:after="0" w:line="237" w:lineRule="exact"/>
        <w:rPr>
          <w:rFonts w:ascii="Arial" w:cs="Arial" w:eastAsia="Arial" w:hAnsi="Arial"/>
          <w:sz w:val="22"/>
          <w:szCs w:val="22"/>
          <w:color w:val="auto"/>
        </w:rPr>
      </w:pPr>
    </w:p>
    <w:p>
      <w:pPr>
        <w:jc w:val="both"/>
        <w:ind w:firstLine="494"/>
        <w:spacing w:after="0" w:line="289" w:lineRule="auto"/>
        <w:tabs>
          <w:tab w:leader="none" w:pos="1459"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the Company employs Employee to serve as President, or in such other capacity as may be mutually agreed by the parties. Employee accepts such employment and agrees to undertake and discharge the duties, functions and responsibilities commensurate with the aforesaid position and such other duties and responsibilities as may be prescribed from time to time by the Company and its affiliates. Employee shall be required to comply with the Company’s and its affiliates’ employee policies applicable to him and the Company and its affiliates’ employee’s generally as from time to time enacted.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with Employee's duties.</w:t>
      </w:r>
    </w:p>
    <w:p>
      <w:pPr>
        <w:spacing w:after="0" w:line="198" w:lineRule="exact"/>
        <w:rPr>
          <w:rFonts w:ascii="Arial" w:cs="Arial" w:eastAsia="Arial" w:hAnsi="Arial"/>
          <w:sz w:val="19"/>
          <w:szCs w:val="19"/>
          <w:color w:val="auto"/>
        </w:rPr>
      </w:pPr>
    </w:p>
    <w:p>
      <w:pPr>
        <w:ind w:left="1460" w:hanging="966"/>
        <w:spacing w:after="0"/>
        <w:tabs>
          <w:tab w:leader="none" w:pos="1460"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w:t>
      </w:r>
    </w:p>
    <w:p>
      <w:pPr>
        <w:spacing w:after="0" w:line="56" w:lineRule="exact"/>
        <w:rPr>
          <w:rFonts w:ascii="Arial" w:cs="Arial" w:eastAsia="Arial" w:hAnsi="Arial"/>
          <w:sz w:val="19"/>
          <w:szCs w:val="19"/>
          <w:color w:val="auto"/>
        </w:rPr>
      </w:pPr>
    </w:p>
    <w:p>
      <w:pPr>
        <w:jc w:val="both"/>
        <w:ind w:firstLine="8"/>
        <w:spacing w:after="0" w:line="292" w:lineRule="auto"/>
        <w:tabs>
          <w:tab w:leader="none" w:pos="306" w:val="left"/>
        </w:tabs>
        <w:numPr>
          <w:ilvl w:val="0"/>
          <w:numId w:val="23"/>
        </w:numPr>
        <w:rPr>
          <w:rFonts w:ascii="Arial" w:cs="Arial" w:eastAsia="Arial" w:hAnsi="Arial"/>
          <w:sz w:val="19"/>
          <w:szCs w:val="19"/>
          <w:color w:val="auto"/>
        </w:rPr>
      </w:pPr>
      <w:r>
        <w:rPr>
          <w:rFonts w:ascii="Arial" w:cs="Arial" w:eastAsia="Arial" w:hAnsi="Arial"/>
          <w:sz w:val="19"/>
          <w:szCs w:val="19"/>
          <w:color w:val="auto"/>
        </w:rPr>
        <w:t>years ending on the third anniversary of the Effective Date or, if later, ending on the last day of any extension made pursuant to the next sentence, subject to prior termination as set forth in Section 9 (such term, including any extensions pursuant to the next sentence, the "Employment Term"). The Employment Term shall be extended automatically for one (1) additional year on the second year anniversary of the Effective Date and for an additional year each anniversary thereafter unless and until either party gives written notice to the other not to extend the Employment Term prior to such extension becoming effectuated.</w:t>
      </w:r>
    </w:p>
    <w:p>
      <w:pPr>
        <w:spacing w:after="0" w:line="192" w:lineRule="exact"/>
        <w:rPr>
          <w:rFonts w:ascii="Arial" w:cs="Arial" w:eastAsia="Arial" w:hAnsi="Arial"/>
          <w:sz w:val="19"/>
          <w:szCs w:val="19"/>
          <w:color w:val="auto"/>
        </w:rPr>
      </w:pPr>
    </w:p>
    <w:p>
      <w:pPr>
        <w:jc w:val="both"/>
        <w:ind w:firstLine="494"/>
        <w:spacing w:after="0" w:line="297" w:lineRule="auto"/>
        <w:tabs>
          <w:tab w:leader="none" w:pos="1459"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During the Employment Term, the Company shall pay Employee an annual base salary, before deducting all applicable withholdings, of $575,000 per year, payable at the time and in the manner dictated by the Company's standard payroll policies. Such minimum annual base salary may be periodically reviewed and increased (but not decreased without Employee's express written consent except in the case of a salary decrease for all executive officers of the Company) at the discretion of the Company (such annual base salary, including any increases, the "Annual Base Salary").</w:t>
      </w:r>
    </w:p>
    <w:p>
      <w:pPr>
        <w:spacing w:after="0" w:line="187" w:lineRule="exact"/>
        <w:rPr>
          <w:rFonts w:ascii="Arial" w:cs="Arial" w:eastAsia="Arial" w:hAnsi="Arial"/>
          <w:sz w:val="19"/>
          <w:szCs w:val="19"/>
          <w:color w:val="auto"/>
        </w:rPr>
      </w:pPr>
    </w:p>
    <w:p>
      <w:pPr>
        <w:ind w:left="1460" w:hanging="966"/>
        <w:spacing w:after="0"/>
        <w:tabs>
          <w:tab w:leader="none" w:pos="146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Other Compensation and Benefits</w:t>
      </w:r>
      <w:r>
        <w:rPr>
          <w:rFonts w:ascii="Arial" w:cs="Arial" w:eastAsia="Arial" w:hAnsi="Arial"/>
          <w:sz w:val="22"/>
          <w:szCs w:val="22"/>
          <w:color w:val="auto"/>
        </w:rPr>
        <w:t>. During the Employment Term:</w:t>
      </w:r>
    </w:p>
    <w:p>
      <w:pPr>
        <w:spacing w:after="0" w:line="22" w:lineRule="exact"/>
        <w:rPr>
          <w:sz w:val="20"/>
          <w:szCs w:val="20"/>
          <w:color w:val="auto"/>
        </w:rPr>
      </w:pPr>
    </w:p>
    <w:p>
      <w:pPr>
        <w:ind w:left="660" w:right="20" w:hanging="652"/>
        <w:spacing w:after="0" w:line="24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Employee shall be eligible to receive standard medical and other insurance coverage (for Employee and any covered dependents) provided by the Company to employees generally;</w:t>
      </w:r>
    </w:p>
    <w:p>
      <w:pPr>
        <w:jc w:val="both"/>
        <w:ind w:left="660" w:hanging="652"/>
        <w:spacing w:after="0" w:line="245"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Employee shall be eligible to receive an annual incentive bonus opportunity under the Company's annual incentive plan for each calendar year included in the Employment Term during which Employee is an employee of the Company, with such opportunity to be earned based upon</w:t>
      </w:r>
    </w:p>
    <w:p>
      <w:pPr>
        <w:sectPr>
          <w:pgSz w:w="11900" w:h="16838" w:orient="portrait"/>
          <w:cols w:equalWidth="0" w:num="1">
            <w:col w:w="11420"/>
          </w:cols>
          <w:pgMar w:left="240" w:top="585" w:right="239" w:bottom="1440" w:gutter="0" w:footer="0" w:header="0"/>
        </w:sectPr>
      </w:pPr>
    </w:p>
    <w:bookmarkStart w:id="50" w:name="page51"/>
    <w:bookmarkEnd w:id="50"/>
    <w:p>
      <w:pPr>
        <w:jc w:val="both"/>
        <w:ind w:left="652"/>
        <w:spacing w:after="0" w:line="263" w:lineRule="auto"/>
        <w:rPr>
          <w:sz w:val="20"/>
          <w:szCs w:val="20"/>
          <w:color w:val="auto"/>
        </w:rPr>
      </w:pPr>
      <w:r>
        <w:rPr>
          <w:rFonts w:ascii="Arial" w:cs="Arial" w:eastAsia="Arial" w:hAnsi="Arial"/>
          <w:sz w:val="20"/>
          <w:szCs w:val="20"/>
          <w:color w:val="auto"/>
        </w:rPr>
        <w:t>attainment of performance objectives established by the Company ("Annual Bonus"). Employee's target Annual Bonus shall be 100% of Employee's then current Annual Base Salary, with a maximum of up to two times target (collectively, the target and maximum Annual Bonus are referred to as the "Annual Bonus Opportunity"). Employee's Annual Bonus Opportunity may be periodically reviewed and increased by the Company, but may not be decreased without Employee's express written consent. If owed pursuant to the terms of the plan, the Annual Bonus shall be paid no later than the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first following the calendar year to which the Annual Bonus relates. Unless provided otherwise herein, no Annual Bonus shall be paid to Employee unless Employee is employed by the Company, or an affiliate thereof, on the last day of the measurement period; provided, however, that the Employee shall remain eligible to earn a pro-rata Annual Bonus payment with the proration based on Employee’s period of employment with the Company during the final year of the Employment Term, if the Employment Term expires due to the Company’s provision of a notice of non-renewal pursuant to Section 3 hereof and Employee’s employment terminates (other than due to a termination by the Company that would have constituted a termination for Cause under this Agreement) on or after the last day of the term of this Agreement, but prior to the end of the calendar year in which the Employment Term ends; and</w:t>
      </w:r>
    </w:p>
    <w:p>
      <w:pPr>
        <w:spacing w:after="0" w:line="2" w:lineRule="exact"/>
        <w:rPr>
          <w:sz w:val="20"/>
          <w:szCs w:val="20"/>
          <w:color w:val="auto"/>
        </w:rPr>
      </w:pPr>
    </w:p>
    <w:p>
      <w:pPr>
        <w:jc w:val="both"/>
        <w:ind w:left="652" w:hanging="652"/>
        <w:spacing w:after="0" w:line="292" w:lineRule="auto"/>
        <w:tabs>
          <w:tab w:leader="none" w:pos="65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Equity Participation</w:t>
      </w:r>
      <w:r>
        <w:rPr>
          <w:rFonts w:ascii="Arial" w:cs="Arial" w:eastAsia="Arial" w:hAnsi="Arial"/>
          <w:sz w:val="19"/>
          <w:szCs w:val="19"/>
          <w:color w:val="auto"/>
        </w:rPr>
        <w:t>. Employee shall be eligible to participate in the Company’s equity incentive plans. As an inducement for and in consideration of Employee signing this Agreement, the Company agrees to provide Employee with a one-time special $100,000 restricted stock grant. The number of shares would be based on the Company’s closing stock price on day following Employee’s return of this signed Agreement to the General Counsel. The restricted shares will vest in three equal annual installments, provided that Employee remains employed with the Company.</w:t>
      </w:r>
    </w:p>
    <w:p>
      <w:pPr>
        <w:spacing w:after="0" w:line="192" w:lineRule="exact"/>
        <w:rPr>
          <w:rFonts w:ascii="Arial" w:cs="Arial" w:eastAsia="Arial" w:hAnsi="Arial"/>
          <w:sz w:val="19"/>
          <w:szCs w:val="19"/>
          <w:color w:val="auto"/>
        </w:rPr>
      </w:pPr>
    </w:p>
    <w:p>
      <w:pPr>
        <w:jc w:val="both"/>
        <w:ind w:left="-8" w:firstLine="494"/>
        <w:spacing w:after="0" w:line="297" w:lineRule="auto"/>
        <w:tabs>
          <w:tab w:leader="none" w:pos="1451"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Compensation Policies.</w:t>
      </w:r>
      <w:r>
        <w:rPr>
          <w:rFonts w:ascii="Arial" w:cs="Arial" w:eastAsia="Arial" w:hAnsi="Arial"/>
          <w:sz w:val="19"/>
          <w:szCs w:val="19"/>
          <w:color w:val="auto"/>
        </w:rPr>
        <w:t xml:space="preserve"> The Company has adopted certain compensation related policies that apply to Employee. Employee acknowledges and agrees Employee is (a) subject to any applicable claw back, recoupment or similar policy that the Company may adopt and/or amend from time to time and (b) expected to maintain an ownership level in the Company stock of at least two (2) times his or her annual base salary and that Employee has read and understands the Company’s policies regarding insider trading and prohibiting the hedging and pledging of the Company stock.</w:t>
      </w:r>
    </w:p>
    <w:p>
      <w:pPr>
        <w:spacing w:after="0" w:line="187" w:lineRule="exact"/>
        <w:rPr>
          <w:rFonts w:ascii="Arial" w:cs="Arial" w:eastAsia="Arial" w:hAnsi="Arial"/>
          <w:sz w:val="19"/>
          <w:szCs w:val="19"/>
          <w:color w:val="auto"/>
        </w:rPr>
      </w:pPr>
    </w:p>
    <w:p>
      <w:pPr>
        <w:jc w:val="both"/>
        <w:ind w:left="-8" w:firstLine="494"/>
        <w:spacing w:after="0" w:line="253" w:lineRule="auto"/>
        <w:tabs>
          <w:tab w:leader="none" w:pos="1451"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Employee shall be entitled to paid vacation plus Company recognized holidays in accordance with the Company’s vacation policy, as may be amended from time to time.</w:t>
      </w:r>
    </w:p>
    <w:p>
      <w:pPr>
        <w:spacing w:after="0" w:line="226" w:lineRule="exact"/>
        <w:rPr>
          <w:rFonts w:ascii="Arial" w:cs="Arial" w:eastAsia="Arial" w:hAnsi="Arial"/>
          <w:sz w:val="22"/>
          <w:szCs w:val="22"/>
          <w:color w:val="auto"/>
        </w:rPr>
      </w:pPr>
    </w:p>
    <w:p>
      <w:pPr>
        <w:jc w:val="both"/>
        <w:ind w:left="-8" w:firstLine="494"/>
        <w:spacing w:after="0" w:line="292" w:lineRule="auto"/>
        <w:tabs>
          <w:tab w:leader="none" w:pos="1451"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Expense Reimbursement</w:t>
      </w:r>
      <w:r>
        <w:rPr>
          <w:rFonts w:ascii="Arial" w:cs="Arial" w:eastAsia="Arial" w:hAnsi="Arial"/>
          <w:sz w:val="19"/>
          <w:szCs w:val="19"/>
          <w:color w:val="auto"/>
        </w:rPr>
        <w:t>. In addition to the compensation and benefits provided herein, the Company shall, upon receipt of appropriate documentation, reimburse Employee each month for reasonable travel, lodging, entertainment, promotion and other ordinary and necessary business expenses incurred during the Employment Term to the extent such reimbursement is permitted under the Company's expense reimbursement policy. The Company shall be entitled to deduct from Employee’s salary or other payment due to Employee (other than any amount constituting deferred compensation within the meaning of Treasury Regulation Section 1.409A-1(b)) any money the Employee owes to the Company, including any expenses wrongfully reimbursed as business expenses in an amount equal to that total value of such wrongfully reimbursed expenses.</w:t>
      </w:r>
    </w:p>
    <w:p>
      <w:pPr>
        <w:spacing w:after="0" w:line="192" w:lineRule="exact"/>
        <w:rPr>
          <w:rFonts w:ascii="Arial" w:cs="Arial" w:eastAsia="Arial" w:hAnsi="Arial"/>
          <w:sz w:val="19"/>
          <w:szCs w:val="19"/>
          <w:color w:val="auto"/>
        </w:rPr>
      </w:pPr>
    </w:p>
    <w:p>
      <w:pPr>
        <w:jc w:val="both"/>
        <w:ind w:left="-8" w:firstLine="494"/>
        <w:spacing w:after="0" w:line="271" w:lineRule="auto"/>
        <w:tabs>
          <w:tab w:leader="none" w:pos="1451"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The Company or Employee may terminate Employee's employment at any time and for any reason in accordance with Subsection (a) below. The Employment Term shall be deemed to have ended on the last day of Employee's employment. The Employment Term shall terminate automatically upon Employee's death.</w:t>
      </w:r>
    </w:p>
    <w:p>
      <w:pPr>
        <w:sectPr>
          <w:pgSz w:w="11900" w:h="16838" w:orient="portrait"/>
          <w:cols w:equalWidth="0" w:num="1">
            <w:col w:w="11412"/>
          </w:cols>
          <w:pgMar w:left="248" w:top="591" w:right="239" w:bottom="1440" w:gutter="0" w:footer="0" w:header="0"/>
        </w:sectPr>
      </w:pPr>
    </w:p>
    <w:bookmarkStart w:id="51" w:name="page52"/>
    <w:bookmarkEnd w:id="51"/>
    <w:p>
      <w:pPr>
        <w:jc w:val="both"/>
        <w:ind w:left="660" w:hanging="652"/>
        <w:spacing w:after="0" w:line="245"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the Company shall specify whether the termination is with or without Cause or due to Employee's Disability. A Notice of Termination from Employee shall specify whether the termination is with or without Good Reason.</w:t>
      </w:r>
    </w:p>
    <w:p>
      <w:pPr>
        <w:spacing w:after="0" w:line="4" w:lineRule="exact"/>
        <w:rPr>
          <w:rFonts w:ascii="Arial" w:cs="Arial" w:eastAsia="Arial" w:hAnsi="Arial"/>
          <w:sz w:val="22"/>
          <w:szCs w:val="22"/>
          <w:color w:val="auto"/>
        </w:rPr>
      </w:pPr>
    </w:p>
    <w:p>
      <w:pPr>
        <w:jc w:val="both"/>
        <w:ind w:left="660" w:hanging="652"/>
        <w:spacing w:after="0" w:line="245" w:lineRule="auto"/>
        <w:tabs>
          <w:tab w:leader="none" w:pos="66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"Date of Termination" shall mean the date specified in the Notice of Termination (but in the case of Employee’s initiated termination in no event shall the Date of Termination be earlier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the Notice of Termination is given unless otherwise agreed to by the Company and Employee) or the date of Employee's death. If the Company disagrees with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jc w:val="both"/>
        <w:ind w:left="660" w:hanging="652"/>
        <w:spacing w:after="0" w:line="281"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2" w:lineRule="exact"/>
        <w:rPr>
          <w:rFonts w:ascii="Arial" w:cs="Arial" w:eastAsia="Arial" w:hAnsi="Arial"/>
          <w:sz w:val="19"/>
          <w:szCs w:val="19"/>
          <w:color w:val="auto"/>
        </w:rPr>
      </w:pPr>
    </w:p>
    <w:p>
      <w:pPr>
        <w:jc w:val="both"/>
        <w:ind w:left="660" w:hanging="652"/>
        <w:spacing w:after="0" w:line="255" w:lineRule="auto"/>
        <w:tabs>
          <w:tab w:leader="none" w:pos="66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a termination for "Cause" means a termination by the Company based upon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or moral turpitude; (iv) material breach of this Agreement; (v) material breach of the Company's and/or its affiliates’ business policies, accounting practices or standards of ethics; (vi) material breach of any applicable non-competition, non-solicitation, trade secrets, confidentiality or similar restrictive covenant, or (viii) failure to materially cooperate with or impeding an investigation authorized by the Board of Directors of the Company or FNF.</w:t>
      </w:r>
    </w:p>
    <w:p>
      <w:pPr>
        <w:jc w:val="both"/>
        <w:ind w:left="660" w:hanging="652"/>
        <w:spacing w:after="0" w:line="24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Employee shall be deemed to have a "Disability" if Employee is entitled to long-term disability benefits under the Company's long-term disability plan or policy (or, if Employee is not a participant in such plan or policy, if Employee would be entitled to long-term disability benefits thereunder if Employee were a participant), as the case may be, as in effect on the Date of Termination.</w:t>
      </w:r>
    </w:p>
    <w:p>
      <w:pPr>
        <w:spacing w:after="0" w:line="1" w:lineRule="exact"/>
        <w:rPr>
          <w:rFonts w:ascii="Arial" w:cs="Arial" w:eastAsia="Arial" w:hAnsi="Arial"/>
          <w:sz w:val="22"/>
          <w:szCs w:val="22"/>
          <w:color w:val="auto"/>
        </w:rPr>
      </w:pPr>
    </w:p>
    <w:p>
      <w:pPr>
        <w:ind w:left="660" w:hanging="652"/>
        <w:spacing w:after="0" w:line="24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Agreement, a termination for "Good Reason" means a termination by Employee based upon the occurrence (without Employee's express written consent) of any of the following:</w:t>
      </w: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material diminution in Employee's title, Annual Base Salary or Annual Bonus Opportunity; or</w:t>
      </w:r>
    </w:p>
    <w:p>
      <w:pPr>
        <w:spacing w:after="0" w:line="3"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 uncured material breach by the Company of any of its obligations under this Agreement.</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w:t>
      </w:r>
    </w:p>
    <w:p>
      <w:pPr>
        <w:sectPr>
          <w:pgSz w:w="11900" w:h="16838" w:orient="portrait"/>
          <w:cols w:equalWidth="0" w:num="1">
            <w:col w:w="11420"/>
          </w:cols>
          <w:pgMar w:left="240" w:top="591" w:right="2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2"/>
          <w:szCs w:val="22"/>
          <w:color w:val="auto"/>
        </w:rPr>
        <w:t>above shall constitute Good Reason unless: (1) Employee gives Notice of Termination to the Company specifying the condition or event relied upon for such termination within ninety (90) days of the initial existence of such event and (2) the Company fails to cure the condition or event constituting Good Reason within thirty (30) days following receipt of Employee's Notice of Termination.</w:t>
      </w:r>
    </w:p>
    <w:p>
      <w:pPr>
        <w:spacing w:after="0" w:line="188" w:lineRule="exact"/>
        <w:rPr>
          <w:sz w:val="20"/>
          <w:szCs w:val="20"/>
          <w:color w:val="auto"/>
        </w:rPr>
      </w:pPr>
    </w:p>
    <w:p>
      <w:pPr>
        <w:ind w:left="1560" w:hanging="836"/>
        <w:spacing w:after="0"/>
        <w:tabs>
          <w:tab w:leader="none" w:pos="156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hanging="652"/>
        <w:spacing w:after="0" w:line="249"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a Reason Other than Cause, Death or Disability and Termination by Employee for Good Reason</w:t>
      </w:r>
      <w:r>
        <w:rPr>
          <w:rFonts w:ascii="Arial" w:cs="Arial" w:eastAsia="Arial" w:hAnsi="Arial"/>
          <w:sz w:val="22"/>
          <w:szCs w:val="22"/>
          <w:color w:val="auto"/>
        </w:rPr>
        <w:t>. If Employee's employment is terminated during the Employment Term by: (1) the Company for any reason other than Cause, Death or Disability; or (2) Employee for Good Reason:</w:t>
      </w:r>
    </w:p>
    <w:p>
      <w:pPr>
        <w:jc w:val="both"/>
        <w:ind w:left="1960" w:hanging="655"/>
        <w:spacing w:after="0" w:line="255" w:lineRule="auto"/>
        <w:tabs>
          <w:tab w:leader="none" w:pos="1960" w:val="left"/>
        </w:tabs>
        <w:numPr>
          <w:ilvl w:val="2"/>
          <w:numId w:val="28"/>
        </w:numPr>
        <w:rPr>
          <w:rFonts w:ascii="Arial" w:cs="Arial" w:eastAsia="Arial" w:hAnsi="Arial"/>
          <w:sz w:val="21"/>
          <w:szCs w:val="21"/>
          <w:color w:val="auto"/>
        </w:rPr>
      </w:pPr>
      <w:r>
        <w:rPr>
          <w:rFonts w:ascii="Arial" w:cs="Arial" w:eastAsia="Arial" w:hAnsi="Arial"/>
          <w:sz w:val="21"/>
          <w:szCs w:val="21"/>
          <w:color w:val="auto"/>
        </w:rPr>
        <w:t>the Company shall pay Employee the following (collectively, the "Accrued Obligations"): (A) within five (5) business days after the Date of Termination, any earned but unpaid Annual Base Salary; (B) within a reasonable time following submission of all applicable documentation (subject to Section 27(b)), any expense reimbursement payments owed to Employee for expenses incurred prior to the Date of Termination; and (C) no later than March 15th of the year in which the Date of Termination occurs, any earned but unpaid Annual Bonus payments relating to the prior calendar year;</w:t>
      </w:r>
    </w:p>
    <w:p>
      <w:pPr>
        <w:jc w:val="both"/>
        <w:ind w:left="1960" w:hanging="655"/>
        <w:spacing w:after="0" w:line="234" w:lineRule="auto"/>
        <w:tabs>
          <w:tab w:leader="none" w:pos="19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Company shall pay Employee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2" w:lineRule="exact"/>
        <w:rPr>
          <w:rFonts w:ascii="Arial" w:cs="Arial" w:eastAsia="Arial" w:hAnsi="Arial"/>
          <w:sz w:val="22"/>
          <w:szCs w:val="22"/>
          <w:color w:val="auto"/>
        </w:rPr>
      </w:pPr>
    </w:p>
    <w:p>
      <w:pPr>
        <w:jc w:val="both"/>
        <w:ind w:left="1960" w:hanging="655"/>
        <w:spacing w:after="0" w:line="281" w:lineRule="auto"/>
        <w:tabs>
          <w:tab w:leader="none" w:pos="1960" w:val="left"/>
        </w:tabs>
        <w:numPr>
          <w:ilvl w:val="2"/>
          <w:numId w:val="28"/>
        </w:numPr>
        <w:rPr>
          <w:rFonts w:ascii="Arial" w:cs="Arial" w:eastAsia="Arial" w:hAnsi="Arial"/>
          <w:sz w:val="19"/>
          <w:szCs w:val="19"/>
          <w:color w:val="auto"/>
        </w:rPr>
      </w:pPr>
      <w:r>
        <w:rPr>
          <w:rFonts w:ascii="Arial" w:cs="Arial" w:eastAsia="Arial" w:hAnsi="Arial"/>
          <w:sz w:val="19"/>
          <w:szCs w:val="19"/>
          <w:color w:val="auto"/>
        </w:rPr>
        <w:t>Subject to Section 27(b) hereof, the Company shall pay Employee as soon as practicable, but not later than the sixty-fifth (65th) day after the Date of Termination, a lump-sum payment equal to 100% of Employee's</w:t>
      </w:r>
    </w:p>
    <w:p>
      <w:pPr>
        <w:spacing w:after="0" w:line="1" w:lineRule="exact"/>
        <w:rPr>
          <w:rFonts w:ascii="Arial" w:cs="Arial" w:eastAsia="Arial" w:hAnsi="Arial"/>
          <w:sz w:val="19"/>
          <w:szCs w:val="19"/>
          <w:color w:val="auto"/>
        </w:rPr>
      </w:pPr>
    </w:p>
    <w:p>
      <w:pPr>
        <w:jc w:val="both"/>
        <w:ind w:left="1960"/>
        <w:spacing w:after="0" w:line="243" w:lineRule="auto"/>
        <w:rPr>
          <w:rFonts w:ascii="Arial" w:cs="Arial" w:eastAsia="Arial" w:hAnsi="Arial"/>
          <w:sz w:val="19"/>
          <w:szCs w:val="19"/>
          <w:color w:val="auto"/>
        </w:rPr>
      </w:pPr>
      <w:r>
        <w:rPr>
          <w:rFonts w:ascii="Arial" w:cs="Arial" w:eastAsia="Arial" w:hAnsi="Arial"/>
          <w:sz w:val="22"/>
          <w:szCs w:val="22"/>
          <w:color w:val="auto"/>
        </w:rPr>
        <w:t>(A) Annual Base Salary in effect immediately prior to the Date of Termination (disregarding any reduction in Annual Base Salary to which Employee did not expressly consent in writing) and (B) target Annual Bonus in the year in which the Date of Termination occurs;</w:t>
      </w:r>
    </w:p>
    <w:p>
      <w:pPr>
        <w:spacing w:after="0" w:line="1" w:lineRule="exact"/>
        <w:rPr>
          <w:rFonts w:ascii="Arial" w:cs="Arial" w:eastAsia="Arial" w:hAnsi="Arial"/>
          <w:sz w:val="19"/>
          <w:szCs w:val="19"/>
          <w:color w:val="auto"/>
        </w:rPr>
      </w:pPr>
    </w:p>
    <w:p>
      <w:pPr>
        <w:jc w:val="both"/>
        <w:ind w:left="1960" w:hanging="655"/>
        <w:spacing w:after="0" w:line="281" w:lineRule="auto"/>
        <w:tabs>
          <w:tab w:leader="none" w:pos="1960" w:val="left"/>
        </w:tabs>
        <w:numPr>
          <w:ilvl w:val="2"/>
          <w:numId w:val="28"/>
        </w:numPr>
        <w:rPr>
          <w:rFonts w:ascii="Arial" w:cs="Arial" w:eastAsia="Arial" w:hAnsi="Arial"/>
          <w:sz w:val="19"/>
          <w:szCs w:val="19"/>
          <w:color w:val="auto"/>
        </w:rPr>
      </w:pPr>
      <w:r>
        <w:rPr>
          <w:rFonts w:ascii="Arial" w:cs="Arial" w:eastAsia="Arial" w:hAnsi="Arial"/>
          <w:sz w:val="19"/>
          <w:szCs w:val="19"/>
          <w:color w:val="auto"/>
        </w:rPr>
        <w:t>Subject to Section 27(b) hereof, all stock option, restricted stock and other equity-based incentive awards granted by Company that were outstanding but not vested as of the Date of Termination shall become immediately vested and/or payable, as the case may be, unless the equity incentive awards are based upon satisfaction of performance criteria; in which case, they will only vest pursuant to their express terms;</w:t>
      </w:r>
    </w:p>
    <w:p>
      <w:pPr>
        <w:spacing w:after="0" w:line="3" w:lineRule="exact"/>
        <w:rPr>
          <w:rFonts w:ascii="Arial" w:cs="Arial" w:eastAsia="Arial" w:hAnsi="Arial"/>
          <w:sz w:val="19"/>
          <w:szCs w:val="19"/>
          <w:color w:val="auto"/>
        </w:rPr>
      </w:pPr>
    </w:p>
    <w:p>
      <w:pPr>
        <w:jc w:val="both"/>
        <w:ind w:left="1960" w:hanging="655"/>
        <w:spacing w:after="0" w:line="256" w:lineRule="auto"/>
        <w:tabs>
          <w:tab w:leader="none" w:pos="1960" w:val="left"/>
        </w:tabs>
        <w:numPr>
          <w:ilvl w:val="2"/>
          <w:numId w:val="28"/>
        </w:numPr>
        <w:rPr>
          <w:rFonts w:ascii="Arial" w:cs="Arial" w:eastAsia="Arial" w:hAnsi="Arial"/>
          <w:sz w:val="21"/>
          <w:szCs w:val="21"/>
          <w:color w:val="auto"/>
        </w:rPr>
      </w:pPr>
      <w:r>
        <w:rPr>
          <w:rFonts w:ascii="Arial" w:cs="Arial" w:eastAsia="Arial" w:hAnsi="Arial"/>
          <w:sz w:val="21"/>
          <w:szCs w:val="21"/>
          <w:color w:val="auto"/>
        </w:rPr>
        <w:t>Subject to Section 27(b) hereof, any life insurance coverage provided by the Company shall terminate at the same time as life insurance coverage would normally terminate for any other employee that terminates employment with the Company, and, if permitted by the terms of the policy and applicable law, Employee shall have the right to convert that life insurance coverage to an individual policy under the regular rules of the Company's group policy. As soon as practicable, but not later than the sixty-fifth (65th) day after the Date of Termination, the Company shall pay Employee a lump sum cash payment equal to eighteen monthly life insurance premiums based on the monthly premiums that would be due assuming that Employee had converted the Company's life insurance coverage that was in effect on the Notice of Termination into an individual policy; and</w:t>
      </w:r>
    </w:p>
    <w:p>
      <w:pPr>
        <w:sectPr>
          <w:pgSz w:w="11900" w:h="16838" w:orient="portrait"/>
          <w:cols w:equalWidth="0" w:num="1">
            <w:col w:w="11420"/>
          </w:cols>
          <w:pgMar w:left="240" w:top="591" w:right="239" w:bottom="1440" w:gutter="0" w:footer="0" w:header="0"/>
        </w:sectPr>
      </w:pPr>
    </w:p>
    <w:bookmarkStart w:id="53" w:name="page54"/>
    <w:bookmarkEnd w:id="53"/>
    <w:p>
      <w:pPr>
        <w:jc w:val="both"/>
        <w:ind w:left="1304" w:hanging="655"/>
        <w:spacing w:after="0" w:line="288" w:lineRule="auto"/>
        <w:tabs>
          <w:tab w:leader="none" w:pos="1304" w:val="left"/>
        </w:tabs>
        <w:numPr>
          <w:ilvl w:val="2"/>
          <w:numId w:val="29"/>
        </w:numPr>
        <w:rPr>
          <w:rFonts w:ascii="Arial" w:cs="Arial" w:eastAsia="Arial" w:hAnsi="Arial"/>
          <w:sz w:val="19"/>
          <w:szCs w:val="19"/>
          <w:color w:val="auto"/>
        </w:rPr>
      </w:pPr>
      <w:r>
        <w:rPr>
          <w:rFonts w:ascii="Arial" w:cs="Arial" w:eastAsia="Arial" w:hAnsi="Arial"/>
          <w:sz w:val="19"/>
          <w:szCs w:val="19"/>
          <w:color w:val="auto"/>
        </w:rPr>
        <w:t>As long as Employee pays the full monthly premiums for COBRA coverage, the Company shall provide Employee and, as applicable, Employee's eligible dependents with continued medical and dental coverage, on the same basis as provided to the Company's active employees and their dependents until the earlier of:</w:t>
      </w:r>
    </w:p>
    <w:p>
      <w:pPr>
        <w:spacing w:after="0" w:line="1" w:lineRule="exact"/>
        <w:rPr>
          <w:rFonts w:ascii="Arial" w:cs="Arial" w:eastAsia="Arial" w:hAnsi="Arial"/>
          <w:sz w:val="19"/>
          <w:szCs w:val="19"/>
          <w:color w:val="auto"/>
        </w:rPr>
      </w:pPr>
    </w:p>
    <w:p>
      <w:pPr>
        <w:jc w:val="both"/>
        <w:ind w:left="1304"/>
        <w:spacing w:after="0" w:line="281" w:lineRule="auto"/>
        <w:rPr>
          <w:rFonts w:ascii="Arial" w:cs="Arial" w:eastAsia="Arial" w:hAnsi="Arial"/>
          <w:sz w:val="19"/>
          <w:szCs w:val="19"/>
          <w:color w:val="auto"/>
        </w:rPr>
      </w:pPr>
      <w:r>
        <w:rPr>
          <w:rFonts w:ascii="Arial" w:cs="Arial" w:eastAsia="Arial" w:hAnsi="Arial"/>
          <w:sz w:val="19"/>
          <w:szCs w:val="19"/>
          <w:color w:val="auto"/>
        </w:rPr>
        <w:t>(A) eighteen months after the Date of Termination (or such shorter time period as permitted under applicable law existing as of the Date of Termination or so that the Company would not be required to pay any excise tax); or (B) the date Employee is first eligible for medical and dental coverage (without pre-existing condition limitations) with a subsequent employer. In addition, as soon as practicable, but not later than the sixty-fifth (65th) day after the Date of Termination, the Company shall pay Employee a lump sum cash payment equal to eighteen monthly medical and dental COBRA premiums based on the level of coverage in effect for the Employee (e.g., employee only or family coverage) on the Date of Termination.</w:t>
      </w:r>
    </w:p>
    <w:p>
      <w:pPr>
        <w:spacing w:after="0" w:line="5" w:lineRule="exact"/>
        <w:rPr>
          <w:rFonts w:ascii="Arial" w:cs="Arial" w:eastAsia="Arial" w:hAnsi="Arial"/>
          <w:sz w:val="19"/>
          <w:szCs w:val="19"/>
          <w:color w:val="auto"/>
        </w:rPr>
      </w:pPr>
    </w:p>
    <w:p>
      <w:pPr>
        <w:jc w:val="both"/>
        <w:ind w:left="644" w:hanging="644"/>
        <w:spacing w:after="0" w:line="262" w:lineRule="auto"/>
        <w:tabs>
          <w:tab w:leader="none" w:pos="644"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 and by Employee without Good Reason</w:t>
      </w:r>
      <w:r>
        <w:rPr>
          <w:rFonts w:ascii="Arial" w:cs="Arial" w:eastAsia="Arial" w:hAnsi="Arial"/>
          <w:sz w:val="21"/>
          <w:szCs w:val="21"/>
          <w:color w:val="auto"/>
        </w:rPr>
        <w:t>. If Employee's employment is terminated during the Employment Term by the Company for Cause or by Employee without Good Reason, the Company's only obligation under this Agreement shall be payment of any Accrued Obligations.</w:t>
      </w:r>
    </w:p>
    <w:p>
      <w:pPr>
        <w:spacing w:after="0" w:line="177" w:lineRule="exact"/>
        <w:rPr>
          <w:rFonts w:ascii="Arial" w:cs="Arial" w:eastAsia="Arial" w:hAnsi="Arial"/>
          <w:sz w:val="21"/>
          <w:szCs w:val="21"/>
          <w:color w:val="auto"/>
        </w:rPr>
      </w:pPr>
    </w:p>
    <w:p>
      <w:pPr>
        <w:jc w:val="both"/>
        <w:ind w:left="644" w:hanging="644"/>
        <w:spacing w:after="0" w:line="260" w:lineRule="auto"/>
        <w:tabs>
          <w:tab w:leader="none" w:pos="644"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Employee's employment is terminated during the Employment Term due to death or by the Company due to Employee’s Disability, the Company shall pay Employee (or to Employee's estate or personal representative in the case of death), as soon as practicable, but not later than the sixty-fifth (65th) day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221" w:lineRule="exact"/>
        <w:rPr>
          <w:rFonts w:ascii="Arial" w:cs="Arial" w:eastAsia="Arial" w:hAnsi="Arial"/>
          <w:sz w:val="21"/>
          <w:szCs w:val="21"/>
          <w:color w:val="auto"/>
        </w:rPr>
      </w:pPr>
    </w:p>
    <w:p>
      <w:pPr>
        <w:jc w:val="both"/>
        <w:ind w:left="-656" w:firstLine="724"/>
        <w:spacing w:after="0" w:line="253" w:lineRule="auto"/>
        <w:tabs>
          <w:tab w:leader="none" w:pos="889"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Non-Delegation of Employee's Rights</w:t>
      </w:r>
      <w:r>
        <w:rPr>
          <w:rFonts w:ascii="Arial" w:cs="Arial" w:eastAsia="Arial" w:hAnsi="Arial"/>
          <w:sz w:val="22"/>
          <w:szCs w:val="22"/>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226" w:lineRule="exact"/>
        <w:rPr>
          <w:rFonts w:ascii="Arial" w:cs="Arial" w:eastAsia="Arial" w:hAnsi="Arial"/>
          <w:sz w:val="22"/>
          <w:szCs w:val="22"/>
          <w:color w:val="auto"/>
        </w:rPr>
      </w:pPr>
    </w:p>
    <w:p>
      <w:pPr>
        <w:jc w:val="both"/>
        <w:ind w:left="-656" w:firstLine="724"/>
        <w:spacing w:after="0" w:line="286" w:lineRule="auto"/>
        <w:tabs>
          <w:tab w:leader="none" w:pos="897"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Employee will occupy a position of trust and confidence and will have access to and learn substantial information about the Company and its affiliates and their respective operations that is confidential or not generally known in the industry including, without limitation, information that relates to purchasing, sales, customers, marketing, and the financial positions and financing arrangements of the Company and its affiliates. Employee agrees that all such information is proprietary or confidential, or constitutes trade secrets and is the sole property of the Company and/or its affiliates, as the case may be. Employee will keep confidential and, outside of the scope of Employee's duties and responsibilities with the Company and its affiliates,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Employee advise, discuss with or in any way assist any other person, firm or entity in obtaining or learning about any of the items described in this section. Accordingly, during the Employment Term and at all times thereafter Employee will not disclose, or permit or encourage anyone else to disclose, any such information, nor will Employee utilize any such information, either alone or with others, outside the scope of Employee's duties and responsibilities with the Company and its affiliates.</w:t>
      </w:r>
    </w:p>
    <w:p>
      <w:pPr>
        <w:sectPr>
          <w:pgSz w:w="11900" w:h="16838" w:orient="portrait"/>
          <w:cols w:equalWidth="0" w:num="1">
            <w:col w:w="10764"/>
          </w:cols>
          <w:pgMar w:left="896" w:top="591" w:right="239" w:bottom="1440" w:gutter="0" w:footer="0" w:header="0"/>
        </w:sectPr>
      </w:pPr>
    </w:p>
    <w:bookmarkStart w:id="54" w:name="page55"/>
    <w:bookmarkEnd w:id="54"/>
    <w:p>
      <w:pPr>
        <w:ind w:left="1552" w:hanging="836"/>
        <w:spacing w:after="0"/>
        <w:tabs>
          <w:tab w:leader="none" w:pos="1552" w:val="left"/>
        </w:tabs>
        <w:numPr>
          <w:ilvl w:val="2"/>
          <w:numId w:val="31"/>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32" w:hanging="632"/>
        <w:spacing w:after="0" w:line="284" w:lineRule="auto"/>
        <w:tabs>
          <w:tab w:leader="none" w:pos="63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During Employment Term</w:t>
      </w:r>
      <w:r>
        <w:rPr>
          <w:rFonts w:ascii="Arial" w:cs="Arial" w:eastAsia="Arial" w:hAnsi="Arial"/>
          <w:sz w:val="19"/>
          <w:szCs w:val="19"/>
          <w:color w:val="auto"/>
        </w:rPr>
        <w:t>. During the Employment Term Employee will devote such business time, attention and energies reasonably necessary to the diligent and faithful performance of the services to the Company and its affiliates, and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as from time to time constituted. In addition, during the Employment Term, Employee will undertake no planning for or organization of any business activity competitive with the work performed as an employee of the Company, and Employee will not combine or conspire with any other employee of the Company or any other person for the purpose of organizing any such competitive business activity.</w:t>
      </w:r>
    </w:p>
    <w:p>
      <w:pPr>
        <w:jc w:val="both"/>
        <w:ind w:left="652" w:hanging="652"/>
        <w:spacing w:after="0" w:line="281" w:lineRule="auto"/>
        <w:tabs>
          <w:tab w:leader="none" w:pos="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After Employment Term</w:t>
      </w:r>
      <w:r>
        <w:rPr>
          <w:rFonts w:ascii="Arial" w:cs="Arial" w:eastAsia="Arial" w:hAnsi="Arial"/>
          <w:sz w:val="19"/>
          <w:szCs w:val="19"/>
          <w:color w:val="auto"/>
        </w:rPr>
        <w:t>. The parties acknowledge that Employee will acquire substantial knowledge and information concerning the business of the Company and its affiliates as a result of employment. The parties further acknowledge that the scope of business in which the Company and its affiliates are engaged as of the Effective Date is national and very competitive and one in which few companies can successfully compete. Competition by Employee in that business after the Employment Term would severely injure the Company and its affiliates. Accordingly, for a period of one (1) year after Employee's employment terminates for any reason whatsoever, Employee agrees not to: (1) become an employee, consultant, agent, advisor, principal, partner or substantial shareholder of any firm or business that directly competes with the Company or its affiliates in their principal products and markets in the United States as from time to time constituted;</w:t>
      </w:r>
    </w:p>
    <w:p>
      <w:pPr>
        <w:spacing w:after="0" w:line="6" w:lineRule="exact"/>
        <w:rPr>
          <w:rFonts w:ascii="Arial" w:cs="Arial" w:eastAsia="Arial" w:hAnsi="Arial"/>
          <w:sz w:val="19"/>
          <w:szCs w:val="19"/>
          <w:color w:val="auto"/>
        </w:rPr>
      </w:pPr>
    </w:p>
    <w:p>
      <w:pPr>
        <w:jc w:val="both"/>
        <w:ind w:left="652"/>
        <w:spacing w:after="0" w:line="243" w:lineRule="auto"/>
        <w:rPr>
          <w:rFonts w:ascii="Arial" w:cs="Arial" w:eastAsia="Arial" w:hAnsi="Arial"/>
          <w:sz w:val="19"/>
          <w:szCs w:val="19"/>
          <w:color w:val="auto"/>
        </w:rPr>
      </w:pPr>
      <w:r>
        <w:rPr>
          <w:rFonts w:ascii="Arial" w:cs="Arial" w:eastAsia="Arial" w:hAnsi="Arial"/>
          <w:sz w:val="22"/>
          <w:szCs w:val="22"/>
          <w:color w:val="auto"/>
        </w:rPr>
        <w:t>(2), directly or indirectly solicit, discuss or encourage, regardless of whoever initiated the solicitation, discussion or encouragement, a customer or agent of the Company to deal with Employee, a competitor of the Company or its affiliates, or any person or entity other than the Company or its affiliates in connection with their principal products or services supplied by the Company and its affiliates and markets in the United States as from time to time constituted; (3) request or advise any customer or agent or prospective customer or agent of the Company or its affiliates to withdraw, curtail, or cease doing business with the Company or its affiliates in the United States; or (4) directly or indirectly employ, solicit for employment, advise or recommend to any other person or entity considered to be a competitor of the Company or its affiliates that it employ or solicit for employment any then-current employee of the Company or its affiliates in the United States.</w:t>
      </w:r>
    </w:p>
    <w:p>
      <w:pPr>
        <w:spacing w:after="0" w:line="4" w:lineRule="exact"/>
        <w:rPr>
          <w:rFonts w:ascii="Arial" w:cs="Arial" w:eastAsia="Arial" w:hAnsi="Arial"/>
          <w:sz w:val="19"/>
          <w:szCs w:val="19"/>
          <w:color w:val="auto"/>
        </w:rPr>
      </w:pPr>
    </w:p>
    <w:p>
      <w:pPr>
        <w:jc w:val="both"/>
        <w:ind w:left="652" w:hanging="652"/>
        <w:spacing w:after="0" w:line="295" w:lineRule="auto"/>
        <w:tabs>
          <w:tab w:leader="none" w:pos="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Notice to Prospective Employers</w:t>
      </w:r>
      <w:r>
        <w:rPr>
          <w:rFonts w:ascii="Arial" w:cs="Arial" w:eastAsia="Arial" w:hAnsi="Arial"/>
          <w:sz w:val="19"/>
          <w:szCs w:val="19"/>
          <w:color w:val="auto"/>
        </w:rPr>
        <w:t>. Employee agrees that, with respect to each prospective employer with which Employee applies or interviews for employment during the term of Employee’s employment with the Company and within one year after the termination of the Employee’s employment with the Company, Employee will inform the prospective employer of the existence of this Agreement and will provide the prospective employer with a copy of this Agreement.</w:t>
      </w:r>
    </w:p>
    <w:p>
      <w:pPr>
        <w:spacing w:after="0" w:line="190" w:lineRule="exact"/>
        <w:rPr>
          <w:rFonts w:ascii="Arial" w:cs="Arial" w:eastAsia="Arial" w:hAnsi="Arial"/>
          <w:sz w:val="19"/>
          <w:szCs w:val="19"/>
          <w:color w:val="auto"/>
        </w:rPr>
      </w:pPr>
    </w:p>
    <w:p>
      <w:pPr>
        <w:jc w:val="both"/>
        <w:ind w:left="-8" w:firstLine="494"/>
        <w:spacing w:after="0" w:line="250" w:lineRule="auto"/>
        <w:tabs>
          <w:tab w:leader="none" w:pos="1559"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Employment Term, Employee shall return immediately to the Company or in the case of electronic records, delete under the Company’s supervision, all records and documents of or pertaining to the Company or its affiliates and shall not make or retain any copy or extract of any such record or document, or any other property of the Company or its affiliates.</w:t>
      </w:r>
    </w:p>
    <w:p>
      <w:pPr>
        <w:spacing w:after="0" w:line="228" w:lineRule="exact"/>
        <w:rPr>
          <w:rFonts w:ascii="Arial" w:cs="Arial" w:eastAsia="Arial" w:hAnsi="Arial"/>
          <w:sz w:val="22"/>
          <w:szCs w:val="22"/>
          <w:color w:val="auto"/>
        </w:rPr>
      </w:pPr>
    </w:p>
    <w:p>
      <w:pPr>
        <w:jc w:val="both"/>
        <w:ind w:left="-8" w:right="20" w:firstLine="494"/>
        <w:spacing w:after="0" w:line="250" w:lineRule="auto"/>
        <w:tabs>
          <w:tab w:leader="none" w:pos="1559"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Improvements and Inventions</w:t>
      </w:r>
      <w:r>
        <w:rPr>
          <w:rFonts w:ascii="Arial" w:cs="Arial" w:eastAsia="Arial" w:hAnsi="Arial"/>
          <w:sz w:val="22"/>
          <w:szCs w:val="22"/>
          <w:color w:val="auto"/>
        </w:rPr>
        <w:t>. Any and all improvements or inventions that Employee may make or participate in during the Employment Term, unless wholly unrelated to the business of the Company and its affiliates and not produced within the scope of Employee's employment hereunder, shall be the sole and exclusive property of the Company. Employee shall, whenever requested by the Company, execute and</w:t>
      </w:r>
    </w:p>
    <w:p>
      <w:pPr>
        <w:sectPr>
          <w:pgSz w:w="11900" w:h="16838" w:orient="portrait"/>
          <w:cols w:equalWidth="0" w:num="1">
            <w:col w:w="11412"/>
          </w:cols>
          <w:pgMar w:left="248" w:top="591" w:right="2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22"/>
          <w:szCs w:val="22"/>
          <w:color w:val="auto"/>
        </w:rPr>
        <w:t>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226" w:lineRule="exact"/>
        <w:rPr>
          <w:sz w:val="20"/>
          <w:szCs w:val="20"/>
          <w:color w:val="auto"/>
        </w:rPr>
      </w:pPr>
    </w:p>
    <w:p>
      <w:pPr>
        <w:jc w:val="both"/>
        <w:ind w:firstLine="494"/>
        <w:spacing w:after="0" w:line="288" w:lineRule="auto"/>
        <w:tabs>
          <w:tab w:leader="none" w:pos="156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Actions and Survival</w:t>
      </w:r>
      <w:r>
        <w:rPr>
          <w:rFonts w:ascii="Arial" w:cs="Arial" w:eastAsia="Arial" w:hAnsi="Arial"/>
          <w:sz w:val="19"/>
          <w:szCs w:val="19"/>
          <w:color w:val="auto"/>
        </w:rPr>
        <w:t>. The parties agree and acknowledge that the rights conveyed by this Agreement are of a unique and special nature and that the Company will not have an adequate remedy at law in the event of a failure by Employee to abide by its terms and conditions, nor will money damages adequately compensate for such injury. Therefore, in the event of a breach of this Agreement by Employee, including, without limitation, under Section 13 hereof, the Company shall have the right, among other rights, to damages sustained thereby and to obtain an injunction or decree of specific performance from a court of competent jurisdiction to restrain or compel Employee to perform as agreed herein without posting any bond. Notwithstanding any termination of this Agreement or Employee's employment, Section 10 shall remain in effect until all obligations and benefits resulting from a termination of Employee’s employment during the Employment Term are satisfied. In addition, Sections 11 through 27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the Company.</w:t>
      </w:r>
    </w:p>
    <w:p>
      <w:pPr>
        <w:spacing w:after="0" w:line="195" w:lineRule="exact"/>
        <w:rPr>
          <w:rFonts w:ascii="Arial" w:cs="Arial" w:eastAsia="Arial" w:hAnsi="Arial"/>
          <w:sz w:val="19"/>
          <w:szCs w:val="19"/>
          <w:color w:val="auto"/>
        </w:rPr>
      </w:pPr>
    </w:p>
    <w:p>
      <w:pPr>
        <w:jc w:val="both"/>
        <w:ind w:firstLine="494"/>
        <w:spacing w:after="0" w:line="292" w:lineRule="auto"/>
        <w:tabs>
          <w:tab w:leader="none" w:pos="156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 provision herein to the contrary, the Company may require that, prior to payment, distribution or other benefit under this Agreement (other than due to Employee's death), Employee shall have executed a complete release of the Company and its affiliates and related parties in such form as is reasonably required by the Company, and any waiting periods contained in such release shall have expired. With respect to any release required to receive payments, distributions or other benefits owed pursuant to this Agreement, the Company must provide Employee with the form of release no later than seven (7) days after the Date of Termination and the release must be signed by Employee and returned to the Company, unchanged, effective and irrevocable, no later than sixty (60) days after the Date of Termination.</w:t>
      </w:r>
    </w:p>
    <w:p>
      <w:pPr>
        <w:spacing w:after="0" w:line="192" w:lineRule="exact"/>
        <w:rPr>
          <w:rFonts w:ascii="Arial" w:cs="Arial" w:eastAsia="Arial" w:hAnsi="Arial"/>
          <w:sz w:val="19"/>
          <w:szCs w:val="19"/>
          <w:color w:val="auto"/>
        </w:rPr>
      </w:pPr>
    </w:p>
    <w:p>
      <w:pPr>
        <w:jc w:val="both"/>
        <w:ind w:firstLine="494"/>
        <w:spacing w:after="0" w:line="302" w:lineRule="auto"/>
        <w:tabs>
          <w:tab w:leader="none" w:pos="156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if Employee's employment hereunder is terminated during the Employment Term, Employee is not required to seek other employment or to attempt in any way to reduce any amounts payable to Employee by the Company hereunder. Further, the amount of any payment or benefit provided for hereunder shall not be reduced by any compensation earned by Employee as the result of employment by another employer, by retirement benefits or otherwise.</w:t>
      </w:r>
    </w:p>
    <w:p>
      <w:pPr>
        <w:spacing w:after="0" w:line="183" w:lineRule="exact"/>
        <w:rPr>
          <w:rFonts w:ascii="Arial" w:cs="Arial" w:eastAsia="Arial" w:hAnsi="Arial"/>
          <w:sz w:val="19"/>
          <w:szCs w:val="19"/>
          <w:color w:val="auto"/>
        </w:rPr>
      </w:pPr>
    </w:p>
    <w:p>
      <w:pPr>
        <w:jc w:val="both"/>
        <w:ind w:firstLine="494"/>
        <w:spacing w:after="0" w:line="250" w:lineRule="auto"/>
        <w:tabs>
          <w:tab w:leader="none" w:pos="156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228" w:lineRule="exact"/>
        <w:rPr>
          <w:rFonts w:ascii="Arial" w:cs="Arial" w:eastAsia="Arial" w:hAnsi="Arial"/>
          <w:sz w:val="22"/>
          <w:szCs w:val="22"/>
          <w:color w:val="auto"/>
        </w:rPr>
      </w:pPr>
    </w:p>
    <w:p>
      <w:pPr>
        <w:jc w:val="both"/>
        <w:ind w:firstLine="494"/>
        <w:spacing w:after="0" w:line="250" w:lineRule="auto"/>
        <w:tabs>
          <w:tab w:leader="none" w:pos="156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28" w:lineRule="exact"/>
        <w:rPr>
          <w:rFonts w:ascii="Arial" w:cs="Arial" w:eastAsia="Arial" w:hAnsi="Arial"/>
          <w:sz w:val="22"/>
          <w:szCs w:val="22"/>
          <w:color w:val="auto"/>
        </w:rPr>
      </w:pPr>
    </w:p>
    <w:p>
      <w:pPr>
        <w:jc w:val="both"/>
        <w:ind w:firstLine="494"/>
        <w:spacing w:after="0" w:line="250" w:lineRule="auto"/>
        <w:tabs>
          <w:tab w:leader="none" w:pos="156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may not be assigned by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w:t>
      </w:r>
    </w:p>
    <w:p>
      <w:pPr>
        <w:sectPr>
          <w:pgSz w:w="11900" w:h="16838" w:orient="portrait"/>
          <w:cols w:equalWidth="0" w:num="1">
            <w:col w:w="11420"/>
          </w:cols>
          <w:pgMar w:left="240" w:top="591" w:right="239" w:bottom="1440" w:gutter="0" w:footer="0" w:header="0"/>
        </w:sectPr>
      </w:pPr>
    </w:p>
    <w:bookmarkStart w:id="56" w:name="page57"/>
    <w:bookmarkEnd w:id="56"/>
    <w:p>
      <w:pPr>
        <w:jc w:val="both"/>
        <w:spacing w:after="0" w:line="294" w:lineRule="auto"/>
        <w:rPr>
          <w:sz w:val="20"/>
          <w:szCs w:val="20"/>
          <w:color w:val="auto"/>
        </w:rPr>
      </w:pPr>
      <w:r>
        <w:rPr>
          <w:rFonts w:ascii="Arial" w:cs="Arial" w:eastAsia="Arial" w:hAnsi="Arial"/>
          <w:sz w:val="19"/>
          <w:szCs w:val="19"/>
          <w:color w:val="auto"/>
        </w:rPr>
        <w:t>and to the same extent that the Company would be required to perform it if no such succession had taken place. Failure of the Company to obtain such assumption by a successor shall be a material breach of this Agreement.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90" w:lineRule="exact"/>
        <w:rPr>
          <w:sz w:val="20"/>
          <w:szCs w:val="20"/>
          <w:color w:val="auto"/>
        </w:rPr>
      </w:pPr>
    </w:p>
    <w:p>
      <w:pPr>
        <w:ind w:firstLine="494"/>
        <w:spacing w:after="0" w:line="263" w:lineRule="auto"/>
        <w:tabs>
          <w:tab w:leader="none" w:pos="156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215" w:lineRule="exact"/>
        <w:rPr>
          <w:rFonts w:ascii="Arial" w:cs="Arial" w:eastAsia="Arial" w:hAnsi="Arial"/>
          <w:sz w:val="22"/>
          <w:szCs w:val="22"/>
          <w:color w:val="auto"/>
        </w:rPr>
      </w:pPr>
    </w:p>
    <w:p>
      <w:pPr>
        <w:jc w:val="both"/>
        <w:ind w:firstLine="494"/>
        <w:spacing w:after="0" w:line="286" w:lineRule="auto"/>
        <w:tabs>
          <w:tab w:leader="none" w:pos="156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and litigation expenses, all as determined by the court and not a jury, and such payment shall be made by the non-prevailing party within sixty (60) days of the date the right to the payment amount is so determined; provided, however, that following Employee’s termination of employment with the Company, if any party finds it necessary to employ legal counsel or to bring an action at law or other proceedings against the other party to interpret or enforce any of the terms hereof, the Company shall pay (on an ongoing basis) to Employee to the fullest extent permitted by law, all legal fees, court costs and litigation expenses reasonably incurred by Employee or others on Employee’s behalf (such amounts collectively referred to as the "Reimbursed Amounts"); provided, further, that Employee shall reimburse the Company for the Reimbursed Amounts if it is determined that a majority of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Employee. The rights under this section shall survive the termination of employment and this Agreement until the expiration of the applicable statute of limitations.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494"/>
        <w:spacing w:after="0" w:line="259" w:lineRule="auto"/>
        <w:tabs>
          <w:tab w:leader="none" w:pos="1567"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the covenants in this Agreement.</w:t>
      </w:r>
    </w:p>
    <w:p>
      <w:pPr>
        <w:spacing w:after="0" w:line="220" w:lineRule="exact"/>
        <w:rPr>
          <w:rFonts w:ascii="Arial" w:cs="Arial" w:eastAsia="Arial" w:hAnsi="Arial"/>
          <w:sz w:val="21"/>
          <w:szCs w:val="21"/>
          <w:color w:val="auto"/>
        </w:rPr>
      </w:pPr>
    </w:p>
    <w:p>
      <w:pPr>
        <w:jc w:val="both"/>
        <w:ind w:firstLine="494"/>
        <w:spacing w:after="0" w:line="253" w:lineRule="auto"/>
        <w:tabs>
          <w:tab w:leader="none" w:pos="156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 the Company:</w:t>
      </w:r>
    </w:p>
    <w:p>
      <w:pPr>
        <w:sectPr>
          <w:pgSz w:w="11900" w:h="16838" w:orient="portrait"/>
          <w:cols w:equalWidth="0" w:num="1">
            <w:col w:w="11420"/>
          </w:cols>
          <w:pgMar w:left="240" w:top="591" w:right="239" w:bottom="1440" w:gutter="0" w:footer="0" w:header="0"/>
        </w:sectPr>
      </w:pPr>
    </w:p>
    <w:bookmarkStart w:id="57" w:name="page58"/>
    <w:bookmarkEnd w:id="57"/>
    <w:p>
      <w:pPr>
        <w:ind w:left="1292"/>
        <w:spacing w:after="0"/>
        <w:rPr>
          <w:sz w:val="20"/>
          <w:szCs w:val="20"/>
          <w:color w:val="auto"/>
        </w:rPr>
      </w:pPr>
      <w:r>
        <w:rPr>
          <w:rFonts w:ascii="Arial" w:cs="Arial" w:eastAsia="Arial" w:hAnsi="Arial"/>
          <w:sz w:val="22"/>
          <w:szCs w:val="22"/>
          <w:color w:val="auto"/>
        </w:rPr>
        <w:t>Fidelity National Financial, Inc.</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To Employee:</w:t>
      </w:r>
    </w:p>
    <w:p>
      <w:pPr>
        <w:spacing w:after="0" w:line="2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the address last provided to the Company as recorded in the Company’s Human Resource system.</w:t>
      </w:r>
    </w:p>
    <w:p>
      <w:pPr>
        <w:spacing w:after="0" w:line="260" w:lineRule="exact"/>
        <w:rPr>
          <w:sz w:val="20"/>
          <w:szCs w:val="20"/>
          <w:color w:val="auto"/>
        </w:rPr>
      </w:pPr>
    </w:p>
    <w:p>
      <w:pPr>
        <w:ind w:left="-8" w:firstLine="494"/>
        <w:spacing w:after="0" w:line="263" w:lineRule="auto"/>
        <w:tabs>
          <w:tab w:leader="none" w:pos="1559"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215" w:lineRule="exact"/>
        <w:rPr>
          <w:rFonts w:ascii="Arial" w:cs="Arial" w:eastAsia="Arial" w:hAnsi="Arial"/>
          <w:sz w:val="22"/>
          <w:szCs w:val="22"/>
          <w:color w:val="auto"/>
        </w:rPr>
      </w:pPr>
    </w:p>
    <w:p>
      <w:pPr>
        <w:ind w:left="1572" w:hanging="1086"/>
        <w:spacing w:after="0"/>
        <w:tabs>
          <w:tab w:leader="none" w:pos="1572"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632" w:hanging="632"/>
        <w:spacing w:after="0" w:line="255" w:lineRule="auto"/>
        <w:tabs>
          <w:tab w:leader="none" w:pos="63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or an affiliate may deduct from all compensation and benefits payable under this Agreement any taxes or withholdings the Company is required to deduct pursuant to state, federal or local laws.</w:t>
      </w:r>
    </w:p>
    <w:p>
      <w:pPr>
        <w:jc w:val="both"/>
        <w:ind w:left="632" w:hanging="632"/>
        <w:spacing w:after="0" w:line="280" w:lineRule="auto"/>
        <w:tabs>
          <w:tab w:leader="none" w:pos="63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and the terms of this Agreement and of any compensation or benefit plan under which compensation or benefits are provided shall be interpreted accordingly. If Employee is a "specified employee" under Section 409A, to the extent required to comply with Section 409(a)(2)(b)(i),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To the extent the payment of any amount under this Agreement constitutes deferred compensation (within the meaning of Treasury Regulation Section 1.409A-1(b)) and such amount is payable within a number of days (e.g., not later than the sixty-fifth (65</w:t>
      </w:r>
      <w:r>
        <w:rPr>
          <w:rFonts w:ascii="Arial" w:cs="Arial" w:eastAsia="Arial" w:hAnsi="Arial"/>
          <w:sz w:val="25"/>
          <w:szCs w:val="25"/>
          <w:color w:val="auto"/>
          <w:vertAlign w:val="superscript"/>
        </w:rPr>
        <w:t>th</w:t>
      </w:r>
      <w:r>
        <w:rPr>
          <w:rFonts w:ascii="Arial" w:cs="Arial" w:eastAsia="Arial" w:hAnsi="Arial"/>
          <w:sz w:val="19"/>
          <w:szCs w:val="19"/>
          <w:color w:val="auto"/>
        </w:rPr>
        <w:t>) day after the Date of Termination) that begins in one calendar year and ends in a subsequent calendar year, such amount shall be paid in the subsequent calendar year.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that constitute deferred compensation (within the meaning of Treasury Regulation Section 1.409A-1(b))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w:t>
      </w:r>
    </w:p>
    <w:p>
      <w:pPr>
        <w:sectPr>
          <w:pgSz w:w="11900" w:h="16838" w:orient="portrait"/>
          <w:cols w:equalWidth="0" w:num="1">
            <w:col w:w="11412"/>
          </w:cols>
          <w:pgMar w:left="248" w:top="591" w:right="239" w:bottom="1440" w:gutter="0" w:footer="0" w:header="0"/>
        </w:sectPr>
      </w:pPr>
    </w:p>
    <w:bookmarkStart w:id="58" w:name="page59"/>
    <w:bookmarkEnd w:id="58"/>
    <w:p>
      <w:pPr>
        <w:jc w:val="both"/>
        <w:spacing w:after="0" w:line="246" w:lineRule="auto"/>
        <w:rPr>
          <w:sz w:val="20"/>
          <w:szCs w:val="20"/>
          <w:color w:val="auto"/>
        </w:rPr>
      </w:pPr>
      <w:r>
        <w:rPr>
          <w:rFonts w:ascii="Arial" w:cs="Arial" w:eastAsia="Arial" w:hAnsi="Arial"/>
          <w:sz w:val="22"/>
          <w:szCs w:val="22"/>
          <w:color w:val="auto"/>
        </w:rPr>
        <w:t>reimbursement or in-kind benefits is not subject to liquidation or exchange for another benefit. Notwithstanding anything to the contrary, in no event shall the Company, any affiliate of the Company, or any employee, director, representative, agent or advisor of the Company or any affiliate of the Company be liable for or in respect of any additional tax, interest or penalty that may be imposed on Employee or other person under Section 409(A), or for damages for failing to comply with Section 409(A).</w:t>
      </w:r>
    </w:p>
    <w:p>
      <w:pPr>
        <w:spacing w:after="0" w:line="4" w:lineRule="exact"/>
        <w:rPr>
          <w:sz w:val="20"/>
          <w:szCs w:val="20"/>
          <w:color w:val="auto"/>
        </w:rPr>
      </w:pPr>
    </w:p>
    <w:p>
      <w:pPr>
        <w:jc w:val="both"/>
        <w:ind w:left="640"/>
        <w:spacing w:after="0" w:line="285" w:lineRule="auto"/>
        <w:rPr>
          <w:sz w:val="20"/>
          <w:szCs w:val="20"/>
          <w:color w:val="auto"/>
        </w:rPr>
      </w:pPr>
      <w:r>
        <w:rPr>
          <w:rFonts w:ascii="Arial" w:cs="Arial" w:eastAsia="Arial" w:hAnsi="Arial"/>
          <w:sz w:val="19"/>
          <w:szCs w:val="19"/>
          <w:u w:val="single" w:color="auto"/>
          <w:color w:val="auto"/>
        </w:rPr>
        <w:t>Excise Taxes</w:t>
      </w:r>
      <w:r>
        <w:rPr>
          <w:rFonts w:ascii="Arial" w:cs="Arial" w:eastAsia="Arial" w:hAnsi="Arial"/>
          <w:sz w:val="19"/>
          <w:szCs w:val="19"/>
          <w:color w:val="auto"/>
        </w:rPr>
        <w:t>. If any payments or benefits paid or provided or to be paid or provided to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______________________________</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Michael Nolan</w:t>
      </w:r>
    </w:p>
    <w:p>
      <w:pPr>
        <w:sectPr>
          <w:pgSz w:w="11900" w:h="16838" w:orient="portrait"/>
          <w:cols w:equalWidth="0" w:num="1">
            <w:col w:w="10760"/>
          </w:cols>
          <w:pgMar w:left="900" w:top="59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THIS FIRST AMENDMENT TO EMPLOYMENT AGREEMENT (the "Amendment") is effective as of May 3, 2016 (the "Effective Date"), by and between </w:t>
      </w:r>
      <w:r>
        <w:rPr>
          <w:rFonts w:ascii="Arial" w:cs="Arial" w:eastAsia="Arial" w:hAnsi="Arial"/>
          <w:sz w:val="21"/>
          <w:szCs w:val="21"/>
          <w:b w:val="1"/>
          <w:bCs w:val="1"/>
          <w:color w:val="auto"/>
        </w:rPr>
        <w:t>FIDELITY NATIONAL FINANCIAL, INC.</w:t>
      </w:r>
      <w:r>
        <w:rPr>
          <w:rFonts w:ascii="Arial" w:cs="Arial" w:eastAsia="Arial" w:hAnsi="Arial"/>
          <w:sz w:val="21"/>
          <w:szCs w:val="21"/>
          <w:color w:val="auto"/>
        </w:rPr>
        <w:t xml:space="preserve">, a Delaware corporation (the "Company"), and </w:t>
      </w:r>
      <w:r>
        <w:rPr>
          <w:rFonts w:ascii="Arial" w:cs="Arial" w:eastAsia="Arial" w:hAnsi="Arial"/>
          <w:sz w:val="21"/>
          <w:szCs w:val="21"/>
          <w:b w:val="1"/>
          <w:bCs w:val="1"/>
          <w:color w:val="auto"/>
        </w:rPr>
        <w:t xml:space="preserve">MICHAEL NOLAN </w:t>
      </w:r>
      <w:r>
        <w:rPr>
          <w:rFonts w:ascii="Arial" w:cs="Arial" w:eastAsia="Arial" w:hAnsi="Arial"/>
          <w:sz w:val="21"/>
          <w:szCs w:val="21"/>
          <w:color w:val="auto"/>
        </w:rPr>
        <w:t>(the “Employee”) and amends that certain Employment Agreement dated as of March 2, 2016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consideration of the mutual covenants and agreements set forth herein, the parties agree as follows:</w:t>
      </w:r>
    </w:p>
    <w:p>
      <w:pPr>
        <w:spacing w:after="0" w:line="176" w:lineRule="exact"/>
        <w:rPr>
          <w:sz w:val="20"/>
          <w:szCs w:val="20"/>
          <w:color w:val="auto"/>
        </w:rPr>
      </w:pPr>
    </w:p>
    <w:p>
      <w:pPr>
        <w:jc w:val="both"/>
        <w:ind w:left="660" w:firstLine="645"/>
        <w:spacing w:after="0" w:line="265" w:lineRule="auto"/>
        <w:tabs>
          <w:tab w:leader="none" w:pos="2091" w:val="left"/>
        </w:tabs>
        <w:numPr>
          <w:ilvl w:val="0"/>
          <w:numId w:val="37"/>
        </w:numPr>
        <w:rPr>
          <w:rFonts w:ascii="Arial" w:cs="Arial" w:eastAsia="Arial" w:hAnsi="Arial"/>
          <w:sz w:val="17"/>
          <w:szCs w:val="17"/>
          <w:color w:val="auto"/>
        </w:rPr>
      </w:pPr>
      <w:r>
        <w:rPr>
          <w:rFonts w:ascii="Arial" w:cs="Arial" w:eastAsia="Arial" w:hAnsi="Arial"/>
          <w:sz w:val="20"/>
          <w:szCs w:val="20"/>
          <w:color w:val="auto"/>
        </w:rPr>
        <w:t>Section 10(c) of the Agreement is deleted in its entirety and the following is inserted in lieu thereof: “</w:t>
      </w:r>
      <w:r>
        <w:rPr>
          <w:rFonts w:ascii="Arial" w:cs="Arial" w:eastAsia="Arial" w:hAnsi="Arial"/>
          <w:sz w:val="20"/>
          <w:szCs w:val="20"/>
          <w:u w:val="single" w:color="auto"/>
          <w:color w:val="auto"/>
        </w:rPr>
        <w:t>Termination due to Death or Disability</w:t>
      </w:r>
      <w:r>
        <w:rPr>
          <w:rFonts w:ascii="Arial" w:cs="Arial" w:eastAsia="Arial" w:hAnsi="Arial"/>
          <w:sz w:val="20"/>
          <w:szCs w:val="20"/>
          <w:color w:val="auto"/>
        </w:rPr>
        <w:t>. If the Employee’s employment is terminated during the Employment Term due to death or by the Company due to Employee’s Disability, the Company shall pay Employee (or to Employee’s estate or personal representative in the case of death), as soon as practicable, but not later than the sixty-fifty (65</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 (i) any Accrued Obligations; plus (ii) a prorated Annual Bonus based upon the target Annual Bonus Opportunity in the year in which the Date of Termination occurs or the prior year if no target Annual Bonus Opportunity has yet been determined multiplied by the percentage of the calendar year completed before the Date of Termination. Additionally, subject to Section 27(b)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President</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MICHAEL NOLAN</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THIS EMPLOYMENT AGREEMENT (the "Agreement") is effective as of March 3, 2016 (the "Effective Date"), by and between </w:t>
      </w:r>
      <w:r>
        <w:rPr>
          <w:rFonts w:ascii="Arial" w:cs="Arial" w:eastAsia="Arial" w:hAnsi="Arial"/>
          <w:sz w:val="21"/>
          <w:szCs w:val="21"/>
          <w:b w:val="1"/>
          <w:bCs w:val="1"/>
          <w:color w:val="auto"/>
        </w:rPr>
        <w:t>FIDELITY NATIONAL FINANCIAL, INC.,</w:t>
      </w:r>
      <w:r>
        <w:rPr>
          <w:rFonts w:ascii="Arial" w:cs="Arial" w:eastAsia="Arial" w:hAnsi="Arial"/>
          <w:sz w:val="21"/>
          <w:szCs w:val="21"/>
          <w:color w:val="auto"/>
        </w:rPr>
        <w:t xml:space="preserve"> a Delaware corporation (the "Company"), and </w:t>
      </w:r>
      <w:r>
        <w:rPr>
          <w:rFonts w:ascii="Arial" w:cs="Arial" w:eastAsia="Arial" w:hAnsi="Arial"/>
          <w:sz w:val="21"/>
          <w:szCs w:val="21"/>
          <w:b w:val="1"/>
          <w:bCs w:val="1"/>
          <w:color w:val="auto"/>
        </w:rPr>
        <w:t>ROGER JEWKES</w:t>
      </w:r>
      <w:r>
        <w:rPr>
          <w:rFonts w:ascii="Arial" w:cs="Arial" w:eastAsia="Arial" w:hAnsi="Arial"/>
          <w:sz w:val="21"/>
          <w:szCs w:val="21"/>
          <w:color w:val="auto"/>
        </w:rPr>
        <w:t xml:space="preserve"> (the "Employee"). In consideration of the mutual covenants and agreements set forth herein, the parties agree as follows:</w:t>
      </w:r>
    </w:p>
    <w:p>
      <w:pPr>
        <w:spacing w:after="0" w:line="168" w:lineRule="exact"/>
        <w:rPr>
          <w:sz w:val="20"/>
          <w:szCs w:val="20"/>
          <w:color w:val="auto"/>
        </w:rPr>
      </w:pPr>
    </w:p>
    <w:p>
      <w:pPr>
        <w:jc w:val="both"/>
        <w:ind w:firstLine="494"/>
        <w:spacing w:after="0" w:line="246" w:lineRule="auto"/>
        <w:tabs>
          <w:tab w:leader="none" w:pos="1459"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Agreement is to recognize Employee's significant contributions to the overall financial performance and success of the Company and its affiliates, to protect the Company's and its affiliates’ business interests through the addition of restrictive covenants, and to provide a single, integrated document which shall provide the basis for Employee's continued employment by the Company, and to terminate all prior agreements between Employee and the Company and any of its affiliates relating to employment agreements and all other employment arrangements relating to the subject matter of this Agreement. In consideration of the execution of this Agreement and the termination of all such prior agreements and arrangements, the Employee releases all rights and claims that he has, had or may have arising under such prior agreements and arrangements.</w:t>
      </w:r>
    </w:p>
    <w:p>
      <w:pPr>
        <w:spacing w:after="0" w:line="235" w:lineRule="exact"/>
        <w:rPr>
          <w:rFonts w:ascii="Arial" w:cs="Arial" w:eastAsia="Arial" w:hAnsi="Arial"/>
          <w:sz w:val="22"/>
          <w:szCs w:val="22"/>
          <w:color w:val="auto"/>
        </w:rPr>
      </w:pPr>
    </w:p>
    <w:p>
      <w:pPr>
        <w:jc w:val="both"/>
        <w:ind w:firstLine="494"/>
        <w:spacing w:after="0" w:line="289" w:lineRule="auto"/>
        <w:tabs>
          <w:tab w:leader="none" w:pos="1459"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the Company employs Employee to serve as Co-Chief Operating Officer, or in such other capacity as may be mutually agreed by the parties. Employee accepts such employment and agrees to undertake and discharge the duties, functions and responsibilities commensurate with the aforesaid position and such other duties and responsibilities as may be prescribed from time to time by the Company and its affiliates. Employee shall be required to comply with the Company’s and its affiliates’ employee policies applicable to him and the Company and its affiliates’ employee’s generally as from time to time enacted.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with Employee's duties.</w:t>
      </w:r>
    </w:p>
    <w:p>
      <w:pPr>
        <w:spacing w:after="0" w:line="198" w:lineRule="exact"/>
        <w:rPr>
          <w:rFonts w:ascii="Arial" w:cs="Arial" w:eastAsia="Arial" w:hAnsi="Arial"/>
          <w:sz w:val="19"/>
          <w:szCs w:val="19"/>
          <w:color w:val="auto"/>
        </w:rPr>
      </w:pPr>
    </w:p>
    <w:p>
      <w:pPr>
        <w:ind w:left="1460" w:hanging="966"/>
        <w:spacing w:after="0"/>
        <w:tabs>
          <w:tab w:leader="none" w:pos="146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w:t>
      </w:r>
    </w:p>
    <w:p>
      <w:pPr>
        <w:spacing w:after="0" w:line="56" w:lineRule="exact"/>
        <w:rPr>
          <w:rFonts w:ascii="Arial" w:cs="Arial" w:eastAsia="Arial" w:hAnsi="Arial"/>
          <w:sz w:val="19"/>
          <w:szCs w:val="19"/>
          <w:color w:val="auto"/>
        </w:rPr>
      </w:pPr>
    </w:p>
    <w:p>
      <w:pPr>
        <w:jc w:val="both"/>
        <w:ind w:firstLine="8"/>
        <w:spacing w:after="0" w:line="292" w:lineRule="auto"/>
        <w:tabs>
          <w:tab w:leader="none" w:pos="306" w:val="left"/>
        </w:tabs>
        <w:numPr>
          <w:ilvl w:val="0"/>
          <w:numId w:val="39"/>
        </w:numPr>
        <w:rPr>
          <w:rFonts w:ascii="Arial" w:cs="Arial" w:eastAsia="Arial" w:hAnsi="Arial"/>
          <w:sz w:val="19"/>
          <w:szCs w:val="19"/>
          <w:color w:val="auto"/>
        </w:rPr>
      </w:pPr>
      <w:r>
        <w:rPr>
          <w:rFonts w:ascii="Arial" w:cs="Arial" w:eastAsia="Arial" w:hAnsi="Arial"/>
          <w:sz w:val="19"/>
          <w:szCs w:val="19"/>
          <w:color w:val="auto"/>
        </w:rPr>
        <w:t>years ending on the third anniversary of the Effective Date or, if later, ending on the last day of any extension made pursuant to the next sentence, subject to prior termination as set forth in Section 9 (such term, including any extensions pursuant to the next sentence, the "Employment Term"). The Employment Term shall be extended automatically for one (1) additional year on the second anniversary of the Effective Date and for an additional year each anniversary thereafter unless and until either party gives written notice to the other not to extend the Employment Term prior to such extension becoming effectuated.</w:t>
      </w:r>
    </w:p>
    <w:p>
      <w:pPr>
        <w:spacing w:after="0" w:line="192" w:lineRule="exact"/>
        <w:rPr>
          <w:rFonts w:ascii="Arial" w:cs="Arial" w:eastAsia="Arial" w:hAnsi="Arial"/>
          <w:sz w:val="19"/>
          <w:szCs w:val="19"/>
          <w:color w:val="auto"/>
        </w:rPr>
      </w:pPr>
    </w:p>
    <w:p>
      <w:pPr>
        <w:jc w:val="both"/>
        <w:ind w:firstLine="494"/>
        <w:spacing w:after="0" w:line="297" w:lineRule="auto"/>
        <w:tabs>
          <w:tab w:leader="none" w:pos="1459"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During the Employment Term, the Company shall pay Employee an annual base salary, before deducting all applicable withholdings, of $630,000 per year, payable at the time and in the manner dictated by the Company's standard payroll policies. Such minimum annual base salary may be periodically reviewed and increased (but not decreased without Employee's express written consent except in the case of a salary decrease for all executive officers of the Company) at the discretion of the Company (such annual base salary, including any increases, the "Annual Base Salary").</w:t>
      </w:r>
    </w:p>
    <w:p>
      <w:pPr>
        <w:spacing w:after="0" w:line="187" w:lineRule="exact"/>
        <w:rPr>
          <w:rFonts w:ascii="Arial" w:cs="Arial" w:eastAsia="Arial" w:hAnsi="Arial"/>
          <w:sz w:val="19"/>
          <w:szCs w:val="19"/>
          <w:color w:val="auto"/>
        </w:rPr>
      </w:pPr>
    </w:p>
    <w:p>
      <w:pPr>
        <w:ind w:left="1460" w:hanging="966"/>
        <w:spacing w:after="0"/>
        <w:tabs>
          <w:tab w:leader="none" w:pos="146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Other Compensation and Benefits</w:t>
      </w:r>
      <w:r>
        <w:rPr>
          <w:rFonts w:ascii="Arial" w:cs="Arial" w:eastAsia="Arial" w:hAnsi="Arial"/>
          <w:sz w:val="22"/>
          <w:szCs w:val="22"/>
          <w:color w:val="auto"/>
        </w:rPr>
        <w:t>. During the Employment Term:</w:t>
      </w:r>
    </w:p>
    <w:p>
      <w:pPr>
        <w:spacing w:after="0" w:line="22" w:lineRule="exact"/>
        <w:rPr>
          <w:sz w:val="20"/>
          <w:szCs w:val="20"/>
          <w:color w:val="auto"/>
        </w:rPr>
      </w:pPr>
    </w:p>
    <w:p>
      <w:pPr>
        <w:ind w:left="660" w:right="20" w:hanging="652"/>
        <w:spacing w:after="0" w:line="246"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Employee shall be eligible to receive standard medical and other insurance coverage (for Employee and any covered dependents) provided by the Company to employees generally;</w:t>
      </w:r>
    </w:p>
    <w:p>
      <w:pPr>
        <w:sectPr>
          <w:pgSz w:w="11900" w:h="16838" w:orient="portrait"/>
          <w:cols w:equalWidth="0" w:num="1">
            <w:col w:w="11420"/>
          </w:cols>
          <w:pgMar w:left="240" w:top="585" w:right="239" w:bottom="1440" w:gutter="0" w:footer="0" w:header="0"/>
        </w:sectPr>
      </w:pPr>
    </w:p>
    <w:bookmarkStart w:id="61" w:name="page62"/>
    <w:bookmarkEnd w:id="61"/>
    <w:p>
      <w:pPr>
        <w:jc w:val="both"/>
        <w:ind w:left="652" w:hanging="652"/>
        <w:spacing w:after="0" w:line="277"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to receive an annual incentive bonus opportunity under the Company's annual incentive plan for each calendar year included in the Employment Term during which Employee is an employee of the Company, with such opportunity to be earned based upon attainment of performance objectives established by the Company ("Annual Bonus"). Employee's target Annual Bonus shall be 100% of Employee's then current Annual Base Salary, with a maximum of up to two times target (collectively, the target and maximum Annual Bonus are referred to as the "Annual Bonus Opportunity"). Employee's Annual Bonus Opportunity may be periodically reviewed and increased by the Company, but may not be decreased without Employee's express written consent. If owed pursuant to the terms of the plan, the Annual Bonus shall be paid no later than the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first following the calendar year to which the Annual Bonus relates. Unless provided otherwise herein, no Annual Bonus shall be paid to Employee unless Employee is employed by the Company, or an affiliate thereof, on the last day of the measurement period; provided, however, that the Employee shall remain eligible to earn a pro-rata Annual Bonus payment with the proration based on Employee’s period of employment with the Company during the final year of the Employment Term, if the Employment Term expires due to the Company’s provision of a notice of non-renewal pursuant to Section 3 hereof and Employee’s employment terminates (other than due to a termination by the Company that would have constituted a termination for Cause under this Agreement) on or after the last day of the term of this Agreement, but prior to the end of the calendar year in which the Employment Term ends; and</w:t>
      </w:r>
    </w:p>
    <w:p>
      <w:pPr>
        <w:spacing w:after="0" w:line="4" w:lineRule="exact"/>
        <w:rPr>
          <w:rFonts w:ascii="Arial" w:cs="Arial" w:eastAsia="Arial" w:hAnsi="Arial"/>
          <w:sz w:val="19"/>
          <w:szCs w:val="19"/>
          <w:color w:val="auto"/>
        </w:rPr>
      </w:pPr>
    </w:p>
    <w:p>
      <w:pPr>
        <w:jc w:val="both"/>
        <w:ind w:left="652" w:hanging="652"/>
        <w:spacing w:after="0" w:line="292"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Equity Participation</w:t>
      </w:r>
      <w:r>
        <w:rPr>
          <w:rFonts w:ascii="Arial" w:cs="Arial" w:eastAsia="Arial" w:hAnsi="Arial"/>
          <w:sz w:val="19"/>
          <w:szCs w:val="19"/>
          <w:color w:val="auto"/>
        </w:rPr>
        <w:t>. Employee shall be eligible to participate in the Company’s equity incentive plans. As an inducement for and in consideration of Employee signing this Agreement, the Company agrees to provide Employee with a one-time special $100,000 restricted stock grant. The number of shares would be based on the Company’s closing stock price on day following Employee’s return of this signed Agreement to the General Counsel. The restricted shares will vest in three equal annual installments, provided that Employee remains employed with the Company.</w:t>
      </w:r>
    </w:p>
    <w:p>
      <w:pPr>
        <w:spacing w:after="0" w:line="192" w:lineRule="exact"/>
        <w:rPr>
          <w:rFonts w:ascii="Arial" w:cs="Arial" w:eastAsia="Arial" w:hAnsi="Arial"/>
          <w:sz w:val="19"/>
          <w:szCs w:val="19"/>
          <w:color w:val="auto"/>
        </w:rPr>
      </w:pPr>
    </w:p>
    <w:p>
      <w:pPr>
        <w:jc w:val="both"/>
        <w:ind w:left="-8" w:firstLine="494"/>
        <w:spacing w:after="0" w:line="297" w:lineRule="auto"/>
        <w:tabs>
          <w:tab w:leader="none" w:pos="1451"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Compensation Policies.</w:t>
      </w:r>
      <w:r>
        <w:rPr>
          <w:rFonts w:ascii="Arial" w:cs="Arial" w:eastAsia="Arial" w:hAnsi="Arial"/>
          <w:sz w:val="19"/>
          <w:szCs w:val="19"/>
          <w:color w:val="auto"/>
        </w:rPr>
        <w:t xml:space="preserve"> The Company has adopted certain compensation related policies that apply to Employee. Employee acknowledges and agrees Employee is (a) subject to any applicable claw back, recoupment or similar policy that the Company may adopt and/or amend from time to time and (b) expected to maintain an ownership level in the Company stock of at least two (2) times his or her annual base salary and that Employee has read and understands the Company’s policies regarding insider trading and prohibiting the hedging and pledging of the Company stock.</w:t>
      </w:r>
    </w:p>
    <w:p>
      <w:pPr>
        <w:spacing w:after="0" w:line="187" w:lineRule="exact"/>
        <w:rPr>
          <w:rFonts w:ascii="Arial" w:cs="Arial" w:eastAsia="Arial" w:hAnsi="Arial"/>
          <w:sz w:val="19"/>
          <w:szCs w:val="19"/>
          <w:color w:val="auto"/>
        </w:rPr>
      </w:pPr>
    </w:p>
    <w:p>
      <w:pPr>
        <w:jc w:val="both"/>
        <w:ind w:left="-8" w:firstLine="494"/>
        <w:spacing w:after="0" w:line="253" w:lineRule="auto"/>
        <w:tabs>
          <w:tab w:leader="none" w:pos="1451"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Employee shall be entitled to paid vacation plus Company recognized holidays in accordance with the Company’s vacation policy, as may be amended from time to time.</w:t>
      </w:r>
    </w:p>
    <w:p>
      <w:pPr>
        <w:spacing w:after="0" w:line="226" w:lineRule="exact"/>
        <w:rPr>
          <w:rFonts w:ascii="Arial" w:cs="Arial" w:eastAsia="Arial" w:hAnsi="Arial"/>
          <w:sz w:val="22"/>
          <w:szCs w:val="22"/>
          <w:color w:val="auto"/>
        </w:rPr>
      </w:pPr>
    </w:p>
    <w:p>
      <w:pPr>
        <w:jc w:val="both"/>
        <w:ind w:left="-8" w:firstLine="494"/>
        <w:spacing w:after="0" w:line="292" w:lineRule="auto"/>
        <w:tabs>
          <w:tab w:leader="none" w:pos="1451"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Expense Reimbursement</w:t>
      </w:r>
      <w:r>
        <w:rPr>
          <w:rFonts w:ascii="Arial" w:cs="Arial" w:eastAsia="Arial" w:hAnsi="Arial"/>
          <w:sz w:val="19"/>
          <w:szCs w:val="19"/>
          <w:color w:val="auto"/>
        </w:rPr>
        <w:t>. In addition to the compensation and benefits provided herein, the Company shall, upon receipt of appropriate documentation, reimburse Employee each month for reasonable travel, lodging, entertainment, promotion and other ordinary and necessary business expenses incurred during the Employment Term to the extent such reimbursement is permitted under the Company's expense reimbursement policy. The Company shall be entitled to deduct from Employee’s salary or other payment due to Employee (other than any amount constituting deferred compensation within the meaning of Treasury Regulation 1.409A-1(b)) any money the Employee owes to the Company, including any expenses wrongfully reimbursed as business expenses in an amount equal to that total value of such wrongfully reimbursed expenses.</w:t>
      </w:r>
    </w:p>
    <w:p>
      <w:pPr>
        <w:spacing w:after="0" w:line="192" w:lineRule="exact"/>
        <w:rPr>
          <w:rFonts w:ascii="Arial" w:cs="Arial" w:eastAsia="Arial" w:hAnsi="Arial"/>
          <w:sz w:val="19"/>
          <w:szCs w:val="19"/>
          <w:color w:val="auto"/>
        </w:rPr>
      </w:pPr>
    </w:p>
    <w:p>
      <w:pPr>
        <w:ind w:left="-8" w:firstLine="494"/>
        <w:spacing w:after="0" w:line="263" w:lineRule="auto"/>
        <w:tabs>
          <w:tab w:leader="none" w:pos="1451"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Company or Employee may terminate Employee's employment at any time and for any reason in accordance with Subsection (a) below. The Employment Term</w:t>
      </w:r>
    </w:p>
    <w:p>
      <w:pPr>
        <w:sectPr>
          <w:pgSz w:w="11900" w:h="16838" w:orient="portrait"/>
          <w:cols w:equalWidth="0" w:num="1">
            <w:col w:w="11412"/>
          </w:cols>
          <w:pgMar w:left="248" w:top="591" w:right="2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shall be deemed to have ended on the last day of Employee's employment. The Employment Term shall terminate automatically upon Employee's death.</w:t>
      </w:r>
    </w:p>
    <w:p>
      <w:pPr>
        <w:spacing w:after="0" w:line="2" w:lineRule="exact"/>
        <w:rPr>
          <w:sz w:val="20"/>
          <w:szCs w:val="20"/>
          <w:color w:val="auto"/>
        </w:rPr>
      </w:pPr>
    </w:p>
    <w:p>
      <w:pPr>
        <w:jc w:val="both"/>
        <w:ind w:left="660" w:hanging="652"/>
        <w:spacing w:after="0" w:line="24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the Company shall specify whether the termination is with or without Cause or due to Employee's Disability. A Notice of Termination from Employee shall specify whether the termination is with or without Good Reason.</w:t>
      </w:r>
    </w:p>
    <w:p>
      <w:pPr>
        <w:spacing w:after="0" w:line="3" w:lineRule="exact"/>
        <w:rPr>
          <w:rFonts w:ascii="Arial" w:cs="Arial" w:eastAsia="Arial" w:hAnsi="Arial"/>
          <w:sz w:val="22"/>
          <w:szCs w:val="22"/>
          <w:color w:val="auto"/>
        </w:rPr>
      </w:pPr>
    </w:p>
    <w:p>
      <w:pPr>
        <w:jc w:val="both"/>
        <w:ind w:left="660" w:hanging="652"/>
        <w:spacing w:after="0" w:line="245"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"Date of Termination" shall mean the date specified in the Notice of Termination (but in the case of Employee’s initiated termination in no event shall such the Date of Termination be earlier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the Notice of Termination is given unless otherwise agreed to by the Company and Employee) or the date of Employee's death. If the Company disagrees with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jc w:val="both"/>
        <w:ind w:left="660" w:hanging="652"/>
        <w:spacing w:after="0" w:line="281"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2" w:lineRule="exact"/>
        <w:rPr>
          <w:rFonts w:ascii="Arial" w:cs="Arial" w:eastAsia="Arial" w:hAnsi="Arial"/>
          <w:sz w:val="19"/>
          <w:szCs w:val="19"/>
          <w:color w:val="auto"/>
        </w:rPr>
      </w:pPr>
    </w:p>
    <w:p>
      <w:pPr>
        <w:jc w:val="both"/>
        <w:ind w:left="660" w:hanging="652"/>
        <w:spacing w:after="0" w:line="255"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a termination for "Cause" means a termination by the Company based upon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or moral turpitude; (iv) material breach of this Agreement; (v) material breach of the Company's and/or its affiliates’ business policies, accounting practices or standards of ethics; (vi) material breach of any applicable non-competition, non-solicitation, trade secrets, confidentiality or similar restrictive covenant, or (viii) failure to materially cooperate with or impeding an investigation authorized by the Board of Directors of the Company or FNF.</w:t>
      </w:r>
    </w:p>
    <w:p>
      <w:pPr>
        <w:jc w:val="both"/>
        <w:ind w:left="660" w:hanging="652"/>
        <w:spacing w:after="0" w:line="24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Employee shall be deemed to have a "Disability" if Employee is entitled to long-term disability benefits under the Company's long-term disability plan or policy (or, if Employee is not a participant in such plan or policy, if Employee would be entitled to long-term disability benefits thereunder if Employee were a participant), as the case may be, as in effect on the Date of Termination.</w:t>
      </w:r>
    </w:p>
    <w:p>
      <w:pPr>
        <w:spacing w:after="0" w:line="1" w:lineRule="exact"/>
        <w:rPr>
          <w:rFonts w:ascii="Arial" w:cs="Arial" w:eastAsia="Arial" w:hAnsi="Arial"/>
          <w:sz w:val="22"/>
          <w:szCs w:val="22"/>
          <w:color w:val="auto"/>
        </w:rPr>
      </w:pPr>
    </w:p>
    <w:p>
      <w:pPr>
        <w:ind w:left="660" w:hanging="652"/>
        <w:spacing w:after="0" w:line="24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Agreement, a termination for "Good Reason" means a termination by Employee based upon the occurrence (without Employee's express written consent) of any of the following:</w:t>
      </w:r>
    </w:p>
    <w:p>
      <w:pPr>
        <w:ind w:left="1300" w:hanging="644"/>
        <w:spacing w:after="0"/>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material diminution in Employee's title, Annual Base Salary or Annual Bonus Opportunity; or</w:t>
      </w:r>
    </w:p>
    <w:p>
      <w:pPr>
        <w:spacing w:after="0" w:line="3" w:lineRule="exact"/>
        <w:rPr>
          <w:rFonts w:ascii="Arial" w:cs="Arial" w:eastAsia="Arial" w:hAnsi="Arial"/>
          <w:sz w:val="22"/>
          <w:szCs w:val="22"/>
          <w:color w:val="auto"/>
        </w:rPr>
      </w:pPr>
    </w:p>
    <w:p>
      <w:pPr>
        <w:ind w:left="1300" w:hanging="644"/>
        <w:spacing w:after="0"/>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 uncured material breach by the Company of any of its obligations under this Agreement.</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w:t>
      </w:r>
    </w:p>
    <w:p>
      <w:pPr>
        <w:sectPr>
          <w:pgSz w:w="11900" w:h="16838" w:orient="portrait"/>
          <w:cols w:equalWidth="0" w:num="1">
            <w:col w:w="11420"/>
          </w:cols>
          <w:pgMar w:left="240" w:top="591" w:right="239" w:bottom="1440" w:gutter="0" w:footer="0" w:header="0"/>
        </w:sectPr>
      </w:pPr>
    </w:p>
    <w:bookmarkStart w:id="63" w:name="page64"/>
    <w:bookmarkEnd w:id="63"/>
    <w:p>
      <w:pPr>
        <w:jc w:val="both"/>
        <w:spacing w:after="0" w:line="302" w:lineRule="auto"/>
        <w:rPr>
          <w:sz w:val="20"/>
          <w:szCs w:val="20"/>
          <w:color w:val="auto"/>
        </w:rPr>
      </w:pPr>
      <w:r>
        <w:rPr>
          <w:rFonts w:ascii="Arial" w:cs="Arial" w:eastAsia="Arial" w:hAnsi="Arial"/>
          <w:sz w:val="19"/>
          <w:szCs w:val="19"/>
          <w:color w:val="auto"/>
        </w:rPr>
        <w:t>act or failure to act constituting Good Reason hereunder; provided, however, that no such event described above shall constitute Good Reason unless: (1) Employee gives Notice of Termination to the Company specifying the condition or event relied upon for such termination within ninety (90) days of the initial existence of such event and (2) the Company fails to cure the condition or event constituting Good Reason within thirty (30) days following receipt of Employee's Notice of Termination.</w:t>
      </w:r>
    </w:p>
    <w:p>
      <w:pPr>
        <w:spacing w:after="0" w:line="143" w:lineRule="exact"/>
        <w:rPr>
          <w:sz w:val="20"/>
          <w:szCs w:val="20"/>
          <w:color w:val="auto"/>
        </w:rPr>
      </w:pPr>
    </w:p>
    <w:p>
      <w:pPr>
        <w:ind w:left="1560" w:hanging="836"/>
        <w:spacing w:after="0"/>
        <w:tabs>
          <w:tab w:leader="none" w:pos="156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660" w:hanging="652"/>
        <w:spacing w:after="0" w:line="24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a Reason Other than Cause, Death or Disability and Termination by Employee for Good Reason</w:t>
      </w:r>
      <w:r>
        <w:rPr>
          <w:rFonts w:ascii="Arial" w:cs="Arial" w:eastAsia="Arial" w:hAnsi="Arial"/>
          <w:sz w:val="22"/>
          <w:szCs w:val="22"/>
          <w:color w:val="auto"/>
        </w:rPr>
        <w:t>. If Employee's employment is terminated during the Employment Term by: (1) the Company for any reason other than Cause, Death or Disability; or (2) Employee for Good Reason:</w:t>
      </w:r>
    </w:p>
    <w:p>
      <w:pPr>
        <w:spacing w:after="0" w:line="1" w:lineRule="exact"/>
        <w:rPr>
          <w:rFonts w:ascii="Arial" w:cs="Arial" w:eastAsia="Arial" w:hAnsi="Arial"/>
          <w:sz w:val="22"/>
          <w:szCs w:val="22"/>
          <w:color w:val="auto"/>
        </w:rPr>
      </w:pPr>
    </w:p>
    <w:p>
      <w:pPr>
        <w:jc w:val="both"/>
        <w:ind w:left="1960" w:hanging="655"/>
        <w:spacing w:after="0" w:line="255" w:lineRule="auto"/>
        <w:tabs>
          <w:tab w:leader="none" w:pos="1960" w:val="left"/>
        </w:tabs>
        <w:numPr>
          <w:ilvl w:val="2"/>
          <w:numId w:val="44"/>
        </w:numPr>
        <w:rPr>
          <w:rFonts w:ascii="Arial" w:cs="Arial" w:eastAsia="Arial" w:hAnsi="Arial"/>
          <w:sz w:val="21"/>
          <w:szCs w:val="21"/>
          <w:color w:val="auto"/>
        </w:rPr>
      </w:pPr>
      <w:r>
        <w:rPr>
          <w:rFonts w:ascii="Arial" w:cs="Arial" w:eastAsia="Arial" w:hAnsi="Arial"/>
          <w:sz w:val="21"/>
          <w:szCs w:val="21"/>
          <w:color w:val="auto"/>
        </w:rPr>
        <w:t>the Company shall pay Employee the following (collectively, the "Accrued Obligations"): (A) within five (5) business days after the Date of Termination, any earned but unpaid Annual Base Salary; (B) within a reasonable time following submission of all applicable documentation (subject to Section 27(b)), any expense reimbursement payments owed to Employee for expenses incurred prior to the Date of Termination; and (C) no later than March 15th of the year in which the Date of Termination occurs, any earned but unpaid Annual Bonus payments relating to the prior calendar year;</w:t>
      </w:r>
    </w:p>
    <w:p>
      <w:pPr>
        <w:jc w:val="both"/>
        <w:ind w:left="1960" w:hanging="655"/>
        <w:spacing w:after="0" w:line="234"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Company shall pay Employee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2" w:lineRule="exact"/>
        <w:rPr>
          <w:rFonts w:ascii="Arial" w:cs="Arial" w:eastAsia="Arial" w:hAnsi="Arial"/>
          <w:sz w:val="22"/>
          <w:szCs w:val="22"/>
          <w:color w:val="auto"/>
        </w:rPr>
      </w:pPr>
    </w:p>
    <w:p>
      <w:pPr>
        <w:jc w:val="both"/>
        <w:ind w:left="1960" w:hanging="655"/>
        <w:spacing w:after="0" w:line="281" w:lineRule="auto"/>
        <w:tabs>
          <w:tab w:leader="none" w:pos="1960" w:val="left"/>
        </w:tabs>
        <w:numPr>
          <w:ilvl w:val="2"/>
          <w:numId w:val="44"/>
        </w:numPr>
        <w:rPr>
          <w:rFonts w:ascii="Arial" w:cs="Arial" w:eastAsia="Arial" w:hAnsi="Arial"/>
          <w:sz w:val="19"/>
          <w:szCs w:val="19"/>
          <w:color w:val="auto"/>
        </w:rPr>
      </w:pPr>
      <w:r>
        <w:rPr>
          <w:rFonts w:ascii="Arial" w:cs="Arial" w:eastAsia="Arial" w:hAnsi="Arial"/>
          <w:sz w:val="19"/>
          <w:szCs w:val="19"/>
          <w:color w:val="auto"/>
        </w:rPr>
        <w:t>Subject to Section 27(b) hereof, the Company shall pay Employee as soon as practicable, but not later than the sixty-fifth (65th) day after the Date of Termination, a lump-sum payment equal to 100% of Employee's</w:t>
      </w:r>
    </w:p>
    <w:p>
      <w:pPr>
        <w:spacing w:after="0" w:line="1" w:lineRule="exact"/>
        <w:rPr>
          <w:rFonts w:ascii="Arial" w:cs="Arial" w:eastAsia="Arial" w:hAnsi="Arial"/>
          <w:sz w:val="19"/>
          <w:szCs w:val="19"/>
          <w:color w:val="auto"/>
        </w:rPr>
      </w:pPr>
    </w:p>
    <w:p>
      <w:pPr>
        <w:jc w:val="both"/>
        <w:ind w:left="1960"/>
        <w:spacing w:after="0" w:line="243" w:lineRule="auto"/>
        <w:rPr>
          <w:rFonts w:ascii="Arial" w:cs="Arial" w:eastAsia="Arial" w:hAnsi="Arial"/>
          <w:sz w:val="19"/>
          <w:szCs w:val="19"/>
          <w:color w:val="auto"/>
        </w:rPr>
      </w:pPr>
      <w:r>
        <w:rPr>
          <w:rFonts w:ascii="Arial" w:cs="Arial" w:eastAsia="Arial" w:hAnsi="Arial"/>
          <w:sz w:val="22"/>
          <w:szCs w:val="22"/>
          <w:color w:val="auto"/>
        </w:rPr>
        <w:t>(A) Annual Base Salary in effect immediately prior to the Date of Termination (disregarding any reduction in Annual Base Salary to which Employee did not expressly consent in writing) and (B) target Annual Bonus in the year in which the Date of Termination occurs;</w:t>
      </w:r>
    </w:p>
    <w:p>
      <w:pPr>
        <w:spacing w:after="0" w:line="1" w:lineRule="exact"/>
        <w:rPr>
          <w:rFonts w:ascii="Arial" w:cs="Arial" w:eastAsia="Arial" w:hAnsi="Arial"/>
          <w:sz w:val="19"/>
          <w:szCs w:val="19"/>
          <w:color w:val="auto"/>
        </w:rPr>
      </w:pPr>
    </w:p>
    <w:p>
      <w:pPr>
        <w:jc w:val="both"/>
        <w:ind w:left="1960" w:hanging="655"/>
        <w:spacing w:after="0" w:line="281" w:lineRule="auto"/>
        <w:tabs>
          <w:tab w:leader="none" w:pos="1960" w:val="left"/>
        </w:tabs>
        <w:numPr>
          <w:ilvl w:val="2"/>
          <w:numId w:val="44"/>
        </w:numPr>
        <w:rPr>
          <w:rFonts w:ascii="Arial" w:cs="Arial" w:eastAsia="Arial" w:hAnsi="Arial"/>
          <w:sz w:val="19"/>
          <w:szCs w:val="19"/>
          <w:color w:val="auto"/>
        </w:rPr>
      </w:pPr>
      <w:r>
        <w:rPr>
          <w:rFonts w:ascii="Arial" w:cs="Arial" w:eastAsia="Arial" w:hAnsi="Arial"/>
          <w:sz w:val="19"/>
          <w:szCs w:val="19"/>
          <w:color w:val="auto"/>
        </w:rPr>
        <w:t>Subject to Section 27(b) hereof, all stock option, restricted stock and other equity-based incentive awards granted by Company that were outstanding but not vested as of the Date of Termination shall become immediately vested and/or payable, as the case may be, unless the equity incentive awards are based upon satisfaction of performance criteria; in which case, they will only vest pursuant to their express terms;</w:t>
      </w:r>
    </w:p>
    <w:p>
      <w:pPr>
        <w:spacing w:after="0" w:line="3" w:lineRule="exact"/>
        <w:rPr>
          <w:rFonts w:ascii="Arial" w:cs="Arial" w:eastAsia="Arial" w:hAnsi="Arial"/>
          <w:sz w:val="19"/>
          <w:szCs w:val="19"/>
          <w:color w:val="auto"/>
        </w:rPr>
      </w:pPr>
    </w:p>
    <w:p>
      <w:pPr>
        <w:jc w:val="both"/>
        <w:ind w:left="1960" w:hanging="655"/>
        <w:spacing w:after="0" w:line="256" w:lineRule="auto"/>
        <w:tabs>
          <w:tab w:leader="none" w:pos="1960" w:val="left"/>
        </w:tabs>
        <w:numPr>
          <w:ilvl w:val="2"/>
          <w:numId w:val="44"/>
        </w:numPr>
        <w:rPr>
          <w:rFonts w:ascii="Arial" w:cs="Arial" w:eastAsia="Arial" w:hAnsi="Arial"/>
          <w:sz w:val="21"/>
          <w:szCs w:val="21"/>
          <w:color w:val="auto"/>
        </w:rPr>
      </w:pPr>
      <w:r>
        <w:rPr>
          <w:rFonts w:ascii="Arial" w:cs="Arial" w:eastAsia="Arial" w:hAnsi="Arial"/>
          <w:sz w:val="21"/>
          <w:szCs w:val="21"/>
          <w:color w:val="auto"/>
        </w:rPr>
        <w:t>Subject to Section 27(b) hereof, any life insurance coverage provided by the Company shall terminate at the same time as life insurance coverage would normally terminate for any other employee that terminates employment with the Company, and, if permitted by the terms of the policy and applicable law, Employee shall have the right to convert that life insurance coverage to an individual policy under the regular rules of the Company's group policy. As soon as practicable, but not later than the sixty-fifth (65th) day after the Date of Termination, the Company shall pay Employee a lump sum cash payment equal to eighteen monthly life insurance premiums based on the monthly premiums that would be due assuming that Employee had converted the Company's life insurance coverage that was in effect on the Notice of Termination into an individual policy; and</w:t>
      </w:r>
    </w:p>
    <w:p>
      <w:pPr>
        <w:sectPr>
          <w:pgSz w:w="11900" w:h="16838" w:orient="portrait"/>
          <w:cols w:equalWidth="0" w:num="1">
            <w:col w:w="11420"/>
          </w:cols>
          <w:pgMar w:left="240" w:top="591" w:right="239" w:bottom="1440" w:gutter="0" w:footer="0" w:header="0"/>
        </w:sectPr>
      </w:pPr>
    </w:p>
    <w:bookmarkStart w:id="64" w:name="page65"/>
    <w:bookmarkEnd w:id="64"/>
    <w:p>
      <w:pPr>
        <w:jc w:val="both"/>
        <w:ind w:left="1304" w:hanging="655"/>
        <w:spacing w:after="0" w:line="288" w:lineRule="auto"/>
        <w:tabs>
          <w:tab w:leader="none" w:pos="1304" w:val="left"/>
        </w:tabs>
        <w:numPr>
          <w:ilvl w:val="2"/>
          <w:numId w:val="45"/>
        </w:numPr>
        <w:rPr>
          <w:rFonts w:ascii="Arial" w:cs="Arial" w:eastAsia="Arial" w:hAnsi="Arial"/>
          <w:sz w:val="19"/>
          <w:szCs w:val="19"/>
          <w:color w:val="auto"/>
        </w:rPr>
      </w:pPr>
      <w:r>
        <w:rPr>
          <w:rFonts w:ascii="Arial" w:cs="Arial" w:eastAsia="Arial" w:hAnsi="Arial"/>
          <w:sz w:val="19"/>
          <w:szCs w:val="19"/>
          <w:color w:val="auto"/>
        </w:rPr>
        <w:t>As long as Employee pays the full monthly premiums for COBRA coverage, the Company shall provide Employee and, as applicable, Employee's eligible dependents with continued medical and dental coverage, on the same basis as provided to the Company's active employees and their dependents until the earlier of:</w:t>
      </w:r>
    </w:p>
    <w:p>
      <w:pPr>
        <w:spacing w:after="0" w:line="1" w:lineRule="exact"/>
        <w:rPr>
          <w:rFonts w:ascii="Arial" w:cs="Arial" w:eastAsia="Arial" w:hAnsi="Arial"/>
          <w:sz w:val="19"/>
          <w:szCs w:val="19"/>
          <w:color w:val="auto"/>
        </w:rPr>
      </w:pPr>
    </w:p>
    <w:p>
      <w:pPr>
        <w:jc w:val="both"/>
        <w:ind w:left="1304"/>
        <w:spacing w:after="0" w:line="281" w:lineRule="auto"/>
        <w:rPr>
          <w:rFonts w:ascii="Arial" w:cs="Arial" w:eastAsia="Arial" w:hAnsi="Arial"/>
          <w:sz w:val="19"/>
          <w:szCs w:val="19"/>
          <w:color w:val="auto"/>
        </w:rPr>
      </w:pPr>
      <w:r>
        <w:rPr>
          <w:rFonts w:ascii="Arial" w:cs="Arial" w:eastAsia="Arial" w:hAnsi="Arial"/>
          <w:sz w:val="19"/>
          <w:szCs w:val="19"/>
          <w:color w:val="auto"/>
        </w:rPr>
        <w:t>(A) eighteen months after the Date of Termination (or such shorter time period as permitted under applicable law existing as of the Date of Termination or so that the Company would not be required to pay any excise tax); or (B) the date Employee is first eligible for medical and dental coverage (without pre-existing condition limitations) with a subsequent employer. In addition, as soon as practicable, but not later than the sixty-fifth (65th) day after the Date of Termination, the Company shall pay Employee a lump sum cash payment equal to eighteen monthly medical and dental COBRA premiums based on the level of coverage in effect for the Employee (e.g., employee only or family coverage) on the Date of Termination.</w:t>
      </w:r>
    </w:p>
    <w:p>
      <w:pPr>
        <w:spacing w:after="0" w:line="5" w:lineRule="exact"/>
        <w:rPr>
          <w:rFonts w:ascii="Arial" w:cs="Arial" w:eastAsia="Arial" w:hAnsi="Arial"/>
          <w:sz w:val="19"/>
          <w:szCs w:val="19"/>
          <w:color w:val="auto"/>
        </w:rPr>
      </w:pPr>
    </w:p>
    <w:p>
      <w:pPr>
        <w:jc w:val="both"/>
        <w:ind w:left="644" w:hanging="644"/>
        <w:spacing w:after="0" w:line="262" w:lineRule="auto"/>
        <w:tabs>
          <w:tab w:leader="none" w:pos="64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 and by Employee without Good Reason</w:t>
      </w:r>
      <w:r>
        <w:rPr>
          <w:rFonts w:ascii="Arial" w:cs="Arial" w:eastAsia="Arial" w:hAnsi="Arial"/>
          <w:sz w:val="21"/>
          <w:szCs w:val="21"/>
          <w:color w:val="auto"/>
        </w:rPr>
        <w:t>. If Employee's employment is terminated during the Employment Term by the Company for Cause or by Employee without Good Reason, the Company's only obligation under this Agreement shall be payment of any Accrued Obligations.</w:t>
      </w:r>
    </w:p>
    <w:p>
      <w:pPr>
        <w:spacing w:after="0" w:line="177" w:lineRule="exact"/>
        <w:rPr>
          <w:rFonts w:ascii="Arial" w:cs="Arial" w:eastAsia="Arial" w:hAnsi="Arial"/>
          <w:sz w:val="21"/>
          <w:szCs w:val="21"/>
          <w:color w:val="auto"/>
        </w:rPr>
      </w:pPr>
    </w:p>
    <w:p>
      <w:pPr>
        <w:jc w:val="both"/>
        <w:ind w:left="644" w:hanging="644"/>
        <w:spacing w:after="0" w:line="260" w:lineRule="auto"/>
        <w:tabs>
          <w:tab w:leader="none" w:pos="64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Employee's employment is terminated during the Employment Term due to death or by the Company due to Employee’s Disability, the Company shall pay Employee (or to Employee's estate or personal representative in the case of death), as soon as practicable, but not later than the sixty-fifth (65th) day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221" w:lineRule="exact"/>
        <w:rPr>
          <w:rFonts w:ascii="Arial" w:cs="Arial" w:eastAsia="Arial" w:hAnsi="Arial"/>
          <w:sz w:val="21"/>
          <w:szCs w:val="21"/>
          <w:color w:val="auto"/>
        </w:rPr>
      </w:pPr>
    </w:p>
    <w:p>
      <w:pPr>
        <w:jc w:val="both"/>
        <w:ind w:left="-656" w:firstLine="724"/>
        <w:spacing w:after="0" w:line="253" w:lineRule="auto"/>
        <w:tabs>
          <w:tab w:leader="none" w:pos="889"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Non-Delegation of Employee's Rights</w:t>
      </w:r>
      <w:r>
        <w:rPr>
          <w:rFonts w:ascii="Arial" w:cs="Arial" w:eastAsia="Arial" w:hAnsi="Arial"/>
          <w:sz w:val="22"/>
          <w:szCs w:val="22"/>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226" w:lineRule="exact"/>
        <w:rPr>
          <w:rFonts w:ascii="Arial" w:cs="Arial" w:eastAsia="Arial" w:hAnsi="Arial"/>
          <w:sz w:val="22"/>
          <w:szCs w:val="22"/>
          <w:color w:val="auto"/>
        </w:rPr>
      </w:pPr>
    </w:p>
    <w:p>
      <w:pPr>
        <w:jc w:val="both"/>
        <w:ind w:left="-656" w:firstLine="724"/>
        <w:spacing w:after="0" w:line="286" w:lineRule="auto"/>
        <w:tabs>
          <w:tab w:leader="none" w:pos="897"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Employee will occupy a position of trust and confidence and will have access to and learn substantial information about the Company and its affiliates and their respective operations that is confidential or not generally known in the industry including, without limitation, information that relates to purchasing, sales, customers, marketing, and the financial positions and financing arrangements of the Company and its affiliates. Employee agrees that all such information is proprietary or confidential, or constitutes trade secrets and is the sole property of the Company and/or its affiliates, as the case may be. Employee will keep confidential and, outside of the scope of Employee's duties and responsibilities with the Company and its affiliates,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Employee advise, discuss with or in any way assist any other person, firm or entity in obtaining or learning about any of the items described in this section. Accordingly, during the Employment Term and at all times thereafter Employee will not disclose, or permit or encourage anyone else to disclose, any such information, nor will Employee utilize any such information, either alone or with others, outside the scope of Employee's duties and responsibilities with the Company and its affiliates.</w:t>
      </w:r>
    </w:p>
    <w:p>
      <w:pPr>
        <w:sectPr>
          <w:pgSz w:w="11900" w:h="16838" w:orient="portrait"/>
          <w:cols w:equalWidth="0" w:num="1">
            <w:col w:w="10764"/>
          </w:cols>
          <w:pgMar w:left="896" w:top="591" w:right="239" w:bottom="1440" w:gutter="0" w:footer="0" w:header="0"/>
        </w:sectPr>
      </w:pPr>
    </w:p>
    <w:bookmarkStart w:id="65" w:name="page66"/>
    <w:bookmarkEnd w:id="65"/>
    <w:p>
      <w:pPr>
        <w:ind w:left="1572" w:hanging="1086"/>
        <w:spacing w:after="0"/>
        <w:tabs>
          <w:tab w:leader="none" w:pos="157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Negative Covenants</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632" w:hanging="632"/>
        <w:spacing w:after="0" w:line="281" w:lineRule="auto"/>
        <w:tabs>
          <w:tab w:leader="none" w:pos="63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Non-Competition During Employment Term</w:t>
      </w:r>
      <w:r>
        <w:rPr>
          <w:rFonts w:ascii="Arial" w:cs="Arial" w:eastAsia="Arial" w:hAnsi="Arial"/>
          <w:sz w:val="19"/>
          <w:szCs w:val="19"/>
          <w:color w:val="auto"/>
        </w:rPr>
        <w:t>. During the Employment Term Employee will devote such business time, attention and energies reasonably necessary to the diligent and faithful performance of the services to the Company and its affiliates, and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as from time to time constituted. In addition, during the Employment Term, Employee will undertake no planning for or organization of any business activity competitive with the work performed as an employee of the Company, and Employee will not combine or conspire with any other employee of the Company or any other person for the purpose of organizing any such competitive business activity.</w:t>
      </w:r>
    </w:p>
    <w:p>
      <w:pPr>
        <w:spacing w:after="0" w:line="7" w:lineRule="exact"/>
        <w:rPr>
          <w:rFonts w:ascii="Arial" w:cs="Arial" w:eastAsia="Arial" w:hAnsi="Arial"/>
          <w:sz w:val="19"/>
          <w:szCs w:val="19"/>
          <w:color w:val="auto"/>
        </w:rPr>
      </w:pPr>
    </w:p>
    <w:p>
      <w:pPr>
        <w:jc w:val="both"/>
        <w:ind w:left="652" w:hanging="652"/>
        <w:spacing w:after="0" w:line="281" w:lineRule="auto"/>
        <w:tabs>
          <w:tab w:leader="none" w:pos="65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Non-Solicitation of Company’s Employees After Employment Term</w:t>
      </w:r>
      <w:r>
        <w:rPr>
          <w:rFonts w:ascii="Arial" w:cs="Arial" w:eastAsia="Arial" w:hAnsi="Arial"/>
          <w:sz w:val="19"/>
          <w:szCs w:val="19"/>
          <w:color w:val="auto"/>
        </w:rPr>
        <w:t>. During the Employment Term for a period of twelve months immediately after termination of employment with the Company, regardless of whether such termination is voluntary or involuntary, with or without Cause, Employee agrees not to, for Employee’s own behalf or on behalf of any other person or entity, whether directly or indirectly, solicit, interview, take away or otherwise offer employment or service agreements to any employee working for the Company or who has worked for the Company for any time within the six months prior thereto; and/or make known to any person or entity the names and addresses of any employees of the Company or any other information pertaining to them for purposes of employment or receiving services.</w:t>
      </w:r>
    </w:p>
    <w:p>
      <w:pPr>
        <w:spacing w:after="0" w:line="5" w:lineRule="exact"/>
        <w:rPr>
          <w:rFonts w:ascii="Arial" w:cs="Arial" w:eastAsia="Arial" w:hAnsi="Arial"/>
          <w:sz w:val="19"/>
          <w:szCs w:val="19"/>
          <w:color w:val="auto"/>
        </w:rPr>
      </w:pPr>
    </w:p>
    <w:p>
      <w:pPr>
        <w:jc w:val="both"/>
        <w:ind w:left="652" w:hanging="652"/>
        <w:spacing w:after="0" w:line="295" w:lineRule="auto"/>
        <w:tabs>
          <w:tab w:leader="none" w:pos="65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 to Prospective Employers</w:t>
      </w:r>
      <w:r>
        <w:rPr>
          <w:rFonts w:ascii="Arial" w:cs="Arial" w:eastAsia="Arial" w:hAnsi="Arial"/>
          <w:sz w:val="19"/>
          <w:szCs w:val="19"/>
          <w:color w:val="auto"/>
        </w:rPr>
        <w:t>. Employee agrees that, with respect to each prospective employer with which Employee applies or interviews for employment during the term of Employee’s employment with the Company and within one year after the termination of the Employee’s employment with the Company, Employee will inform the prospective employer of the existence of this Agreement and will provide the prospective employer with a copy of this Agreement.</w:t>
      </w:r>
    </w:p>
    <w:p>
      <w:pPr>
        <w:spacing w:after="0" w:line="190" w:lineRule="exact"/>
        <w:rPr>
          <w:rFonts w:ascii="Arial" w:cs="Arial" w:eastAsia="Arial" w:hAnsi="Arial"/>
          <w:sz w:val="19"/>
          <w:szCs w:val="19"/>
          <w:color w:val="auto"/>
        </w:rPr>
      </w:pPr>
    </w:p>
    <w:p>
      <w:pPr>
        <w:jc w:val="both"/>
        <w:ind w:left="-8" w:firstLine="494"/>
        <w:spacing w:after="0" w:line="250" w:lineRule="auto"/>
        <w:tabs>
          <w:tab w:leader="none" w:pos="1559"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Employment Term, Employee shall return immediately to the Company or in the case of electronic records, delete under the Company’s supervision, all records and documents of or pertaining to the Company or its affiliates and shall not make or retain any copy or extract of any such record or document, or any other property of the Company or its affiliates.</w:t>
      </w:r>
    </w:p>
    <w:p>
      <w:pPr>
        <w:spacing w:after="0" w:line="228" w:lineRule="exact"/>
        <w:rPr>
          <w:rFonts w:ascii="Arial" w:cs="Arial" w:eastAsia="Arial" w:hAnsi="Arial"/>
          <w:sz w:val="22"/>
          <w:szCs w:val="22"/>
          <w:color w:val="auto"/>
        </w:rPr>
      </w:pPr>
    </w:p>
    <w:p>
      <w:pPr>
        <w:jc w:val="both"/>
        <w:ind w:left="-8" w:firstLine="494"/>
        <w:spacing w:after="0" w:line="294" w:lineRule="auto"/>
        <w:tabs>
          <w:tab w:leader="none" w:pos="1559"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Improvements and Inventions</w:t>
      </w:r>
      <w:r>
        <w:rPr>
          <w:rFonts w:ascii="Arial" w:cs="Arial" w:eastAsia="Arial" w:hAnsi="Arial"/>
          <w:sz w:val="19"/>
          <w:szCs w:val="19"/>
          <w:color w:val="auto"/>
        </w:rPr>
        <w:t>. Any and all improvements or inventions that Employee may make or participate in during the Employment Term, unless wholly unrelated to the business of the Company and its affiliates and not produced within the scope of Employee's employment hereunder, shall be the sole and exclusive property of the Company.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190" w:lineRule="exact"/>
        <w:rPr>
          <w:rFonts w:ascii="Arial" w:cs="Arial" w:eastAsia="Arial" w:hAnsi="Arial"/>
          <w:sz w:val="19"/>
          <w:szCs w:val="19"/>
          <w:color w:val="auto"/>
        </w:rPr>
      </w:pPr>
    </w:p>
    <w:p>
      <w:pPr>
        <w:jc w:val="both"/>
        <w:ind w:left="-8" w:firstLine="494"/>
        <w:spacing w:after="0" w:line="294" w:lineRule="auto"/>
        <w:tabs>
          <w:tab w:leader="none" w:pos="1559"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Actions and Survival</w:t>
      </w:r>
      <w:r>
        <w:rPr>
          <w:rFonts w:ascii="Arial" w:cs="Arial" w:eastAsia="Arial" w:hAnsi="Arial"/>
          <w:sz w:val="19"/>
          <w:szCs w:val="19"/>
          <w:color w:val="auto"/>
        </w:rPr>
        <w:t>. The parties agree and acknowledge that the rights conveyed by this Agreement are of a unique and special nature and that the Company will not have an adequate remedy at law in the event of a failure by Employee to abide by its terms and conditions, nor will money damages adequately compensate for such injury. Therefore, in the event of a breach of this Agreement by Employee, including, without limitation, under Section 13 hereof, the Company shall have the right, among other rights, to damages sustained thereby and to obtain an injunction or decree of specific performance from a court of competent jurisdiction to restrain or compel Employee to perform as agreed herein without posting any bond.</w:t>
      </w:r>
    </w:p>
    <w:p>
      <w:pPr>
        <w:sectPr>
          <w:pgSz w:w="11900" w:h="16838" w:orient="portrait"/>
          <w:cols w:equalWidth="0" w:num="1">
            <w:col w:w="11412"/>
          </w:cols>
          <w:pgMar w:left="248" w:top="591" w:right="239" w:bottom="1440" w:gutter="0" w:footer="0" w:header="0"/>
        </w:sectPr>
      </w:pPr>
    </w:p>
    <w:bookmarkStart w:id="66" w:name="page67"/>
    <w:bookmarkEnd w:id="66"/>
    <w:p>
      <w:pPr>
        <w:jc w:val="both"/>
        <w:spacing w:after="0" w:line="297" w:lineRule="auto"/>
        <w:rPr>
          <w:sz w:val="20"/>
          <w:szCs w:val="20"/>
          <w:color w:val="auto"/>
        </w:rPr>
      </w:pPr>
      <w:r>
        <w:rPr>
          <w:rFonts w:ascii="Arial" w:cs="Arial" w:eastAsia="Arial" w:hAnsi="Arial"/>
          <w:sz w:val="19"/>
          <w:szCs w:val="19"/>
          <w:color w:val="auto"/>
        </w:rPr>
        <w:t>Notwithstanding any termination of this Agreement or Employee's employment, Section 10 shall remain in effect until all obligations and benefits resulting from a termination of Employee’s employment during the Employment Term are satisfied. In addition, Sections 11 through 27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the Company.</w:t>
      </w:r>
    </w:p>
    <w:p>
      <w:pPr>
        <w:spacing w:after="0" w:line="188" w:lineRule="exact"/>
        <w:rPr>
          <w:sz w:val="20"/>
          <w:szCs w:val="20"/>
          <w:color w:val="auto"/>
        </w:rPr>
      </w:pPr>
    </w:p>
    <w:p>
      <w:pPr>
        <w:jc w:val="both"/>
        <w:ind w:firstLine="494"/>
        <w:spacing w:after="0" w:line="292" w:lineRule="auto"/>
        <w:tabs>
          <w:tab w:leader="none" w:pos="156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 provision herein to the contrary, the Company may require that, prior to payment, distribution or other benefit under this Agreement (other than due to Employee's death), Employee shall have executed a complete release of the Company and its affiliates and related parties in such form as is reasonably required by the Company, and any waiting periods contained in such release shall have expired. With respect to any release required to receive payments, distributions or other benefits owed pursuant to this Agreement, the Company must provide Employee with the form of release no later than seven (7) days after the Date of Termination and the release must be signed by Employee and returned to the Company, unchanged, effective and irrevocable, no later than sixty (60) days after the Date of Termination.</w:t>
      </w:r>
    </w:p>
    <w:p>
      <w:pPr>
        <w:spacing w:after="0" w:line="192" w:lineRule="exact"/>
        <w:rPr>
          <w:rFonts w:ascii="Arial" w:cs="Arial" w:eastAsia="Arial" w:hAnsi="Arial"/>
          <w:sz w:val="19"/>
          <w:szCs w:val="19"/>
          <w:color w:val="auto"/>
        </w:rPr>
      </w:pPr>
    </w:p>
    <w:p>
      <w:pPr>
        <w:jc w:val="both"/>
        <w:ind w:firstLine="494"/>
        <w:spacing w:after="0" w:line="302" w:lineRule="auto"/>
        <w:tabs>
          <w:tab w:leader="none" w:pos="156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if Employee's employment hereunder is terminated during the Employment Term, Employee is not required to seek other employment or to attempt in any way to reduce any amounts payable to Employee by the Company hereunder. Further, the amount of any payment or benefit provided for hereunder shall not be reduced by any compensation earned by Employee as the result of employment by another employer, by retirement benefits or otherwise.</w:t>
      </w:r>
    </w:p>
    <w:p>
      <w:pPr>
        <w:spacing w:after="0" w:line="183" w:lineRule="exact"/>
        <w:rPr>
          <w:rFonts w:ascii="Arial" w:cs="Arial" w:eastAsia="Arial" w:hAnsi="Arial"/>
          <w:sz w:val="19"/>
          <w:szCs w:val="19"/>
          <w:color w:val="auto"/>
        </w:rPr>
      </w:pPr>
    </w:p>
    <w:p>
      <w:pPr>
        <w:jc w:val="both"/>
        <w:ind w:firstLine="494"/>
        <w:spacing w:after="0" w:line="250" w:lineRule="auto"/>
        <w:tabs>
          <w:tab w:leader="none" w:pos="156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228" w:lineRule="exact"/>
        <w:rPr>
          <w:rFonts w:ascii="Arial" w:cs="Arial" w:eastAsia="Arial" w:hAnsi="Arial"/>
          <w:sz w:val="22"/>
          <w:szCs w:val="22"/>
          <w:color w:val="auto"/>
        </w:rPr>
      </w:pPr>
    </w:p>
    <w:p>
      <w:pPr>
        <w:jc w:val="both"/>
        <w:ind w:firstLine="494"/>
        <w:spacing w:after="0" w:line="250" w:lineRule="auto"/>
        <w:tabs>
          <w:tab w:leader="none" w:pos="156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California, excluding any conflicts or choice of law rule or principle that might otherwise refer construction or interpretation of this Agreement to the substantive law of another jurisdiction. Any litigation pertaining to this Agreement shall be adjudicated in courts located in Santa Barbara County, California.</w:t>
      </w:r>
    </w:p>
    <w:p>
      <w:pPr>
        <w:spacing w:after="0" w:line="228" w:lineRule="exact"/>
        <w:rPr>
          <w:rFonts w:ascii="Arial" w:cs="Arial" w:eastAsia="Arial" w:hAnsi="Arial"/>
          <w:sz w:val="22"/>
          <w:szCs w:val="22"/>
          <w:color w:val="auto"/>
        </w:rPr>
      </w:pPr>
    </w:p>
    <w:p>
      <w:pPr>
        <w:jc w:val="both"/>
        <w:ind w:firstLine="494"/>
        <w:spacing w:after="0" w:line="289" w:lineRule="auto"/>
        <w:tabs>
          <w:tab w:leader="none" w:pos="156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may not be assigned by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firstLine="494"/>
        <w:spacing w:after="0" w:line="263" w:lineRule="auto"/>
        <w:tabs>
          <w:tab w:leader="none" w:pos="156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ectPr>
          <w:pgSz w:w="11900" w:h="16838" w:orient="portrait"/>
          <w:cols w:equalWidth="0" w:num="1">
            <w:col w:w="11420"/>
          </w:cols>
          <w:pgMar w:left="240" w:top="591" w:right="239" w:bottom="1440" w:gutter="0" w:footer="0" w:header="0"/>
        </w:sectPr>
      </w:pPr>
    </w:p>
    <w:bookmarkStart w:id="67" w:name="page68"/>
    <w:bookmarkEnd w:id="67"/>
    <w:p>
      <w:pPr>
        <w:jc w:val="both"/>
        <w:ind w:left="-494" w:firstLine="494"/>
        <w:spacing w:after="0" w:line="286" w:lineRule="auto"/>
        <w:tabs>
          <w:tab w:leader="none" w:pos="107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and litigation expenses, all as determined by the court and not a jury, and such payment shall be made by the non-prevailing party within sixty (60) days of the date the right to the payment amount is so determined; provided, however, that following Employee’s termination of employment with the Company, if any party finds it necessary to employ legal counsel or to bring an action at law or other proceedings against the other party to interpret or enforce any of the terms hereof, the Company shall pay (on an ongoing basis) to Employee to the fullest extent permitted by law, all legal fees, court costs and litigation expenses reasonably incurred by Employee or others on Employee’s behalf (such amounts collectively referred to as the "Reimbursed Amounts"); provided, further, that Employee shall reimburse the Company for the Reimbursed Amounts if it is determined that a majority of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Employee. The rights under this section shall survive the termination of employment and this Agreement until the expiration of the applicable statute of limitations.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494" w:firstLine="494"/>
        <w:spacing w:after="0" w:line="259" w:lineRule="auto"/>
        <w:tabs>
          <w:tab w:leader="none" w:pos="107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the covenants in this Agreement.</w:t>
      </w:r>
    </w:p>
    <w:p>
      <w:pPr>
        <w:spacing w:after="0" w:line="220" w:lineRule="exact"/>
        <w:rPr>
          <w:rFonts w:ascii="Arial" w:cs="Arial" w:eastAsia="Arial" w:hAnsi="Arial"/>
          <w:sz w:val="21"/>
          <w:szCs w:val="21"/>
          <w:color w:val="auto"/>
        </w:rPr>
      </w:pPr>
    </w:p>
    <w:p>
      <w:pPr>
        <w:jc w:val="both"/>
        <w:ind w:left="-494" w:firstLine="494"/>
        <w:spacing w:after="0" w:line="253" w:lineRule="auto"/>
        <w:tabs>
          <w:tab w:leader="none" w:pos="107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806"/>
        <w:spacing w:after="0"/>
        <w:rPr>
          <w:sz w:val="20"/>
          <w:szCs w:val="20"/>
          <w:color w:val="auto"/>
        </w:rPr>
      </w:pPr>
      <w:r>
        <w:rPr>
          <w:rFonts w:ascii="Arial" w:cs="Arial" w:eastAsia="Arial" w:hAnsi="Arial"/>
          <w:sz w:val="22"/>
          <w:szCs w:val="22"/>
          <w:color w:val="auto"/>
        </w:rPr>
        <w:t>Fidelity National Financial, Inc.</w:t>
      </w:r>
    </w:p>
    <w:p>
      <w:pPr>
        <w:spacing w:after="0" w:line="22" w:lineRule="exact"/>
        <w:rPr>
          <w:sz w:val="20"/>
          <w:szCs w:val="20"/>
          <w:color w:val="auto"/>
        </w:rPr>
      </w:pPr>
    </w:p>
    <w:p>
      <w:pPr>
        <w:ind w:left="806"/>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806"/>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806"/>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166"/>
        <w:spacing w:after="0"/>
        <w:rPr>
          <w:sz w:val="20"/>
          <w:szCs w:val="20"/>
          <w:color w:val="auto"/>
        </w:rPr>
      </w:pPr>
      <w:r>
        <w:rPr>
          <w:rFonts w:ascii="Arial" w:cs="Arial" w:eastAsia="Arial" w:hAnsi="Arial"/>
          <w:sz w:val="22"/>
          <w:szCs w:val="22"/>
          <w:color w:val="auto"/>
        </w:rPr>
        <w:t>To Employee:</w:t>
      </w:r>
    </w:p>
    <w:p>
      <w:pPr>
        <w:spacing w:after="0" w:line="260" w:lineRule="exact"/>
        <w:rPr>
          <w:sz w:val="20"/>
          <w:szCs w:val="20"/>
          <w:color w:val="auto"/>
        </w:rPr>
      </w:pPr>
    </w:p>
    <w:p>
      <w:pPr>
        <w:ind w:left="806"/>
        <w:spacing w:after="0"/>
        <w:rPr>
          <w:sz w:val="20"/>
          <w:szCs w:val="20"/>
          <w:color w:val="auto"/>
        </w:rPr>
      </w:pPr>
      <w:r>
        <w:rPr>
          <w:rFonts w:ascii="Arial" w:cs="Arial" w:eastAsia="Arial" w:hAnsi="Arial"/>
          <w:sz w:val="22"/>
          <w:szCs w:val="22"/>
          <w:color w:val="auto"/>
        </w:rPr>
        <w:t>the address last provided to the Company as recorded in the Company’s Human Resource system.</w:t>
      </w:r>
    </w:p>
    <w:p>
      <w:pPr>
        <w:sectPr>
          <w:pgSz w:w="11900" w:h="16838" w:orient="portrait"/>
          <w:cols w:equalWidth="0" w:num="1">
            <w:col w:w="10926"/>
          </w:cols>
          <w:pgMar w:left="734" w:top="591" w:right="239" w:bottom="1440" w:gutter="0" w:footer="0" w:header="0"/>
        </w:sectPr>
      </w:pPr>
    </w:p>
    <w:bookmarkStart w:id="68" w:name="page69"/>
    <w:bookmarkEnd w:id="68"/>
    <w:p>
      <w:pPr>
        <w:ind w:left="-8" w:firstLine="494"/>
        <w:spacing w:after="0" w:line="263" w:lineRule="auto"/>
        <w:tabs>
          <w:tab w:leader="none" w:pos="1559"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215" w:lineRule="exact"/>
        <w:rPr>
          <w:rFonts w:ascii="Arial" w:cs="Arial" w:eastAsia="Arial" w:hAnsi="Arial"/>
          <w:sz w:val="22"/>
          <w:szCs w:val="22"/>
          <w:color w:val="auto"/>
        </w:rPr>
      </w:pPr>
    </w:p>
    <w:p>
      <w:pPr>
        <w:ind w:left="1572" w:hanging="1086"/>
        <w:spacing w:after="0"/>
        <w:tabs>
          <w:tab w:leader="none" w:pos="1572"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632" w:hanging="632"/>
        <w:spacing w:after="0" w:line="255" w:lineRule="auto"/>
        <w:tabs>
          <w:tab w:leader="none" w:pos="63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or an affiliate may deduct from all compensation and benefits payable under this Agreement any taxes or withholdings the Company is required to deduct pursuant to state, federal or local laws.</w:t>
      </w:r>
    </w:p>
    <w:p>
      <w:pPr>
        <w:jc w:val="both"/>
        <w:ind w:left="632" w:hanging="632"/>
        <w:spacing w:after="0" w:line="278" w:lineRule="auto"/>
        <w:tabs>
          <w:tab w:leader="none" w:pos="632"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and the terms of this Agreement and of any compensation or benefit plan under which compensation or benefits are provided shall be interpreted accordingly. If Employee is a "specified employee" under Section 409A, to the extent required to comply with Section 409(a)(2)(b)(i),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To the extent the payment of any amount under this Agreement constitutes deferred compensation (within the meaning of Treasury Regulation Section 1.409A-1(b)) and such amount is payable within a number of days (e.g., not later than the sixty-fifth (65</w:t>
      </w:r>
      <w:r>
        <w:rPr>
          <w:rFonts w:ascii="Arial" w:cs="Arial" w:eastAsia="Arial" w:hAnsi="Arial"/>
          <w:sz w:val="25"/>
          <w:szCs w:val="25"/>
          <w:color w:val="auto"/>
          <w:vertAlign w:val="superscript"/>
        </w:rPr>
        <w:t>th</w:t>
      </w:r>
      <w:r>
        <w:rPr>
          <w:rFonts w:ascii="Arial" w:cs="Arial" w:eastAsia="Arial" w:hAnsi="Arial"/>
          <w:sz w:val="19"/>
          <w:szCs w:val="19"/>
          <w:color w:val="auto"/>
        </w:rPr>
        <w:t>) day after the Date of Termination) that begins in one calendar year and ends in a subsequent calendar year, such amount shall be paid in the subsequent calendar year.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that constitute deferred compensation (within the meaning of Treasury Regulation Section 1.409A-1(b))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 reimbursement or in-kind benefits is not subject to liquidation or exchange for another benefit. Notwithstanding anything to the contrary, in no event shall the Company, any affiliate of the Company, or any employee, director, representative, agent or advisor of the Company or any affiliate of the Company be liable for or in respect of any additional tax, interest or penalty that may be imposed on Employee or other person under Section 409(A), or for damages for failing to comply with Section 409(A).</w:t>
      </w:r>
    </w:p>
    <w:p>
      <w:pPr>
        <w:spacing w:after="0" w:line="25" w:lineRule="exact"/>
        <w:rPr>
          <w:rFonts w:ascii="Arial" w:cs="Arial" w:eastAsia="Arial" w:hAnsi="Arial"/>
          <w:sz w:val="19"/>
          <w:szCs w:val="19"/>
          <w:color w:val="auto"/>
        </w:rPr>
      </w:pPr>
    </w:p>
    <w:p>
      <w:pPr>
        <w:jc w:val="both"/>
        <w:ind w:left="1292"/>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Excise Taxes</w:t>
      </w:r>
      <w:r>
        <w:rPr>
          <w:rFonts w:ascii="Arial" w:cs="Arial" w:eastAsia="Arial" w:hAnsi="Arial"/>
          <w:sz w:val="22"/>
          <w:szCs w:val="22"/>
          <w:color w:val="auto"/>
        </w:rPr>
        <w:t>. If any payments or benefits paid or provided or to be paid or provided to Employee or for Employee’s benefit pursuant to the terms of this Agreement or otherwise in connection with, or arising out of, employment with the Company or its subsidiaries or the termination thereof (a "Payment" and, collectively, the "Payments") would be subject to the</w:t>
      </w:r>
    </w:p>
    <w:p>
      <w:pPr>
        <w:sectPr>
          <w:pgSz w:w="11900" w:h="16838" w:orient="portrait"/>
          <w:cols w:equalWidth="0" w:num="1">
            <w:col w:w="11412"/>
          </w:cols>
          <w:pgMar w:left="248" w:top="591" w:right="239" w:bottom="1440" w:gutter="0" w:footer="0" w:header="0"/>
        </w:sectPr>
      </w:pPr>
    </w:p>
    <w:bookmarkStart w:id="69" w:name="page70"/>
    <w:bookmarkEnd w:id="69"/>
    <w:p>
      <w:pPr>
        <w:jc w:val="both"/>
        <w:ind w:left="640"/>
        <w:spacing w:after="0" w:line="288" w:lineRule="auto"/>
        <w:rPr>
          <w:sz w:val="20"/>
          <w:szCs w:val="20"/>
          <w:color w:val="auto"/>
        </w:rPr>
      </w:pPr>
      <w:r>
        <w:rPr>
          <w:rFonts w:ascii="Arial" w:cs="Arial" w:eastAsia="Arial" w:hAnsi="Arial"/>
          <w:sz w:val="19"/>
          <w:szCs w:val="19"/>
          <w:color w:val="auto"/>
        </w:rPr>
        <w:t>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[Remainder of page is intentionally blank.]</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______________________________</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Roger Jewkes</w:t>
      </w:r>
    </w:p>
    <w:p>
      <w:pPr>
        <w:sectPr>
          <w:pgSz w:w="11900" w:h="16838" w:orient="portrait"/>
          <w:cols w:equalWidth="0" w:num="1">
            <w:col w:w="10760"/>
          </w:cols>
          <w:pgMar w:left="900" w:top="59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THIS FIRST AMENDMENT TO EMPLOYMENT AGREEMENT (the "Amendment") is effective as of May 3, 2016 (the "Effective Date"), by and between </w:t>
      </w:r>
      <w:r>
        <w:rPr>
          <w:rFonts w:ascii="Arial" w:cs="Arial" w:eastAsia="Arial" w:hAnsi="Arial"/>
          <w:sz w:val="21"/>
          <w:szCs w:val="21"/>
          <w:b w:val="1"/>
          <w:bCs w:val="1"/>
          <w:color w:val="auto"/>
        </w:rPr>
        <w:t>FIDELITY NATIONAL FINANCIAL, INC.</w:t>
      </w:r>
      <w:r>
        <w:rPr>
          <w:rFonts w:ascii="Arial" w:cs="Arial" w:eastAsia="Arial" w:hAnsi="Arial"/>
          <w:sz w:val="21"/>
          <w:szCs w:val="21"/>
          <w:color w:val="auto"/>
        </w:rPr>
        <w:t xml:space="preserve">, a Delaware corporation (the "Company"), and </w:t>
      </w:r>
      <w:r>
        <w:rPr>
          <w:rFonts w:ascii="Arial" w:cs="Arial" w:eastAsia="Arial" w:hAnsi="Arial"/>
          <w:sz w:val="21"/>
          <w:szCs w:val="21"/>
          <w:b w:val="1"/>
          <w:bCs w:val="1"/>
          <w:color w:val="auto"/>
        </w:rPr>
        <w:t xml:space="preserve">ROGER JEWKES </w:t>
      </w:r>
      <w:r>
        <w:rPr>
          <w:rFonts w:ascii="Arial" w:cs="Arial" w:eastAsia="Arial" w:hAnsi="Arial"/>
          <w:sz w:val="21"/>
          <w:szCs w:val="21"/>
          <w:color w:val="auto"/>
        </w:rPr>
        <w:t>(the “Employee”) and amends that certain Employment Agreement dated as of March 2, 2016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consideration of the mutual covenants and agreements set forth herein, the parties agree as follows:</w:t>
      </w:r>
    </w:p>
    <w:p>
      <w:pPr>
        <w:spacing w:after="0" w:line="176" w:lineRule="exact"/>
        <w:rPr>
          <w:sz w:val="20"/>
          <w:szCs w:val="20"/>
          <w:color w:val="auto"/>
        </w:rPr>
      </w:pPr>
    </w:p>
    <w:p>
      <w:pPr>
        <w:jc w:val="both"/>
        <w:ind w:left="660" w:firstLine="645"/>
        <w:spacing w:after="0" w:line="265" w:lineRule="auto"/>
        <w:tabs>
          <w:tab w:leader="none" w:pos="2091" w:val="left"/>
        </w:tabs>
        <w:numPr>
          <w:ilvl w:val="0"/>
          <w:numId w:val="53"/>
        </w:numPr>
        <w:rPr>
          <w:rFonts w:ascii="Arial" w:cs="Arial" w:eastAsia="Arial" w:hAnsi="Arial"/>
          <w:sz w:val="17"/>
          <w:szCs w:val="17"/>
          <w:color w:val="auto"/>
        </w:rPr>
      </w:pPr>
      <w:r>
        <w:rPr>
          <w:rFonts w:ascii="Arial" w:cs="Arial" w:eastAsia="Arial" w:hAnsi="Arial"/>
          <w:sz w:val="20"/>
          <w:szCs w:val="20"/>
          <w:color w:val="auto"/>
        </w:rPr>
        <w:t>Section 10(c) of the Agreement is deleted in its entirety and the following is inserted in lieu thereof: “</w:t>
      </w:r>
      <w:r>
        <w:rPr>
          <w:rFonts w:ascii="Arial" w:cs="Arial" w:eastAsia="Arial" w:hAnsi="Arial"/>
          <w:sz w:val="20"/>
          <w:szCs w:val="20"/>
          <w:u w:val="single" w:color="auto"/>
          <w:color w:val="auto"/>
        </w:rPr>
        <w:t>Termination due to Death or Disability</w:t>
      </w:r>
      <w:r>
        <w:rPr>
          <w:rFonts w:ascii="Arial" w:cs="Arial" w:eastAsia="Arial" w:hAnsi="Arial"/>
          <w:sz w:val="20"/>
          <w:szCs w:val="20"/>
          <w:color w:val="auto"/>
        </w:rPr>
        <w:t>. If the Employee’s employment is terminated during the Employment Term due to death or by the Company due to Employee’s Disability, the Company shall pay Employee (or to Employee’s estate or personal representative in the case of death), as soon as practicable, but not later than the sixty-fifty (65</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 (i) any Accrued Obligations; plus (ii) a prorated Annual Bonus based upon the target Annual Bonus Opportunity in the year in which the Date of Termination occurs or the prior year if no target Annual Bonus Opportunity has yet been determined multiplied by the percentage of the calendar year completed before the Date of Termination. Additionally, subject to Section 27(b) hereof, all stock option, restricted stock, profits interest and other equity-based incentive awards granted by the Company and Black Knight Financial Services, Inc. that were outstanding but not vested as of the Date of Termination shall become immediately vested and/or payable.”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Its: Co-Chief Operating Officer</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ROGER JEWKES</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9, 2016</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9, 2016</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June 30, 2016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the parent holding company, certain other unallocated corporate overhead expenses, and other real estate and insurance-related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5"/>
              </w:rPr>
              <w:t>Fixed maturity securities available for sale, at fair value, at June 30, 2016 and December 31, 2015 includes pledged fixed maturity securities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$336 and $342, respectively, related to secured trust deposits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2,558</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309</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Short-term investments, at June 30, 2016 and December 31, 2015 includes short-term investments of $258 and $266, respectively, related to</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4,149</w:t>
            </w: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Cash and cash equivalents, at June 30, 2016 and December 31, 2015 includes $520 and $108, respectively, of pledged cash related to secured trust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$21 and $32 at June 30, 2016 and December 31, 2015, respectively</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13,032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1,583</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2,593</w:t>
            </w: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6"/>
              </w:rPr>
              <w:t>FNF Group common stock, $0.0001 par value; authorized 487,000,000 shares as of June 30, 2016 and December 31, 2015; outstanding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2"/>
              </w:rPr>
              <w:t>272,703,257 and 275,781,160 as of June 30, 2016 and December 31, 2015, respectively, and issued of 283,681,067 and 282,394,970 as of June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30, 2016 and December 31, 2015, respectively</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3,639</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1,377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10,977,810 and 6,613,810 shares as of June 30, 2016 and December 31, 2015, respectively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4,785</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5,505</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13,032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89"/>
              </w:rPr>
              <w:t>Three months ended June 30,</w:t>
            </w:r>
          </w:p>
        </w:tc>
        <w:tc>
          <w:tcPr>
            <w:tcW w:w="140" w:type="dxa"/>
            <w:vAlign w:val="bottom"/>
          </w:tcPr>
          <w:p>
            <w:pPr>
              <w:spacing w:after="0"/>
              <w:rPr>
                <w:sz w:val="18"/>
                <w:szCs w:val="18"/>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89"/>
              </w:rPr>
              <w:t>Six months ended June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(Unaudited)</w:t>
            </w:r>
          </w:p>
        </w:tc>
        <w:tc>
          <w:tcPr>
            <w:tcW w:w="140" w:type="dxa"/>
            <w:vAlign w:val="bottom"/>
          </w:tcPr>
          <w:p>
            <w:pPr>
              <w:spacing w:after="0"/>
              <w:rPr>
                <w:sz w:val="18"/>
                <w:szCs w:val="18"/>
                <w:color w:val="auto"/>
              </w:rPr>
            </w:pPr>
          </w:p>
        </w:tc>
        <w:tc>
          <w:tcPr>
            <w:tcW w:w="20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192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70"/>
        </w:trPr>
        <w:tc>
          <w:tcPr>
            <w:tcW w:w="9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(increase) in pledged cash, pledged investments, and secured trust deposits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(decrease) in reserve for title claim losses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proceeds from (purchases of) short-term 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eLynx Holdings, Inc.,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BPG Holdings, LLC,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investment in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BKFS IPO</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by BKFS to member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excluding pledged cash related to secured trust deposits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44"/>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480"/>
              <w:spacing w:after="0"/>
              <w:rPr>
                <w:sz w:val="20"/>
                <w:szCs w:val="20"/>
                <w:color w:val="auto"/>
              </w:rPr>
            </w:pPr>
            <w:r>
              <w:rPr>
                <w:rFonts w:ascii="Arial" w:cs="Arial" w:eastAsia="Arial" w:hAnsi="Arial"/>
                <w:sz w:val="18"/>
                <w:szCs w:val="18"/>
                <w:color w:val="auto"/>
              </w:rPr>
              <w:t>See Notes to Unaudited Attributed Financial Information for FNF Group Tracking Stock</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64" w:right="259" w:bottom="949"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949"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FNF Group is a leading provider of (i) title insurance, escrow and other title-related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26, 2016, we announced that FNF Group signed a definitive agreement to acquire Commissions, Inc. ("CINC"), a leading provider of web-based real estate marketing and customer relationship management software for elite agents and teams across North America. CINC’s product offerings include software, marketing and services designed to enhance the productivity and sales results of elite Realtors® and agent teams through lead generation and proactive lead management.</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June 30, 2016, our investment in CF Corp has a fair value of $30 million and is included in Equity securities available for sale on the corresponding Condensed Consolidated Balance Sheet.</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Note B to the Condensed Consolidated Financial Statements included within Part I, Item I of Form 10-Q in this Quarterly Report for further discussion.</w:t>
      </w:r>
    </w:p>
    <w:p>
      <w:pPr>
        <w:spacing w:after="0" w:line="3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On April 29, 2016, pursuant to the terms of a certain “synthetic lease” agreement, dated as of June 29, 2004, as amended on June 27, 2011, and further described under </w:t>
      </w: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xml:space="preserve"> in Item 2 of Part II of this Quarterly Report, we exercised our option to purchase the land and various real property improvements associated with our corporate campus and headquarters in Jacksonville, Florida from SunTrust Bank for $71 million.</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3, 2016 our Board of Directors adopted a resolution increasing the size of the Company’s Board of Directors to eleven, and elected Janet Kerr to serve on our Board of Directors. Ms. Kerr serves in Class II of our Board of Directors, and her initial term expired at the annual meeting of our shareholders held on June 15, 2016, at which time shareholders elected her to the Board of Directors. At this time, Ms. Kerr has not been appointed to any committee of our Board.</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June 30, 2016 included in this Quarterly Report on Form 10-Q.</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Digital Insurance, Inc. ("Digital Insurance") and Del Frisco's Restaurant Group ("Del Frisco's", NYSE: DFRG).</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57" w:lineRule="auto"/>
        <w:tabs>
          <w:tab w:leader="none" w:pos="6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hold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 As of and for the six months ended June 30,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134"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w w:val="94"/>
              </w:rPr>
              <w:t>FNFV Group common stock, $0.0001 par value; authorized 113,000,000 shares as of June 30, 2016 and December 31, 2015;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w w:val="92"/>
              </w:rPr>
              <w:t>outstanding of 67,241,506 and 72,217,882 as of June 30, 2016 and December 31, 2015, respectively, and issued of 80,581,608</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and 80,581,466 as of June 30, 2016 and December 31, 2015, respectively</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 (deficit)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Less: treasury stock, 13,340,102 and 8,363,584 shares as of June 30, 2016 and December 31, 2015, respectively</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9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FNFV Group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Basic</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FNFV Group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attributable to FNFV Group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206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20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(earnings) of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(increase) decrease in trade receivables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prepaid expenses and other assets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proceeds from (purchases of) short-term investment securities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other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Acquisition of Compass/Prospective, net of cash acquired</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and debt issuance costs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9360" w:type="dxa"/>
            <w:vAlign w:val="bottom"/>
          </w:tcPr>
          <w:p>
            <w:pPr>
              <w:ind w:left="566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our FNFV group, we own majority and minority equity investment stakes in a number of entities, including American Blue Ribbon Holdings, LLC ("ABRH"), Ceridian HCM, Inc. ("Ceridian") and Digital Insurance, Inc. ("Digital Insurance") and Del Frisco's Restaurant Group ("Del Frisco's", NYSE: DFRG).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270"/>
        </w:trPr>
        <w:tc>
          <w:tcPr>
            <w:tcW w:w="8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w:t>
            </w:r>
          </w:p>
        </w:tc>
      </w:tr>
      <w:tr>
        <w:trPr>
          <w:trHeight w:val="27"/>
        </w:trPr>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Digital Insurance, LLC</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Ceridian/Fleetcor (33% minority equity interest)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442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7"/>
        </w:trPr>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Financial investments</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44</w:t>
            </w:r>
          </w:p>
        </w:tc>
      </w:tr>
      <w:tr>
        <w:trPr>
          <w:trHeight w:val="27"/>
        </w:trPr>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7"/>
        </w:trPr>
        <w:tc>
          <w:tcPr>
            <w:tcW w:w="8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940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969</w:t>
            </w:r>
          </w:p>
        </w:tc>
      </w:tr>
      <w:tr>
        <w:trPr>
          <w:trHeight w:val="20"/>
        </w:trPr>
        <w:tc>
          <w:tcPr>
            <w:tcW w:w="8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5" w:name="page86"/>
    <w:bookmarkEnd w:id="85"/>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01"/>
    </w:lvl>
  </w:abstractNum>
  <w:abstractNum w:abstractNumId="10">
    <w:nsid w:val="419AC241"/>
    <w:multiLevelType w:val="hybridMultilevel"/>
    <w:lvl w:ilvl="0">
      <w:lvlJc w:val="left"/>
      <w:lvlText w:val="%1"/>
      <w:numFmt w:val="decimal"/>
      <w:start w:val="10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upperLetter"/>
      <w:start w:val="1"/>
    </w:lvl>
    <w:lvl w:ilvl="1">
      <w:lvlJc w:val="left"/>
      <w:lvlText w:val="%2."/>
      <w:numFmt w:val="decimal"/>
      <w:start w:val="1"/>
    </w:lvl>
  </w:abstractNum>
  <w:abstractNum w:abstractNumId="13">
    <w:nsid w:val="5072367"/>
    <w:multiLevelType w:val="hybridMultilevel"/>
    <w:lvl w:ilvl="0">
      <w:lvlJc w:val="left"/>
      <w:lvlText w:val="(%1)"/>
      <w:numFmt w:val="upperLetter"/>
      <w:start w:val="1"/>
    </w:lvl>
    <w:lvl w:ilvl="1">
      <w:lvlJc w:val="left"/>
      <w:lvlText w:val="%2"/>
      <w:numFmt w:val="decimal"/>
      <w:start w:val="1"/>
    </w:lvl>
  </w:abstractNum>
  <w:abstractNum w:abstractNumId="14">
    <w:nsid w:val="3804823E"/>
    <w:multiLevelType w:val="hybridMultilevel"/>
    <w:lvl w:ilvl="0">
      <w:lvlJc w:val="left"/>
      <w:lvlText w:val="%1"/>
      <w:numFmt w:val="decimal"/>
      <w:start w:val="1"/>
    </w:lvl>
    <w:lvl w:ilvl="1">
      <w:lvlJc w:val="left"/>
      <w:lvlText w:val="%2."/>
      <w:numFmt w:val="decimal"/>
      <w:start w:val="1"/>
    </w:lvl>
  </w:abstractNum>
  <w:abstractNum w:abstractNumId="15">
    <w:nsid w:val="77465F01"/>
    <w:multiLevelType w:val="hybridMultilevel"/>
    <w:lvl w:ilvl="0">
      <w:lvlJc w:val="left"/>
      <w:lvlText w:val="(%1)"/>
      <w:numFmt w:val="decimal"/>
      <w:start w:val="30"/>
    </w:lvl>
    <w:lvl w:ilvl="1">
      <w:lvlJc w:val="left"/>
      <w:lvlText w:val="%2"/>
      <w:numFmt w:val="decimal"/>
      <w:start w:val="1"/>
    </w:lvl>
  </w:abstractNum>
  <w:abstractNum w:abstractNumId="16">
    <w:nsid w:val="7724C67E"/>
    <w:multiLevelType w:val="hybridMultilevel"/>
    <w:lvl w:ilvl="0">
      <w:lvlJc w:val="left"/>
      <w:lvlText w:val="%1"/>
      <w:numFmt w:val="upperLetter"/>
      <w:start w:val="1"/>
    </w:lvl>
    <w:lvl w:ilvl="1">
      <w:lvlJc w:val="left"/>
      <w:lvlText w:val="%2."/>
      <w:numFmt w:val="decimal"/>
      <w:start w:val="1"/>
    </w:lvl>
  </w:abstractNum>
  <w:abstractNum w:abstractNumId="17">
    <w:nsid w:val="5C482A97"/>
    <w:multiLevelType w:val="hybridMultilevel"/>
    <w:lvl w:ilvl="0">
      <w:lvlJc w:val="left"/>
      <w:lvlText w:val="(%1)"/>
      <w:numFmt w:val="upperLetter"/>
      <w:start w:val="1"/>
    </w:lvl>
    <w:lvl w:ilvl="1">
      <w:lvlJc w:val="left"/>
      <w:lvlText w:val="%2"/>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lvl w:ilvl="1">
      <w:lvlJc w:val="left"/>
      <w:lvlText w:val="%2."/>
      <w:numFmt w:val="decimal"/>
      <w:start w:val="1"/>
    </w:lvl>
  </w:abstractNum>
  <w:abstractNum w:abstractNumId="20">
    <w:nsid w:val="51EAD36B"/>
    <w:multiLevelType w:val="hybridMultilevel"/>
    <w:lvl w:ilvl="0">
      <w:lvlJc w:val="left"/>
      <w:lvlText w:val="(%1)"/>
      <w:numFmt w:val="decimal"/>
      <w:start w:val="30"/>
    </w:lvl>
    <w:lvl w:ilvl="1">
      <w:lvlJc w:val="left"/>
      <w:lvlText w:val="%2"/>
      <w:numFmt w:val="decimal"/>
      <w:start w:val="1"/>
    </w:lvl>
  </w:abstractNum>
  <w:abstractNum w:abstractNumId="21">
    <w:nsid w:val="2D517796"/>
    <w:multiLevelType w:val="hybridMultilevel"/>
    <w:lvl w:ilvl="0">
      <w:lvlJc w:val="left"/>
      <w:lvlText w:val="%1"/>
      <w:numFmt w:val="decimal"/>
      <w:start w:val="1"/>
    </w:lvl>
    <w:lvl w:ilvl="1">
      <w:lvlJc w:val="left"/>
      <w:lvlText w:val="%2."/>
      <w:numFmt w:val="decimal"/>
      <w:start w:val="1"/>
    </w:lvl>
  </w:abstractNum>
  <w:abstractNum w:abstractNumId="22">
    <w:nsid w:val="580BD78F"/>
    <w:multiLevelType w:val="hybridMultilevel"/>
    <w:lvl w:ilvl="0">
      <w:lvlJc w:val="left"/>
      <w:lvlText w:val="(%1)"/>
      <w:numFmt w:val="decimal"/>
      <w:start w:val="3"/>
    </w:lvl>
    <w:lvl w:ilvl="1">
      <w:lvlJc w:val="left"/>
      <w:lvlText w:val="%2."/>
      <w:numFmt w:val="decimal"/>
      <w:start w:val="4"/>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3"/>
    </w:lvl>
    <w:lvl w:ilvl="1">
      <w:lvlJc w:val="left"/>
      <w:lvlText w:val="%2."/>
      <w:numFmt w:val="decimal"/>
      <w:start w:val="6"/>
    </w:lvl>
  </w:abstractNum>
  <w:abstractNum w:abstractNumId="25">
    <w:nsid w:val="70A64E2A"/>
    <w:multiLevelType w:val="hybridMultilevel"/>
    <w:lvl w:ilvl="0">
      <w:lvlJc w:val="left"/>
      <w:lvlText w:val="(%1)"/>
      <w:numFmt w:val="lowerLetter"/>
      <w:start w:val="1"/>
    </w:lvl>
    <w:lvl w:ilvl="1">
      <w:lvlJc w:val="left"/>
      <w:lvlText w:val="(%2)"/>
      <w:numFmt w:val="lowerRoman"/>
      <w:start w:val="1"/>
    </w:lvl>
  </w:abstractNum>
  <w:abstractNum w:abstractNumId="26">
    <w:nsid w:val="6A2342EC"/>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abstractNum>
  <w:abstractNum w:abstractNumId="27">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abstractNum>
  <w:abstractNum w:abstractNumId="29">
    <w:nsid w:val="725A06FB"/>
    <w:multiLevelType w:val="hybridMultilevel"/>
    <w:lvl w:ilvl="0">
      <w:lvlJc w:val="left"/>
      <w:lvlText w:val="(%1)"/>
      <w:numFmt w:val="lowerLetter"/>
      <w:start w:val="2"/>
    </w:lvl>
    <w:lvl w:ilvl="1">
      <w:lvlJc w:val="left"/>
      <w:lvlText w:val="%2."/>
      <w:numFmt w:val="decimal"/>
      <w:start w:val="11"/>
    </w:lvl>
    <w:lvl w:ilvl="2">
      <w:lvlJc w:val="left"/>
      <w:lvlText w:val="%3"/>
      <w:numFmt w:val="lowerRoman"/>
      <w:start w:val="1"/>
    </w:lvl>
  </w:abstractNum>
  <w:abstractNum w:abstractNumId="30">
    <w:nsid w:val="2CD89A32"/>
    <w:multiLevelType w:val="hybridMultilevel"/>
    <w:lvl w:ilvl="0">
      <w:lvlJc w:val="left"/>
      <w:lvlText w:val="%1"/>
      <w:numFmt w:val="lowerLetter"/>
      <w:start w:val="1"/>
    </w:lvl>
    <w:lvl w:ilvl="1">
      <w:lvlJc w:val="left"/>
      <w:lvlText w:val="%2"/>
      <w:numFmt w:val="decimal"/>
      <w:start w:val="1"/>
    </w:lvl>
    <w:lvl w:ilvl="2">
      <w:lvlJc w:val="left"/>
      <w:lvlText w:val="%3."/>
      <w:numFmt w:val="decimal"/>
      <w:start w:val="13"/>
    </w:lvl>
  </w:abstractNum>
  <w:abstractNum w:abstractNumId="31">
    <w:nsid w:val="57E4CCAF"/>
    <w:multiLevelType w:val="hybridMultilevel"/>
    <w:lvl w:ilvl="0">
      <w:lvlJc w:val="left"/>
      <w:lvlText w:val="(%1)"/>
      <w:numFmt w:val="lowerLetter"/>
      <w:start w:val="1"/>
    </w:lvl>
    <w:lvl w:ilvl="1">
      <w:lvlJc w:val="left"/>
      <w:lvlText w:val="%2."/>
      <w:numFmt w:val="decimal"/>
      <w:start w:val="14"/>
    </w:lvl>
    <w:lvl w:ilvl="2">
      <w:lvlJc w:val="left"/>
      <w:lvlText w:val="%3"/>
      <w:numFmt w:val="decimal"/>
      <w:start w:val="1"/>
    </w:lvl>
  </w:abstractNum>
  <w:abstractNum w:abstractNumId="32">
    <w:nsid w:val="7A6D8D3C"/>
    <w:multiLevelType w:val="hybridMultilevel"/>
    <w:lvl w:ilvl="0">
      <w:lvlJc w:val="left"/>
      <w:lvlText w:val="%1."/>
      <w:numFmt w:val="decimal"/>
      <w:start w:val="16"/>
    </w:lvl>
  </w:abstractNum>
  <w:abstractNum w:abstractNumId="33">
    <w:nsid w:val="4B588F54"/>
    <w:multiLevelType w:val="hybridMultilevel"/>
    <w:lvl w:ilvl="0">
      <w:lvlJc w:val="left"/>
      <w:lvlText w:val="%1."/>
      <w:numFmt w:val="decimal"/>
      <w:start w:val="22"/>
    </w:lvl>
  </w:abstractNum>
  <w:abstractNum w:abstractNumId="34">
    <w:nsid w:val="542289EC"/>
    <w:multiLevelType w:val="hybridMultilevel"/>
    <w:lvl w:ilvl="0">
      <w:lvlJc w:val="left"/>
      <w:lvlText w:val="%1"/>
      <w:numFmt w:val="lowerLetter"/>
      <w:start w:val="1"/>
    </w:lvl>
    <w:lvl w:ilvl="1">
      <w:lvlJc w:val="left"/>
      <w:lvlText w:val="%2."/>
      <w:numFmt w:val="decimal"/>
      <w:start w:val="26"/>
    </w:lvl>
  </w:abstractNum>
  <w:abstractNum w:abstractNumId="35">
    <w:nsid w:val="6DE91B18"/>
    <w:multiLevelType w:val="hybridMultilevel"/>
    <w:lvl w:ilvl="0">
      <w:lvlJc w:val="left"/>
      <w:lvlText w:val="(%1)"/>
      <w:numFmt w:val="lowerLetter"/>
      <w:start w:val="1"/>
    </w:lvl>
    <w:lvl w:ilvl="1">
      <w:lvlJc w:val="left"/>
      <w:lvlText w:val="%2"/>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lvl w:ilvl="1">
      <w:lvlJc w:val="left"/>
      <w:lvlText w:val="%2."/>
      <w:numFmt w:val="decimal"/>
      <w:start w:val="1"/>
    </w:lvl>
  </w:abstractNum>
  <w:abstractNum w:abstractNumId="38">
    <w:nsid w:val="32FFF902"/>
    <w:multiLevelType w:val="hybridMultilevel"/>
    <w:lvl w:ilvl="0">
      <w:lvlJc w:val="left"/>
      <w:lvlText w:val="(%1)"/>
      <w:numFmt w:val="decimal"/>
      <w:start w:val="3"/>
    </w:lvl>
    <w:lvl w:ilvl="1">
      <w:lvlJc w:val="left"/>
      <w:lvlText w:val="%2."/>
      <w:numFmt w:val="decimal"/>
      <w:start w:val="4"/>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2"/>
    </w:lvl>
    <w:lvl w:ilvl="1">
      <w:lvlJc w:val="left"/>
      <w:lvlText w:val="%2."/>
      <w:numFmt w:val="decimal"/>
      <w:start w:val="6"/>
    </w:lvl>
  </w:abstractNum>
  <w:abstractNum w:abstractNumId="41">
    <w:nsid w:val="749ABB43"/>
    <w:multiLevelType w:val="hybridMultilevel"/>
    <w:lvl w:ilvl="0">
      <w:lvlJc w:val="left"/>
      <w:lvlText w:val="(%1)"/>
      <w:numFmt w:val="lowerLetter"/>
      <w:start w:val="1"/>
    </w:lvl>
    <w:lvl w:ilvl="1">
      <w:lvlJc w:val="left"/>
      <w:lvlText w:val="(%2)"/>
      <w:numFmt w:val="lowerRoman"/>
      <w:start w:val="1"/>
    </w:lvl>
  </w:abstractNum>
  <w:abstractNum w:abstractNumId="42">
    <w:nsid w:val="3DC240FB"/>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abstractNum>
  <w:abstractNum w:abstractNumId="43">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4">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abstractNum>
  <w:abstractNum w:abstractNumId="45">
    <w:nsid w:val="75C6C33A"/>
    <w:multiLevelType w:val="hybridMultilevel"/>
    <w:lvl w:ilvl="0">
      <w:lvlJc w:val="left"/>
      <w:lvlText w:val="(%1)"/>
      <w:numFmt w:val="lowerLetter"/>
      <w:start w:val="2"/>
    </w:lvl>
    <w:lvl w:ilvl="1">
      <w:lvlJc w:val="left"/>
      <w:lvlText w:val="%2."/>
      <w:numFmt w:val="decimal"/>
      <w:start w:val="11"/>
    </w:lvl>
    <w:lvl w:ilvl="2">
      <w:lvlJc w:val="left"/>
      <w:lvlText w:val="%3"/>
      <w:numFmt w:val="lowerRoman"/>
      <w:start w:val="1"/>
    </w:lvl>
  </w:abstractNum>
  <w:abstractNum w:abstractNumId="46">
    <w:nsid w:val="12E685FB"/>
    <w:multiLevelType w:val="hybridMultilevel"/>
    <w:lvl w:ilvl="0">
      <w:lvlJc w:val="left"/>
      <w:lvlText w:val="%1"/>
      <w:numFmt w:val="lowerLetter"/>
      <w:start w:val="1"/>
    </w:lvl>
    <w:lvl w:ilvl="1">
      <w:lvlJc w:val="left"/>
      <w:lvlText w:val="%2."/>
      <w:numFmt w:val="decimal"/>
      <w:start w:val="13"/>
    </w:lvl>
  </w:abstractNum>
  <w:abstractNum w:abstractNumId="47">
    <w:nsid w:val="70C6A529"/>
    <w:multiLevelType w:val="hybridMultilevel"/>
    <w:lvl w:ilvl="0">
      <w:lvlJc w:val="left"/>
      <w:lvlText w:val="(%1)"/>
      <w:numFmt w:val="lowerLetter"/>
      <w:start w:val="1"/>
    </w:lvl>
    <w:lvl w:ilvl="1">
      <w:lvlJc w:val="left"/>
      <w:lvlText w:val="%2."/>
      <w:numFmt w:val="decimal"/>
      <w:start w:val="14"/>
    </w:lvl>
  </w:abstractNum>
  <w:abstractNum w:abstractNumId="48">
    <w:nsid w:val="520EEDD1"/>
    <w:multiLevelType w:val="hybridMultilevel"/>
    <w:lvl w:ilvl="0">
      <w:lvlJc w:val="left"/>
      <w:lvlText w:val="%1."/>
      <w:numFmt w:val="decimal"/>
      <w:start w:val="17"/>
    </w:lvl>
  </w:abstractNum>
  <w:abstractNum w:abstractNumId="49">
    <w:nsid w:val="374A3FE6"/>
    <w:multiLevelType w:val="hybridMultilevel"/>
    <w:lvl w:ilvl="0">
      <w:lvlJc w:val="left"/>
      <w:lvlText w:val="%1."/>
      <w:numFmt w:val="decimal"/>
      <w:start w:val="23"/>
    </w:lvl>
  </w:abstractNum>
  <w:abstractNum w:abstractNumId="50">
    <w:nsid w:val="4F4EF005"/>
    <w:multiLevelType w:val="hybridMultilevel"/>
    <w:lvl w:ilvl="0">
      <w:lvlJc w:val="left"/>
      <w:lvlText w:val="%1"/>
      <w:numFmt w:val="lowerLetter"/>
      <w:start w:val="1"/>
    </w:lvl>
    <w:lvl w:ilvl="1">
      <w:lvlJc w:val="left"/>
      <w:lvlText w:val="%2."/>
      <w:numFmt w:val="decimal"/>
      <w:start w:val="26"/>
    </w:lvl>
  </w:abstractNum>
  <w:abstractNum w:abstractNumId="51">
    <w:nsid w:val="23F9C13C"/>
    <w:multiLevelType w:val="hybridMultilevel"/>
    <w:lvl w:ilvl="0">
      <w:lvlJc w:val="left"/>
      <w:lvlText w:val="(%1)"/>
      <w:numFmt w:val="lowerLetter"/>
      <w:start w:val="1"/>
    </w:lvl>
    <w:lvl w:ilvl="1">
      <w:lvlJc w:val="left"/>
      <w:lvlText w:val="%2"/>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2019-12-29T11:34:15Z</dcterms:created>
  <dcterms:modified xsi:type="dcterms:W3CDTF">2019-12-29T11:34:15Z</dcterms:modified>
</cp:coreProperties>
</file>