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1300" w:hanging="745"/>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58"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1300" w:hanging="709"/>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1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6380" w:type="dxa"/>
            <w:vAlign w:val="bottom"/>
          </w:tcPr>
          <w:p>
            <w:pPr>
              <w:ind w:left="3600"/>
              <w:spacing w:after="0"/>
              <w:rPr>
                <w:sz w:val="20"/>
                <w:szCs w:val="20"/>
                <w:color w:val="auto"/>
              </w:rPr>
            </w:pPr>
            <w:r>
              <w:rPr>
                <w:rFonts w:ascii="Arial" w:cs="Arial" w:eastAsia="Arial" w:hAnsi="Arial"/>
                <w:sz w:val="18"/>
                <w:szCs w:val="18"/>
                <w:b w:val="1"/>
                <w:bCs w:val="1"/>
                <w:color w:val="auto"/>
              </w:rPr>
              <w:t>Commission File No. 1-32630</w:t>
            </w:r>
          </w:p>
        </w:tc>
        <w:tc>
          <w:tcPr>
            <w:tcW w:w="2240" w:type="dxa"/>
            <w:vAlign w:val="bottom"/>
          </w:tcPr>
          <w:p>
            <w:pPr>
              <w:spacing w:after="0"/>
              <w:rPr>
                <w:sz w:val="20"/>
                <w:szCs w:val="20"/>
                <w:color w:val="auto"/>
              </w:rPr>
            </w:pPr>
          </w:p>
        </w:tc>
      </w:tr>
      <w:tr>
        <w:trPr>
          <w:trHeight w:val="231"/>
        </w:trPr>
        <w:tc>
          <w:tcPr>
            <w:tcW w:w="6380" w:type="dxa"/>
            <w:vAlign w:val="bottom"/>
          </w:tcPr>
          <w:p>
            <w:pPr>
              <w:jc w:val="center"/>
              <w:ind w:left="2904"/>
              <w:spacing w:after="0"/>
              <w:rPr>
                <w:sz w:val="20"/>
                <w:szCs w:val="20"/>
                <w:color w:val="auto"/>
              </w:rPr>
            </w:pPr>
            <w:r>
              <w:rPr>
                <w:rFonts w:ascii="Arial" w:cs="Arial" w:eastAsia="Arial" w:hAnsi="Arial"/>
                <w:sz w:val="14"/>
                <w:szCs w:val="14"/>
                <w:color w:val="auto"/>
                <w:w w:val="92"/>
              </w:rPr>
              <w:t>_________________________________</w:t>
            </w:r>
          </w:p>
        </w:tc>
        <w:tc>
          <w:tcPr>
            <w:tcW w:w="2240" w:type="dxa"/>
            <w:vAlign w:val="bottom"/>
          </w:tcPr>
          <w:p>
            <w:pPr>
              <w:spacing w:after="0"/>
              <w:rPr>
                <w:sz w:val="20"/>
                <w:szCs w:val="20"/>
                <w:color w:val="auto"/>
              </w:rPr>
            </w:pPr>
          </w:p>
        </w:tc>
      </w:tr>
      <w:tr>
        <w:trPr>
          <w:trHeight w:val="588"/>
        </w:trPr>
        <w:tc>
          <w:tcPr>
            <w:tcW w:w="8620" w:type="dxa"/>
            <w:vAlign w:val="bottom"/>
            <w:gridSpan w:val="2"/>
          </w:tcPr>
          <w:p>
            <w:pPr>
              <w:jc w:val="center"/>
              <w:ind w:left="664"/>
              <w:spacing w:after="0"/>
              <w:rPr>
                <w:sz w:val="20"/>
                <w:szCs w:val="20"/>
                <w:color w:val="auto"/>
              </w:rPr>
            </w:pPr>
            <w:r>
              <w:rPr>
                <w:rFonts w:ascii="Arial" w:cs="Arial" w:eastAsia="Arial" w:hAnsi="Arial"/>
                <w:sz w:val="43"/>
                <w:szCs w:val="43"/>
                <w:b w:val="1"/>
                <w:bCs w:val="1"/>
                <w:color w:val="auto"/>
                <w:w w:val="93"/>
              </w:rPr>
              <w:t>Fidelity National Financial, Inc.</w:t>
            </w:r>
          </w:p>
        </w:tc>
      </w:tr>
      <w:tr>
        <w:trPr>
          <w:trHeight w:val="250"/>
        </w:trPr>
        <w:tc>
          <w:tcPr>
            <w:tcW w:w="6380" w:type="dxa"/>
            <w:vAlign w:val="bottom"/>
          </w:tcPr>
          <w:p>
            <w:pPr>
              <w:jc w:val="center"/>
              <w:ind w:left="2864"/>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2240" w:type="dxa"/>
            <w:vAlign w:val="bottom"/>
          </w:tcPr>
          <w:p>
            <w:pPr>
              <w:spacing w:after="0"/>
              <w:rPr>
                <w:sz w:val="21"/>
                <w:szCs w:val="21"/>
                <w:color w:val="auto"/>
              </w:rPr>
            </w:pPr>
          </w:p>
        </w:tc>
      </w:tr>
      <w:tr>
        <w:trPr>
          <w:trHeight w:val="377"/>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93"/>
              </w:rPr>
              <w:t>Delaware</w:t>
            </w:r>
          </w:p>
        </w:tc>
        <w:tc>
          <w:tcPr>
            <w:tcW w:w="2240" w:type="dxa"/>
            <w:vAlign w:val="bottom"/>
          </w:tcPr>
          <w:p>
            <w:pPr>
              <w:jc w:val="right"/>
              <w:ind w:right="521"/>
              <w:spacing w:after="0"/>
              <w:rPr>
                <w:sz w:val="20"/>
                <w:szCs w:val="20"/>
                <w:color w:val="auto"/>
              </w:rPr>
            </w:pPr>
            <w:r>
              <w:rPr>
                <w:rFonts w:ascii="Arial" w:cs="Arial" w:eastAsia="Arial" w:hAnsi="Arial"/>
                <w:sz w:val="18"/>
                <w:szCs w:val="18"/>
                <w:b w:val="1"/>
                <w:bCs w:val="1"/>
                <w:color w:val="auto"/>
              </w:rPr>
              <w:t>16-1725106</w:t>
            </w:r>
          </w:p>
        </w:tc>
      </w:tr>
      <w:tr>
        <w:trPr>
          <w:trHeight w:val="218"/>
        </w:trPr>
        <w:tc>
          <w:tcPr>
            <w:tcW w:w="6380" w:type="dxa"/>
            <w:vAlign w:val="bottom"/>
          </w:tcPr>
          <w:p>
            <w:pPr>
              <w:jc w:val="center"/>
              <w:ind w:right="2784"/>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240" w:type="dxa"/>
            <w:vAlign w:val="bottom"/>
          </w:tcPr>
          <w:p>
            <w:pPr>
              <w:jc w:val="center"/>
              <w:ind w:left="10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74"/>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89"/>
              </w:rPr>
              <w:t>601 Riverside Avenue</w:t>
            </w:r>
          </w:p>
        </w:tc>
        <w:tc>
          <w:tcPr>
            <w:tcW w:w="2240" w:type="dxa"/>
            <w:vAlign w:val="bottom"/>
          </w:tcPr>
          <w:p>
            <w:pPr>
              <w:jc w:val="right"/>
              <w:ind w:right="381"/>
              <w:spacing w:after="0"/>
              <w:rPr>
                <w:sz w:val="20"/>
                <w:szCs w:val="20"/>
                <w:color w:val="auto"/>
              </w:rPr>
            </w:pPr>
            <w:r>
              <w:rPr>
                <w:rFonts w:ascii="Arial" w:cs="Arial" w:eastAsia="Arial" w:hAnsi="Arial"/>
                <w:sz w:val="18"/>
                <w:szCs w:val="18"/>
                <w:b w:val="1"/>
                <w:bCs w:val="1"/>
                <w:color w:val="auto"/>
              </w:rPr>
              <w:t>(904) 854-8100</w:t>
            </w:r>
          </w:p>
        </w:tc>
      </w:tr>
      <w:tr>
        <w:trPr>
          <w:trHeight w:val="234"/>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90"/>
              </w:rPr>
              <w:t>Jacksonville, Florida 32204</w:t>
            </w:r>
          </w:p>
        </w:tc>
        <w:tc>
          <w:tcPr>
            <w:tcW w:w="2240" w:type="dxa"/>
            <w:vAlign w:val="bottom"/>
          </w:tcPr>
          <w:p>
            <w:pPr>
              <w:jc w:val="center"/>
              <w:ind w:left="141"/>
              <w:spacing w:after="0"/>
              <w:rPr>
                <w:sz w:val="20"/>
                <w:szCs w:val="20"/>
                <w:color w:val="auto"/>
              </w:rPr>
            </w:pPr>
            <w:r>
              <w:rPr>
                <w:rFonts w:ascii="Arial" w:cs="Arial" w:eastAsia="Arial" w:hAnsi="Arial"/>
                <w:sz w:val="14"/>
                <w:szCs w:val="14"/>
                <w:i w:val="1"/>
                <w:iCs w:val="1"/>
                <w:color w:val="auto"/>
                <w:w w:val="91"/>
              </w:rPr>
              <w:t>(Registrant’s telephone number,</w:t>
            </w:r>
          </w:p>
        </w:tc>
      </w:tr>
      <w:tr>
        <w:trPr>
          <w:trHeight w:val="204"/>
        </w:trPr>
        <w:tc>
          <w:tcPr>
            <w:tcW w:w="6380" w:type="dxa"/>
            <w:vAlign w:val="bottom"/>
          </w:tcPr>
          <w:p>
            <w:pPr>
              <w:jc w:val="center"/>
              <w:ind w:right="2744"/>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2240" w:type="dxa"/>
            <w:vAlign w:val="bottom"/>
          </w:tcPr>
          <w:p>
            <w:pPr>
              <w:jc w:val="center"/>
              <w:ind w:left="61"/>
              <w:spacing w:after="0"/>
              <w:rPr>
                <w:sz w:val="20"/>
                <w:szCs w:val="20"/>
                <w:color w:val="auto"/>
              </w:rPr>
            </w:pPr>
            <w:r>
              <w:rPr>
                <w:rFonts w:ascii="Arial" w:cs="Arial" w:eastAsia="Arial" w:hAnsi="Arial"/>
                <w:sz w:val="14"/>
                <w:szCs w:val="14"/>
                <w:i w:val="1"/>
                <w:iCs w:val="1"/>
                <w:color w:val="auto"/>
                <w:w w:val="93"/>
              </w:rPr>
              <w:t>including area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8"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620" w:type="dxa"/>
            <w:vAlign w:val="bottom"/>
          </w:tcPr>
          <w:p>
            <w:pPr>
              <w:spacing w:after="0"/>
              <w:rPr>
                <w:sz w:val="16"/>
                <w:szCs w:val="16"/>
                <w:color w:val="auto"/>
              </w:rPr>
            </w:pPr>
          </w:p>
        </w:tc>
        <w:tc>
          <w:tcPr>
            <w:tcW w:w="3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91"/>
        </w:trPr>
        <w:tc>
          <w:tcPr>
            <w:tcW w:w="6860" w:type="dxa"/>
            <w:vAlign w:val="bottom"/>
            <w:gridSpan w:val="3"/>
          </w:tcPr>
          <w:p>
            <w:pPr>
              <w:jc w:val="center"/>
              <w:ind w:right="1700"/>
              <w:spacing w:after="0"/>
              <w:rPr>
                <w:sz w:val="20"/>
                <w:szCs w:val="20"/>
                <w:color w:val="auto"/>
              </w:rPr>
            </w:pPr>
            <w:r>
              <w:rPr>
                <w:rFonts w:ascii="Arial" w:cs="Arial" w:eastAsia="Arial" w:hAnsi="Arial"/>
                <w:sz w:val="18"/>
                <w:szCs w:val="18"/>
                <w:color w:val="auto"/>
                <w:w w:val="90"/>
              </w:rPr>
              <w:t>FNF Common Stock, $0.0001 par value</w:t>
            </w: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43"/>
        </w:trPr>
        <w:tc>
          <w:tcPr>
            <w:tcW w:w="1940" w:type="dxa"/>
            <w:vAlign w:val="bottom"/>
          </w:tcPr>
          <w:p>
            <w:pPr>
              <w:spacing w:after="0"/>
              <w:rPr>
                <w:sz w:val="21"/>
                <w:szCs w:val="21"/>
                <w:color w:val="auto"/>
              </w:rPr>
            </w:pPr>
          </w:p>
        </w:tc>
        <w:tc>
          <w:tcPr>
            <w:tcW w:w="7200" w:type="dxa"/>
            <w:vAlign w:val="bottom"/>
            <w:gridSpan w:val="3"/>
          </w:tcPr>
          <w:p>
            <w:pPr>
              <w:ind w:left="114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900" w:type="dxa"/>
            <w:vAlign w:val="bottom"/>
          </w:tcPr>
          <w:p>
            <w:pPr>
              <w:spacing w:after="0"/>
              <w:rPr>
                <w:sz w:val="21"/>
                <w:szCs w:val="21"/>
                <w:color w:val="auto"/>
              </w:rPr>
            </w:pPr>
          </w:p>
        </w:tc>
      </w:tr>
      <w:tr>
        <w:trPr>
          <w:trHeight w:val="385"/>
        </w:trPr>
        <w:tc>
          <w:tcPr>
            <w:tcW w:w="914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90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284"/>
        </w:trPr>
        <w:tc>
          <w:tcPr>
            <w:tcW w:w="914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9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33"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ind w:firstLine="2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ind w:firstLine="216"/>
        <w:spacing w:after="0" w:line="260"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o</w:t>
      </w:r>
    </w:p>
    <w:p>
      <w:pPr>
        <w:spacing w:after="0" w:line="3"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78" w:right="239" w:bottom="1440" w:gutter="0" w:footer="0" w:header="0"/>
        </w:sectPr>
      </w:pPr>
    </w:p>
    <w:p>
      <w:pPr>
        <w:spacing w:after="0" w:line="122" w:lineRule="exact"/>
        <w:rPr>
          <w:sz w:val="24"/>
          <w:szCs w:val="24"/>
          <w:color w:val="auto"/>
        </w:rPr>
      </w:pPr>
    </w:p>
    <w:p>
      <w:pPr>
        <w:ind w:left="8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4240" w:space="720"/>
            <w:col w:w="6460"/>
          </w:cols>
          <w:pgMar w:left="240" w:top="778" w:right="23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 o</w:t>
      </w:r>
    </w:p>
    <w:p>
      <w:pPr>
        <w:spacing w:after="0" w:line="46" w:lineRule="exact"/>
        <w:rPr>
          <w:sz w:val="24"/>
          <w:szCs w:val="24"/>
          <w:color w:val="auto"/>
        </w:rPr>
      </w:pPr>
    </w:p>
    <w:p>
      <w:pPr>
        <w:sectPr>
          <w:pgSz w:w="11900" w:h="16838" w:orient="portrait"/>
          <w:cols w:equalWidth="0" w:num="3">
            <w:col w:w="3760" w:space="720"/>
            <w:col w:w="3060" w:space="720"/>
            <w:col w:w="3160"/>
          </w:cols>
          <w:pgMar w:left="240" w:top="778" w:right="239" w:bottom="1440" w:gutter="0" w:footer="0" w:header="0"/>
          <w:type w:val="continuous"/>
        </w:sectPr>
      </w:pPr>
    </w:p>
    <w:p>
      <w:pPr>
        <w:ind w:left="42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20"/>
          </w:cols>
          <w:pgMar w:left="240" w:top="778" w:right="239" w:bottom="1440" w:gutter="0" w:footer="0" w:header="0"/>
          <w:type w:val="continuous"/>
        </w:sectPr>
      </w:pPr>
    </w:p>
    <w:p>
      <w:pPr>
        <w:spacing w:after="0" w:line="14" w:lineRule="exact"/>
        <w:rPr>
          <w:sz w:val="24"/>
          <w:szCs w:val="24"/>
          <w:color w:val="auto"/>
        </w:rPr>
      </w:pPr>
    </w:p>
    <w:p>
      <w:pPr>
        <w:ind w:left="220"/>
        <w:spacing w:after="0" w:line="196" w:lineRule="exact"/>
        <w:tabs>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 xml:space="preserve">No </w:t>
      </w:r>
      <w:r>
        <w:rPr>
          <w:rFonts w:ascii="MS PGothic" w:cs="MS PGothic" w:eastAsia="MS PGothic" w:hAnsi="MS PGothic"/>
          <w:sz w:val="17"/>
          <w:szCs w:val="17"/>
          <w:color w:val="auto"/>
        </w:rPr>
        <w:t>☑</w:t>
      </w:r>
    </w:p>
    <w:p>
      <w:pPr>
        <w:spacing w:after="0" w:line="113" w:lineRule="exact"/>
        <w:rPr>
          <w:sz w:val="24"/>
          <w:szCs w:val="24"/>
          <w:color w:val="auto"/>
        </w:rPr>
      </w:pPr>
    </w:p>
    <w:p>
      <w:pPr>
        <w:ind w:right="20" w:firstLine="216"/>
        <w:spacing w:after="0" w:line="266" w:lineRule="auto"/>
        <w:rPr>
          <w:sz w:val="20"/>
          <w:szCs w:val="20"/>
          <w:color w:val="auto"/>
        </w:rPr>
      </w:pPr>
      <w:r>
        <w:rPr>
          <w:rFonts w:ascii="Arial" w:cs="Arial" w:eastAsia="Arial" w:hAnsi="Arial"/>
          <w:sz w:val="18"/>
          <w:szCs w:val="18"/>
          <w:color w:val="auto"/>
        </w:rPr>
        <w:t>The aggregate market value of the shares of FNF common stock held by non-affiliates of the registrant as of June 30, 2017 was $8,461,286,198 based on the closing price of $32.37 as reported by The New York Stock Exchange.</w:t>
      </w:r>
    </w:p>
    <w:p>
      <w:pPr>
        <w:ind w:left="220"/>
        <w:spacing w:after="0"/>
        <w:rPr>
          <w:sz w:val="20"/>
          <w:szCs w:val="20"/>
          <w:color w:val="auto"/>
        </w:rPr>
      </w:pPr>
      <w:r>
        <w:rPr>
          <w:rFonts w:ascii="Arial" w:cs="Arial" w:eastAsia="Arial" w:hAnsi="Arial"/>
          <w:sz w:val="18"/>
          <w:szCs w:val="18"/>
          <w:color w:val="auto"/>
        </w:rPr>
        <w:t>As of January 31, 2018 there were 274,438,819 shares of FNF common stock outstanding.</w:t>
      </w:r>
    </w:p>
    <w:p>
      <w:pPr>
        <w:spacing w:after="0" w:line="77" w:lineRule="exact"/>
        <w:rPr>
          <w:sz w:val="24"/>
          <w:szCs w:val="24"/>
          <w:color w:val="auto"/>
        </w:rPr>
      </w:pPr>
    </w:p>
    <w:p>
      <w:pPr>
        <w:ind w:firstLine="216"/>
        <w:spacing w:after="0" w:line="277" w:lineRule="auto"/>
        <w:rPr>
          <w:sz w:val="20"/>
          <w:szCs w:val="20"/>
          <w:color w:val="auto"/>
        </w:rPr>
      </w:pPr>
      <w:r>
        <w:rPr>
          <w:rFonts w:ascii="Arial" w:cs="Arial" w:eastAsia="Arial" w:hAnsi="Arial"/>
          <w:sz w:val="18"/>
          <w:szCs w:val="18"/>
          <w:color w:val="auto"/>
        </w:rPr>
        <w:t>The information in Part III hereof for the fiscal year ended December 31, 2017,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7"/>
          </w:tcPr>
          <w:p>
            <w:pPr>
              <w:jc w:val="center"/>
              <w:ind w:right="2180"/>
              <w:spacing w:after="0"/>
              <w:rPr>
                <w:sz w:val="20"/>
                <w:szCs w:val="20"/>
                <w:color w:val="auto"/>
              </w:rPr>
            </w:pPr>
            <w:r>
              <w:rPr>
                <w:rFonts w:ascii="Arial" w:cs="Arial" w:eastAsia="Arial" w:hAnsi="Arial"/>
                <w:sz w:val="18"/>
                <w:szCs w:val="18"/>
                <w:b w:val="1"/>
                <w:bCs w:val="1"/>
                <w:color w:val="auto"/>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440" w:type="dxa"/>
            <w:vAlign w:val="bottom"/>
            <w:gridSpan w:val="16"/>
          </w:tcPr>
          <w:p>
            <w:pPr>
              <w:ind w:left="32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20" w:type="dxa"/>
            <w:vAlign w:val="bottom"/>
            <w:gridSpan w:val="2"/>
          </w:tcPr>
          <w:p>
            <w:pPr>
              <w:jc w:val="center"/>
              <w:ind w:left="431"/>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4">
              <w:r>
                <w:rPr>
                  <w:rFonts w:ascii="Arial" w:cs="Arial" w:eastAsia="Arial" w:hAnsi="Arial"/>
                  <w:sz w:val="18"/>
                  <w:szCs w:val="18"/>
                  <w:color w:val="0000EE"/>
                  <w:w w:val="80"/>
                </w:rPr>
                <w:t>Item 1A.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9">
              <w:r>
                <w:rPr>
                  <w:rFonts w:ascii="Arial" w:cs="Arial" w:eastAsia="Arial" w:hAnsi="Arial"/>
                  <w:sz w:val="18"/>
                  <w:szCs w:val="18"/>
                  <w:color w:val="0000EE"/>
                  <w:w w:val="80"/>
                </w:rPr>
                <w:t>Item 1B.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9">
              <w:r>
                <w:rPr>
                  <w:rFonts w:ascii="Arial" w:cs="Arial" w:eastAsia="Arial" w:hAnsi="Arial"/>
                  <w:sz w:val="18"/>
                  <w:szCs w:val="18"/>
                  <w:color w:val="0000EE"/>
                </w:rPr>
                <w:t>Unresolved Staff Comments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2.</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9300" w:type="dxa"/>
            <w:vAlign w:val="bottom"/>
            <w:gridSpan w:val="27"/>
          </w:tcPr>
          <w:p>
            <w:pPr>
              <w:ind w:left="320"/>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5.</w:t>
              </w:r>
            </w:hyperlink>
          </w:p>
        </w:tc>
        <w:tc>
          <w:tcPr>
            <w:tcW w:w="9300" w:type="dxa"/>
            <w:vAlign w:val="bottom"/>
            <w:gridSpan w:val="27"/>
          </w:tcPr>
          <w:p>
            <w:pPr>
              <w:ind w:left="320"/>
              <w:spacing w:after="0"/>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 Purchases of Equity Securities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18</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9300" w:type="dxa"/>
            <w:vAlign w:val="bottom"/>
            <w:gridSpan w:val="27"/>
          </w:tcPr>
          <w:p>
            <w:pPr>
              <w:ind w:left="320"/>
              <w:spacing w:after="0"/>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7.</w:t>
              </w:r>
            </w:hyperlink>
          </w:p>
        </w:tc>
        <w:tc>
          <w:tcPr>
            <w:tcW w:w="9300" w:type="dxa"/>
            <w:vAlign w:val="bottom"/>
            <w:gridSpan w:val="27"/>
          </w:tcPr>
          <w:p>
            <w:pPr>
              <w:ind w:left="320"/>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44">
              <w:r>
                <w:rPr>
                  <w:rFonts w:ascii="Arial" w:cs="Arial" w:eastAsia="Arial" w:hAnsi="Arial"/>
                  <w:sz w:val="18"/>
                  <w:szCs w:val="18"/>
                  <w:color w:val="0000EE"/>
                  <w:w w:val="80"/>
                </w:rPr>
                <w:t>Item 7A.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 About Market Risk</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Item 8.</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9.</w:t>
              </w:r>
            </w:hyperlink>
          </w:p>
        </w:tc>
        <w:tc>
          <w:tcPr>
            <w:tcW w:w="9300" w:type="dxa"/>
            <w:vAlign w:val="bottom"/>
            <w:gridSpan w:val="27"/>
          </w:tcPr>
          <w:p>
            <w:pPr>
              <w:ind w:left="320"/>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95">
              <w:r>
                <w:rPr>
                  <w:rFonts w:ascii="Arial" w:cs="Arial" w:eastAsia="Arial" w:hAnsi="Arial"/>
                  <w:sz w:val="18"/>
                  <w:szCs w:val="18"/>
                  <w:color w:val="0000EE"/>
                  <w:w w:val="80"/>
                </w:rPr>
                <w:t>Item 9A.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95">
              <w:r>
                <w:rPr>
                  <w:rFonts w:ascii="Arial" w:cs="Arial" w:eastAsia="Arial" w:hAnsi="Arial"/>
                  <w:sz w:val="18"/>
                  <w:szCs w:val="18"/>
                  <w:color w:val="0000EE"/>
                  <w:w w:val="80"/>
                </w:rPr>
                <w:t>Item 9B.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91</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6">
              <w:r>
                <w:rPr>
                  <w:rFonts w:ascii="Arial" w:cs="Arial" w:eastAsia="Arial" w:hAnsi="Arial"/>
                  <w:sz w:val="18"/>
                  <w:szCs w:val="18"/>
                  <w:color w:val="0000EE"/>
                  <w:w w:val="82"/>
                </w:rPr>
                <w:t>Item 10.</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96">
              <w:r>
                <w:rPr>
                  <w:rFonts w:ascii="Arial" w:cs="Arial" w:eastAsia="Arial" w:hAnsi="Arial"/>
                  <w:sz w:val="18"/>
                  <w:szCs w:val="18"/>
                  <w:color w:val="0000EE"/>
                </w:rPr>
                <w:t>Directors and Executive Officers of the Registrant</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6">
              <w:r>
                <w:rPr>
                  <w:rFonts w:ascii="Arial" w:cs="Arial" w:eastAsia="Arial" w:hAnsi="Arial"/>
                  <w:sz w:val="18"/>
                  <w:szCs w:val="18"/>
                  <w:color w:val="0000EE"/>
                  <w:w w:val="82"/>
                </w:rPr>
                <w:t>Item 11.</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96">
              <w:r>
                <w:rPr>
                  <w:rFonts w:ascii="Arial" w:cs="Arial" w:eastAsia="Arial" w:hAnsi="Arial"/>
                  <w:sz w:val="18"/>
                  <w:szCs w:val="18"/>
                  <w:color w:val="0000EE"/>
                </w:rPr>
                <w:t>Executive Compensation</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6">
              <w:r>
                <w:rPr>
                  <w:rFonts w:ascii="Arial" w:cs="Arial" w:eastAsia="Arial" w:hAnsi="Arial"/>
                  <w:sz w:val="18"/>
                  <w:szCs w:val="18"/>
                  <w:color w:val="0000EE"/>
                  <w:w w:val="82"/>
                </w:rPr>
                <w:t>Item 12.</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96">
              <w:r>
                <w:rPr>
                  <w:rFonts w:ascii="Arial" w:cs="Arial" w:eastAsia="Arial" w:hAnsi="Arial"/>
                  <w:sz w:val="18"/>
                  <w:szCs w:val="18"/>
                  <w:color w:val="0000EE"/>
                </w:rPr>
                <w:t>Security Ownership of Certain Beneficial Owners and Management and Related Stockholder Matters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6">
              <w:r>
                <w:rPr>
                  <w:rFonts w:ascii="Arial" w:cs="Arial" w:eastAsia="Arial" w:hAnsi="Arial"/>
                  <w:sz w:val="18"/>
                  <w:szCs w:val="18"/>
                  <w:color w:val="0000EE"/>
                  <w:w w:val="82"/>
                </w:rPr>
                <w:t>Item 13.</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6">
              <w:r>
                <w:rPr>
                  <w:rFonts w:ascii="Arial" w:cs="Arial" w:eastAsia="Arial" w:hAnsi="Arial"/>
                  <w:sz w:val="18"/>
                  <w:szCs w:val="18"/>
                  <w:color w:val="0000EE"/>
                  <w:w w:val="82"/>
                </w:rPr>
                <w:t>Item 14.</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96">
              <w:r>
                <w:rPr>
                  <w:rFonts w:ascii="Arial" w:cs="Arial" w:eastAsia="Arial" w:hAnsi="Arial"/>
                  <w:sz w:val="18"/>
                  <w:szCs w:val="18"/>
                  <w:color w:val="0000EE"/>
                </w:rPr>
                <w:t>Principal Accounting Fees and Services</w:t>
              </w:r>
            </w:hyperlink>
          </w:p>
        </w:tc>
        <w:tc>
          <w:tcPr>
            <w:tcW w:w="620" w:type="dxa"/>
            <w:vAlign w:val="bottom"/>
            <w:gridSpan w:val="2"/>
          </w:tcPr>
          <w:p>
            <w:pPr>
              <w:jc w:val="center"/>
              <w:ind w:left="351"/>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92</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97">
              <w:r>
                <w:rPr>
                  <w:rFonts w:ascii="Arial" w:cs="Arial" w:eastAsia="Arial" w:hAnsi="Arial"/>
                  <w:sz w:val="18"/>
                  <w:szCs w:val="18"/>
                  <w:color w:val="0000EE"/>
                  <w:w w:val="82"/>
                </w:rPr>
                <w:t>Item 15.</w:t>
              </w:r>
            </w:hyperlink>
          </w:p>
        </w:tc>
        <w:tc>
          <w:tcPr>
            <w:tcW w:w="360" w:type="dxa"/>
            <w:vAlign w:val="bottom"/>
          </w:tcPr>
          <w:p>
            <w:pPr>
              <w:spacing w:after="0"/>
              <w:rPr>
                <w:sz w:val="21"/>
                <w:szCs w:val="21"/>
                <w:color w:val="auto"/>
              </w:rPr>
            </w:pPr>
          </w:p>
        </w:tc>
        <w:tc>
          <w:tcPr>
            <w:tcW w:w="4400" w:type="dxa"/>
            <w:vAlign w:val="bottom"/>
            <w:gridSpan w:val="15"/>
          </w:tcPr>
          <w:p>
            <w:pPr>
              <w:ind w:left="320"/>
              <w:spacing w:after="0"/>
              <w:rPr>
                <w:rFonts w:ascii="Arial" w:cs="Arial" w:eastAsia="Arial" w:hAnsi="Arial"/>
                <w:sz w:val="18"/>
                <w:szCs w:val="18"/>
                <w:color w:val="0000EE"/>
              </w:rPr>
            </w:pPr>
            <w:hyperlink w:anchor="page97">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620" w:type="dxa"/>
            <w:vAlign w:val="bottom"/>
            <w:gridSpan w:val="2"/>
          </w:tcPr>
          <w:p>
            <w:pPr>
              <w:jc w:val="center"/>
              <w:ind w:left="351"/>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93</w:t>
              </w:r>
            </w:hyperlink>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Introductory Note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is the nation’s largest title insurance company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we had the following reporting segments:</w:t>
      </w:r>
    </w:p>
    <w:p>
      <w:pPr>
        <w:spacing w:after="0" w:line="171" w:lineRule="exact"/>
        <w:rPr>
          <w:sz w:val="20"/>
          <w:szCs w:val="20"/>
          <w:color w:val="auto"/>
        </w:rPr>
      </w:pPr>
    </w:p>
    <w:p>
      <w:pPr>
        <w:jc w:val="both"/>
        <w:ind w:left="660" w:hanging="409"/>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various real estate brokerage businesses,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Inc. ("CINC") and other real estate technology subsidiaries. This segment also includes certain other unallocated corporate overhead expenses and eliminations of revenues and expenses between it and our Title segment.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year ended December 31, 2017, we completed two significant transactions which simplified the structure of our business.</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FNFV Split-Off was accomplished by the Company's redemption (the “Redemption”) of all of the outstanding shares of FNFV Group common stock, par value $0.0001 per share (“FNFV common stock”) for outstanding shares of common stock of Cannae, par value $0.0001 per share (“Cannae common stock”), amounting to a redemption on a per share basis of each outstanding share of FNFV common stock for one share of Cannae common stock, as of November 17, 2017. As a result of the FNFV Split-Off, Cannae is a separate, publicly traded company (NYSE: CNNE). All of the Company’s core title insurance, real estate, technology and mortgage related businesses, assets and liabilities previously attributed to the Company’s FNF Group common stock that were not held by Cannae remain with the Company. As a result of the FNFV Split-Off, we have reclassified the assets and liabilities divested as assets and liabilities of discontinued operations in our Consolidated Balance Sheet as of December 31, 2016. Further, the financial results of FNFV Group have been reclassified to discontinued operations for all periods presented in our Consolidated Statements of Earnings. See Note G.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to our Consolidated Financial Statements included in Item 8 of Part II of this Annual Report for further details of the results of FNFV Group.</w:t>
      </w:r>
    </w:p>
    <w:p>
      <w:pPr>
        <w:spacing w:after="0" w:line="7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September 29, 2017 we completed our tax-free distribution to FNF Group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publicly-traded holding company, Black Knight, Inc. ("New Black Knight"). Holders of FNF Group common stock received approximately 0.30663 shares of New Black Knight common stock for every one share of FNF Group common stock held at the close of business on September 20, 2017, the record date for the BK Distribution. New Black Knight's common stock is now listed under the symbol “BKI” on the New York Stock Exchange. The BK Distribution is expected to generally be tax-free to FNF Group shareholders for U.S. federal income tax purposes, except to the extent of any cash received in lieu of New Black Knight's fractional shares. As a result of the BK Distribution, we have reclassified the assets and liabilities divested as assets and liabilities of discontinued operations in our Consolidated Balance Sheet as of December 31, 2016. Further, the financial results of Black Knight have been reclassified to discontinued operations for all periods presented in our Consolidated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Statements of Earnings. See Note G.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Consolidated Financial Statements included in Item 8 of Part II of this Annual Report for further details of the results of Black Knight.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six fundamental precepts upon which we were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w:t>
      </w:r>
    </w:p>
    <w:p>
      <w:pPr>
        <w:spacing w:after="0" w:line="3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Customer-oriented and motivated;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Minimize bureaucracy;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Highest standard of conduct.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six precepts are emphasized to our employees from the first day of employment and are integral to many of our strategies described below.</w:t>
      </w:r>
    </w:p>
    <w:p>
      <w:pPr>
        <w:spacing w:after="0" w:line="1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 manner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continual evaluation of title order activity and management of our cost structure. When compared to our industry competitors, we also believe that our structure is more efficiently designed, which allows us to operate with lower overhead costs.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position us well to take advantage of future changes to the real estate market.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Leading title insurance company. </w:t>
      </w:r>
      <w:r>
        <w:rPr>
          <w:rFonts w:ascii="Arial" w:cs="Arial" w:eastAsia="Arial" w:hAnsi="Arial"/>
          <w:sz w:val="18"/>
          <w:szCs w:val="18"/>
          <w:color w:val="auto"/>
        </w:rPr>
        <w:t>We are the largest title insurance company in the United States and a leading provider of title insurance and escrow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title-related services for real estate transactions. Through the third quarter of 2017, our insurance companies had a 33.4% share of the U.S. title insurance market, according to the American Land Title Association ("ALTA").</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distribution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approximately 1,400 direct residential title offices and more than 5,200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Strong value proposition for our customers. </w:t>
      </w:r>
      <w:r>
        <w:rPr>
          <w:rFonts w:ascii="Arial" w:cs="Arial" w:eastAsia="Arial" w:hAnsi="Arial"/>
          <w:sz w:val="18"/>
          <w:szCs w:val="18"/>
          <w:color w:val="auto"/>
        </w:rPr>
        <w:t>We provide our customers with title insurance and escrow and other title-related services that support their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effectively close real estate transactions. We help make the real estate closing more efficient for our customers by offering a single point of access to a broad platform of title-related products and resources necessary to close real estate transactions.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business over an extended period of time,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title insurance. </w:t>
      </w:r>
      <w:r>
        <w:rPr>
          <w:rFonts w:ascii="Arial" w:cs="Arial" w:eastAsia="Arial" w:hAnsi="Arial"/>
          <w:sz w:val="18"/>
          <w:szCs w:val="18"/>
          <w:color w:val="auto"/>
        </w:rPr>
        <w:t>While residential title insurance comprises the majority of our business, we are also a significant provider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strategy in the title business is to maximize operating profits by increasing our market share and managing operating expenses throughout the real estate business cycle. To accomplish our goals, we intend to do the following:</w:t>
      </w:r>
    </w:p>
    <w:p>
      <w:pPr>
        <w:spacing w:after="0" w:line="35" w:lineRule="exact"/>
        <w:rPr>
          <w:sz w:val="20"/>
          <w:szCs w:val="20"/>
          <w:color w:val="auto"/>
        </w:rPr>
      </w:pPr>
    </w:p>
    <w:p>
      <w:pPr>
        <w:jc w:val="both"/>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Continue to operate multiple title brands independently</w:t>
      </w:r>
      <w:r>
        <w:rPr>
          <w:rFonts w:ascii="Arial" w:cs="Arial" w:eastAsia="Arial" w:hAnsi="Arial"/>
          <w:sz w:val="17"/>
          <w:szCs w:val="17"/>
          <w:color w:val="auto"/>
        </w:rPr>
        <w:t>. We believe that in order to maintain and strengthen our title insurance customer base, we</w:t>
      </w:r>
      <w:r>
        <w:rPr>
          <w:rFonts w:ascii="Arial" w:cs="Arial" w:eastAsia="Arial" w:hAnsi="Arial"/>
          <w:sz w:val="17"/>
          <w:szCs w:val="17"/>
          <w:i w:val="1"/>
          <w:iCs w:val="1"/>
          <w:color w:val="auto"/>
        </w:rPr>
        <w:t xml:space="preserve"> </w:t>
      </w:r>
      <w:r>
        <w:rPr>
          <w:rFonts w:ascii="Arial" w:cs="Arial" w:eastAsia="Arial" w:hAnsi="Arial"/>
          <w:sz w:val="17"/>
          <w:szCs w:val="17"/>
          <w:color w:val="auto"/>
        </w:rPr>
        <w:t>must operate our strongest brands in a given marketplace independently of each other. Our national and regional brands include Fidelity National Title, Chicago Title, Commonwealth Land Title, Lawyers Title, Ticor Title,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3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consistent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product delivery requires continued focus on providing high quality service and products at competitive prices. Our goal is to continue to improve the experience of our customers, in all aspects of our business.</w:t>
      </w:r>
    </w:p>
    <w:p>
      <w:pPr>
        <w:spacing w:after="0" w:line="8"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Manage our operations successfully through business cycles</w:t>
      </w:r>
      <w:r>
        <w:rPr>
          <w:rFonts w:ascii="Arial" w:cs="Arial" w:eastAsia="Arial" w:hAnsi="Arial"/>
          <w:sz w:val="18"/>
          <w:szCs w:val="18"/>
          <w:color w:val="auto"/>
        </w:rPr>
        <w:t>. We operate in a cyclical industry and our ability to diversify our revenue base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our 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54"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improve our products and technology. </w:t>
      </w:r>
      <w:r>
        <w:rPr>
          <w:rFonts w:ascii="Arial" w:cs="Arial" w:eastAsia="Arial" w:hAnsi="Arial"/>
          <w:sz w:val="17"/>
          <w:szCs w:val="17"/>
          <w:color w:val="auto"/>
        </w:rPr>
        <w:t>As a national provider of real estate transaction products and services, we participate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37"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Maintain values supporting our strategy. </w:t>
      </w:r>
      <w:r>
        <w:rPr>
          <w:rFonts w:ascii="Arial" w:cs="Arial" w:eastAsia="Arial" w:hAnsi="Arial"/>
          <w:sz w:val="16"/>
          <w:szCs w:val="16"/>
          <w:color w:val="auto"/>
        </w:rPr>
        <w:t>We believe that our continued focus on and support of our long-established corporate culture will reinforce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 this goal.</w:t>
      </w:r>
    </w:p>
    <w:p>
      <w:pPr>
        <w:spacing w:after="0" w:line="19"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Dispositions, Minority Owned Operating Subsidiaries and Financings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future, we may seek to sell certain investments or other assets to increase our liquidity. Further, our management has stated that we may make acquisitions in lines of business that are not directly tied to, or synergistic with, our core operating segment. In the past we have obtained majority and minority investments in entities and securities where we see the potential to achieve above market returns. Fundamentally our goal is to acquire quality companies that are well-positioned in their respective industries, run by best in class management teams in industries that have attractive organic and acquired growth opportunities. We leverage our operational expertise and track record of growing industry leading companies and also our active interaction with the acquired company's management directly or through our board of directors, to ultimately provide value for our shareholders.</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Insurance</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Market for title insurance. </w:t>
      </w:r>
      <w:r>
        <w:rPr>
          <w:rFonts w:ascii="Arial" w:cs="Arial" w:eastAsia="Arial" w:hAnsi="Arial"/>
          <w:sz w:val="18"/>
          <w:szCs w:val="18"/>
          <w:color w:val="auto"/>
        </w:rPr>
        <w:t>According to Demotech Performance of Title Insurance Companies 2017 Edition, an annual compilation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from the title insurance industry that is published by Demotech Inc., an independent firm ("Demotech"), total operating income for the entire U.S. title insurance industry has increased over the last five years from approximately $12.2 billion in 2012 to $14.9 billion in 2016, which represents a $1.2 billion increase from 2015.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U.S. title insurance industry is concentrated among a handful of industry participants. According to Demotech, the top four title insurance groups accounted for 85% of net premiums written in 2016. Approximately 34 independent title insurance companies accounted for the remaining 15% of net premiums written in 2016. Consolidation has created opportunities for increased financial and operating efficiencies for the industry’s largest participants and should continue to drive profitability and market share in the industry.</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Title segment revenue is closely related to the level of real estate activity which includes sales, mortgage financing and mortgage refinancing. For further discussion of current trends in real estate activity in the United States, see discussion under </w:t>
      </w:r>
      <w:r>
        <w:rPr>
          <w:rFonts w:ascii="Arial" w:cs="Arial" w:eastAsia="Arial" w:hAnsi="Arial"/>
          <w:sz w:val="18"/>
          <w:szCs w:val="18"/>
          <w:i w:val="1"/>
          <w:iCs w:val="1"/>
          <w:color w:val="auto"/>
        </w:rPr>
        <w:t>Business Trends and Conditions</w:t>
      </w:r>
      <w:r>
        <w:rPr>
          <w:rFonts w:ascii="Arial" w:cs="Arial" w:eastAsia="Arial" w:hAnsi="Arial"/>
          <w:sz w:val="18"/>
          <w:szCs w:val="18"/>
          <w:color w:val="auto"/>
        </w:rPr>
        <w:t xml:space="preserve"> included in Item 7 of Part II of this Report, which is incorporated by reference into this Part I, Item 1.</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lien. A brief generalized description of the process of issuing a title insurance policy is as follows:</w:t>
      </w:r>
    </w:p>
    <w:p>
      <w:pPr>
        <w:spacing w:after="0" w:line="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title searches and</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losses generally result from errors made in the title search and examination process, from hidden defects such as fraud, forgery, incapacity, or missing heirs of the property, and from closing related errors.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5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title policies on behalf of our title insurance companies. Our title insurance companies determine the terms and conditions upon which they will insure title to the real property according to our underwriting standards, policies and procedures.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Our direct operations include both the operations of our underwriters as well as affiliated agencies. In our direct operations, the title</w:t>
      </w:r>
      <w:r>
        <w:rPr>
          <w:rFonts w:ascii="Arial" w:cs="Arial" w:eastAsia="Arial" w:hAnsi="Arial"/>
          <w:sz w:val="18"/>
          <w:szCs w:val="18"/>
          <w:i w:val="1"/>
          <w:iCs w:val="1"/>
          <w:color w:val="auto"/>
        </w:rPr>
        <w:t xml:space="preserve"> </w:t>
      </w:r>
      <w:r>
        <w:rPr>
          <w:rFonts w:ascii="Arial" w:cs="Arial" w:eastAsia="Arial" w:hAnsi="Arial"/>
          <w:sz w:val="18"/>
          <w:szCs w:val="18"/>
          <w:color w:val="auto"/>
        </w:rPr>
        <w:t>insurer issues the title insurance policy and retains the entire premium paid in connection with the transaction. Our direct operations provide the following benefits:</w:t>
      </w:r>
    </w:p>
    <w:p>
      <w:pPr>
        <w:spacing w:after="0" w:line="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7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approximately 1,400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 the</w:t>
      </w:r>
      <w:r>
        <w:rPr>
          <w:rFonts w:ascii="Arial" w:cs="Arial" w:eastAsia="Arial" w:hAnsi="Arial"/>
          <w:sz w:val="17"/>
          <w:szCs w:val="17"/>
          <w:i w:val="1"/>
          <w:iCs w:val="1"/>
          <w:color w:val="auto"/>
        </w:rPr>
        <w:t xml:space="preserve"> </w:t>
      </w:r>
      <w:r>
        <w:rPr>
          <w:rFonts w:ascii="Arial" w:cs="Arial" w:eastAsia="Arial" w:hAnsi="Arial"/>
          <w:sz w:val="17"/>
          <w:szCs w:val="17"/>
          <w:color w:val="auto"/>
        </w:rPr>
        <w:t>search product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2017, we transact business with approximately 5,200 agents.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Fees and Premiums. </w:t>
      </w:r>
      <w:r>
        <w:rPr>
          <w:rFonts w:ascii="Arial" w:cs="Arial" w:eastAsia="Arial" w:hAnsi="Arial"/>
          <w:sz w:val="17"/>
          <w:szCs w:val="17"/>
          <w:color w:val="auto"/>
        </w:rPr>
        <w:t>One method of analyzing our business is to examine the level of premiums generated by direct and agency operations.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our title insurance premiums generated by direct and agency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2,626</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53.1</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4,893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Escrow, Title-Related and Other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including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30.2%, 30.5%, and 31.2% of total title segment revenues in 2017, 2016, and 2015, respectively.</w:t>
      </w:r>
    </w:p>
    <w:p>
      <w:pPr>
        <w:spacing w:after="0" w:line="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We market and distribute our title and escrow products and services to customers in the residential and commercial market sectors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3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i w:val="1"/>
          <w:iCs w:val="1"/>
          <w:color w:val="auto"/>
        </w:rPr>
        <w:t xml:space="preserve">Claims. </w:t>
      </w:r>
      <w:r>
        <w:rPr>
          <w:rFonts w:ascii="Arial" w:cs="Arial" w:eastAsia="Arial" w:hAnsi="Arial"/>
          <w:sz w:val="16"/>
          <w:szCs w:val="16"/>
          <w:color w:val="auto"/>
        </w:rPr>
        <w:t>An important part of our operations is the handling of title and escrow claims. We employ a large staff of attorneys in our claims department.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processing centers are located in Omaha, Nebraska and Jacksonville, Florida. In-house claims counsel are also located in other parts of the country.</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Reinsurance and Coinsurance. </w:t>
      </w:r>
      <w:r>
        <w:rPr>
          <w:rFonts w:ascii="Arial" w:cs="Arial" w:eastAsia="Arial" w:hAnsi="Arial"/>
          <w:sz w:val="17"/>
          <w:szCs w:val="17"/>
          <w:color w:val="auto"/>
        </w:rPr>
        <w:t>We limit our maximum loss exposure by reinsuring risks with other insurers under excess of loss and case-by-case</w:t>
      </w:r>
    </w:p>
    <w:p>
      <w:pPr>
        <w:spacing w:after="0" w:line="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coverage protects us from a large loss from a single loss occurrence. Our excess of loss reinsurance coverage is split into two contracts. The first excess of loss reinsurance contract provides an $80 million aggregate limit of coverage from a single loss occurrence for residential and commercial losses in excess of a $20 million retention per single loss occurrence ("First XOL Contract"). The second excess of loss reinsurance contract ("Second XOL Contract") provides an additional $300 million aggregate limit of coverage, with the Company co-participating at approximately 10%. Subject to the Company’s retention and co-participation on the Second XOL Contract, the maximum coverage provided under the First and Second XOL Contracts is $350 million.</w:t>
      </w:r>
    </w:p>
    <w:p>
      <w:pPr>
        <w:spacing w:after="0" w:line="47" w:lineRule="exact"/>
        <w:rPr>
          <w:sz w:val="20"/>
          <w:szCs w:val="20"/>
          <w:color w:val="auto"/>
        </w:rPr>
      </w:pPr>
    </w:p>
    <w:p>
      <w:pPr>
        <w:jc w:val="both"/>
        <w:ind w:right="20" w:firstLine="329"/>
        <w:spacing w:after="0" w:line="340" w:lineRule="auto"/>
        <w:rPr>
          <w:sz w:val="20"/>
          <w:szCs w:val="20"/>
          <w:color w:val="auto"/>
        </w:rPr>
      </w:pPr>
      <w:r>
        <w:rPr>
          <w:rFonts w:ascii="Arial" w:cs="Arial" w:eastAsia="Arial" w:hAnsi="Arial"/>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policy is to be selective in choosing our reinsurers, seeking only those companies that we consider to be financially stable and adequately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 effort to minimize exposure to the insolvency of a reinsurer, we periodically review the financial condition of our reinsurers.</w:t>
      </w:r>
    </w:p>
    <w:p>
      <w:pPr>
        <w:spacing w:after="0" w:line="7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earn a small amount of additional income, which is reflected in our direct premiums, by assuming reinsurance for certain risks of other title insurers.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Competition. </w:t>
      </w:r>
      <w:r>
        <w:rPr>
          <w:rFonts w:ascii="Arial" w:cs="Arial" w:eastAsia="Arial" w:hAnsi="Arial"/>
          <w:sz w:val="16"/>
          <w:szCs w:val="16"/>
          <w:color w:val="auto"/>
        </w:rPr>
        <w:t>Competition in the title insurance industry is based primarily on expertise, service and price. In addition, the financial strength of the insurer</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 The number and size of competing companies varies in the different geographic areas in which we conduct our business. In our principal markets, competitors include other major title underwriters such as First American Financial Corporation, Old Republic International Corporation and Stewart Information Services Corporation, as well as numerous smaller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Regulation. </w:t>
      </w:r>
      <w:r>
        <w:rPr>
          <w:rFonts w:ascii="Arial" w:cs="Arial" w:eastAsia="Arial" w:hAnsi="Arial"/>
          <w:sz w:val="16"/>
          <w:szCs w:val="16"/>
          <w:color w:val="auto"/>
        </w:rPr>
        <w:t>Our insurance subsidiaries, including title insurers, underwritten title companies and insurance agencies, are subject to extensive regulation</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accounting requirements of the various states in which our title insurers are domiciled, these insurers must defer a portion of</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2017, the combined statutory unearned premium reserve required and reported for our title insurers was $1,400 million. In addition to statutory unearned premium reserves and reserves for known claims, each of our insurers maintains surplus funds for policyholder protection and business operations.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 real estate markets in matters pertaining to consumers. This authority includes the enforcement of the Truth-in-Lending Act ("TILA") and the Real Estate Settlement Procedures Act (individually, "RESPA", and together, "TILA-RESPA Integrated Disclosure" or "TRID") formerly placed with the Department of Housing and Urban Development.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holding company with no significant business operations of our own, we depend on dividends or other distributions from our subsidiaries as the</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4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statutory net income of the insurer during the prior calendar year.</w:t>
      </w:r>
    </w:p>
    <w:p>
      <w:pPr>
        <w:spacing w:after="0" w:line="7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laws and regulations of some jurisdictions also prohibit an insurer from declaring or paying a dividend except out of its earned surplus or require the insurer to obtain prior regulatory approval. During 2018, our directly owned title insurers can pay dividends or make distributions to us of approximately $363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$1,389 million and $1,469 million as of December 31, 2017 and 2016, respectively. The combined statutory earnings of our title insurers were $434 million, $541 million, and $381 million for the years ended December 31, 2017, 2016, and 2015, respectively.</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2017.</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worth. Minimum net worth requirements for each underwritten title company is less than $1 million. These companies were in compliance with their respective minimum net worth requirements at December 31, 2017.</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For further discussion, see Item 3, Legal Proceedings.</w:t>
      </w:r>
    </w:p>
    <w:p>
      <w:pPr>
        <w:spacing w:after="0" w:line="3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National Association of Insurance Commissioners ("NAIC") has adopted an instruction requiring an annual certification of reserve adequacy by a</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Title Insurance Ratings. </w:t>
      </w:r>
      <w:r>
        <w:rPr>
          <w:rFonts w:ascii="Arial" w:cs="Arial" w:eastAsia="Arial" w:hAnsi="Arial"/>
          <w:sz w:val="18"/>
          <w:szCs w:val="18"/>
          <w:color w:val="auto"/>
        </w:rPr>
        <w:t>Our title insurance underwriters are regularly assigned ratings by independent agencies designed to indicate their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and/or claims paying ability. The rating agencies determine ratings by quantitatively and qualitatively analyzing financial data and other information. Our title subsidiaries include Alamo Title, Chicago Title, Commonwealth Land Title, Fidelity National Title and National Title of New York. Standard &amp; Poor’s Ratings Group (“S&amp;P”) and Moody’s Investors Service (“Moody’s”) provide ratings for the entire FNF family of companies as a whole as follows:</w:t>
      </w:r>
    </w:p>
    <w:p>
      <w:pPr>
        <w:spacing w:after="0" w:line="200" w:lineRule="exact"/>
        <w:rPr>
          <w:sz w:val="20"/>
          <w:szCs w:val="20"/>
          <w:color w:val="auto"/>
        </w:rPr>
      </w:pPr>
    </w:p>
    <w:p>
      <w:pPr>
        <w:spacing w:after="0" w:line="223" w:lineRule="exact"/>
        <w:rPr>
          <w:sz w:val="20"/>
          <w:szCs w:val="20"/>
          <w:color w:val="auto"/>
        </w:rPr>
      </w:pPr>
    </w:p>
    <w:p>
      <w:pPr>
        <w:ind w:left="9240"/>
        <w:spacing w:after="0"/>
        <w:tabs>
          <w:tab w:leader="none" w:pos="10300" w:val="left"/>
        </w:tabs>
        <w:rPr>
          <w:sz w:val="20"/>
          <w:szCs w:val="20"/>
          <w:color w:val="auto"/>
        </w:rPr>
      </w:pPr>
      <w:r>
        <w:rPr>
          <w:rFonts w:ascii="Arial" w:cs="Arial" w:eastAsia="Arial" w:hAnsi="Arial"/>
          <w:sz w:val="14"/>
          <w:szCs w:val="14"/>
          <w:b w:val="1"/>
          <w:bCs w:val="1"/>
          <w:color w:val="auto"/>
        </w:rPr>
        <w:t>S&amp;P</w:t>
      </w:r>
      <w:r>
        <w:rPr>
          <w:sz w:val="20"/>
          <w:szCs w:val="20"/>
          <w:color w:val="auto"/>
        </w:rPr>
        <w:tab/>
      </w:r>
      <w:r>
        <w:rPr>
          <w:rFonts w:ascii="Arial" w:cs="Arial" w:eastAsia="Arial" w:hAnsi="Arial"/>
          <w:sz w:val="14"/>
          <w:szCs w:val="14"/>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23495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9300" w:val="left"/>
          <w:tab w:leader="none" w:pos="10460" w:val="left"/>
        </w:tabs>
        <w:rPr>
          <w:sz w:val="20"/>
          <w:szCs w:val="20"/>
          <w:color w:val="auto"/>
        </w:rPr>
      </w:pPr>
      <w:r>
        <w:rPr>
          <w:rFonts w:ascii="Arial" w:cs="Arial" w:eastAsia="Arial" w:hAnsi="Arial"/>
          <w:sz w:val="18"/>
          <w:szCs w:val="18"/>
          <w:color w:val="auto"/>
        </w:rPr>
        <w:t>FNF family of companies</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A3</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relative position of each of our ratings among the ratings scale assigned by each rating agency is as follows:</w:t>
      </w:r>
    </w:p>
    <w:p>
      <w:pPr>
        <w:spacing w:after="0" w:line="90" w:lineRule="exact"/>
        <w:rPr>
          <w:sz w:val="20"/>
          <w:szCs w:val="20"/>
          <w:color w:val="auto"/>
        </w:rPr>
      </w:pPr>
    </w:p>
    <w:p>
      <w:pPr>
        <w:ind w:left="660" w:right="20" w:hanging="328"/>
        <w:spacing w:after="0" w:line="27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S&amp;P "A" rating is the third highest rating of 10 ratings for S&amp;P. According to S&amp;P, an “A” rating represents an investment grade company that, in its opinion, has strong capacity to meet financial commitments, but is somewhat susceptible to adverse economic conditions.</w:t>
      </w:r>
    </w:p>
    <w:p>
      <w:pPr>
        <w:ind w:left="660" w:right="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Moody's "A3" rating is the third highest rating of 9 ratings for Moody's. Moody's states that companies rated “A3” are judged to be upper-medium grade and are subject to low credit risk.</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Demotech provides financial strength/stability ratings for each of our principal title insurance underwriters individually,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Chicago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Fidelity National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4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National Title Insurance of New York</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Demotech states that its ratings of "A"(A double prime)" and "A' (A prime)" reflect its opinion that, regardless of the severity of a general economic</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downturn or deterioration in the insurance cycle, the insurers assigned either of those ratings possess "Unsurpassed" financial stability related to maintaining positive surplus as regards policyholders. The A'' and A' ratings are the two highest ratings of Demotech's six ratings.</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The ratings of S&amp;P, Moody’s,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If the rating agencies downgrade our Company, our results of operations and competitive position in the title insurance industry may suffer” for further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Research and Development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national provider of real estate transaction products and services, we participate in an industry that is subject to significant regulatory requirements,</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Policies and Investment Portfolio</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investment policy is designed to maximize total return through investment income and capital appreciation consistent with moderate risk of</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principal, while providing adequate liquidity. Our insurance subsidiaries, including title insurers, underwritten title companies and insurance agencies, are subject to extensive regulation under applicable state laws. The various states in which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our underwriters regulate the types of assets that qualify for purposes of capital, surplus, and statutory unearned premium reserves. Our investment policy specifically limits duration and non-investment grade allocations in the FNF core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2017 and 2016, the carrying amount of total investments, which approximates the fair value, excluding investments in unconsolidated affiliates, was $3.2 billion and $3.6 billion, respectively.</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purchase investment grade fixed maturity securities, selected non-investment grade fixed maturity securities, preferred stock and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in our portfolio are subject to economic conditions and normal market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securities and preferred stock portfolio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8"/>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 of</w:t>
            </w:r>
          </w:p>
        </w:tc>
      </w:tr>
      <w:tr>
        <w:trPr>
          <w:trHeight w:val="276"/>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Rating(1)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96"/>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Aa/AA</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19.3</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31.5</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Baa/BBB</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26.7</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Ba/BB/B</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Lower</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2.0</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r>
      <w:tr>
        <w:trPr>
          <w:trHeight w:val="237"/>
        </w:trPr>
        <w:tc>
          <w:tcPr>
            <w:tcW w:w="2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2,708</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17145</wp:posOffset>
            </wp:positionV>
            <wp:extent cx="5728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-130175</wp:posOffset>
            </wp:positionV>
            <wp:extent cx="5728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Ratings as assigned by Moody’s Investors Service or Standard &amp; Poor’s Ratings Group if a Moody's rating is unavailable.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category is composed of unrated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2017</w:t>
            </w:r>
          </w:p>
        </w:tc>
        <w:tc>
          <w:tcPr>
            <w:tcW w:w="980" w:type="dxa"/>
            <w:vAlign w:val="bottom"/>
            <w:tcBorders>
              <w:bottom w:val="single" w:sz="8" w:color="auto"/>
            </w:tcBorders>
          </w:tcPr>
          <w:p>
            <w:pPr>
              <w:spacing w:after="0"/>
              <w:rPr>
                <w:sz w:val="16"/>
                <w:szCs w:val="16"/>
                <w:color w:val="auto"/>
              </w:rPr>
            </w:pPr>
          </w:p>
        </w:tc>
      </w:tr>
      <w:tr>
        <w:trPr>
          <w:trHeight w:val="258"/>
        </w:trPr>
        <w:tc>
          <w:tcPr>
            <w:tcW w:w="7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 of</w:t>
            </w:r>
          </w:p>
        </w:tc>
      </w:tr>
      <w:tr>
        <w:trPr>
          <w:trHeight w:val="276"/>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Maturity</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67.5</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0.3</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1,816</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maturities may differ from contractual maturities because certain borrowers have the right to call or prepay obligations with or without call or</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prepayment penalties. Because of the potential for prepayment on mortgage-backed and asset-backed securities, they are not categorized by contractual maturity.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equity securities at December 31, 2017 and 2016 consisted of investments with a cost basis of $517 million and $278 million, respectively, and fair value of $681 million and $386 million,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and 2016, we also held $150 million in investments that are accounted for using the equity method of accounting.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9"/>
        <w:spacing w:after="0" w:line="348" w:lineRule="auto"/>
        <w:rPr>
          <w:sz w:val="20"/>
          <w:szCs w:val="20"/>
          <w:color w:val="auto"/>
        </w:rPr>
      </w:pPr>
      <w:r>
        <w:rPr>
          <w:rFonts w:ascii="Arial" w:cs="Arial" w:eastAsia="Arial" w:hAnsi="Arial"/>
          <w:sz w:val="17"/>
          <w:szCs w:val="17"/>
          <w:color w:val="auto"/>
        </w:rPr>
        <w:t>As of December 31, 2017 and 2016, other long-term investments were $110 million and $42 million, respectively. Other long-term investments include investments accounted for using the cost method of accounting and company-owned life insurance policies carried at cash surrender value.</w:t>
      </w:r>
    </w:p>
    <w:p>
      <w:pPr>
        <w:ind w:left="340"/>
        <w:spacing w:after="0"/>
        <w:rPr>
          <w:sz w:val="20"/>
          <w:szCs w:val="20"/>
          <w:color w:val="auto"/>
        </w:rPr>
      </w:pPr>
      <w:r>
        <w:rPr>
          <w:rFonts w:ascii="Arial" w:cs="Arial" w:eastAsia="Arial" w:hAnsi="Arial"/>
          <w:sz w:val="16"/>
          <w:szCs w:val="16"/>
          <w:color w:val="auto"/>
        </w:rPr>
        <w:t>Short-term investments, which consist primarily of commercial paper and money market instruments which have an original maturity of one year or less,</w:t>
      </w: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are carried at amortized cost, which approximates fair value. As of December 31, 2017 and 2016, short-term investments amounted to $295 million and $482 million,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results for the years ended December 31, 2017, 2016 and 2015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137</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Average invested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3,296</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3,936</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4,020</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8"/>
        </w:trPr>
        <w:tc>
          <w:tcPr>
            <w:tcW w:w="20" w:type="dxa"/>
            <w:vAlign w:val="bottom"/>
          </w:tcPr>
          <w:p>
            <w:pPr>
              <w:spacing w:after="0"/>
              <w:rPr>
                <w:sz w:val="18"/>
                <w:szCs w:val="18"/>
                <w:color w:val="auto"/>
              </w:rPr>
            </w:pPr>
          </w:p>
        </w:tc>
        <w:tc>
          <w:tcPr>
            <w:tcW w:w="7560" w:type="dxa"/>
            <w:vAlign w:val="bottom"/>
          </w:tcPr>
          <w:p>
            <w:pPr>
              <w:jc w:val="right"/>
              <w:ind w:right="4070"/>
              <w:spacing w:after="0"/>
              <w:rPr>
                <w:sz w:val="20"/>
                <w:szCs w:val="20"/>
                <w:color w:val="auto"/>
              </w:rPr>
            </w:pPr>
            <w:r>
              <w:rPr>
                <w:rFonts w:ascii="Arial" w:cs="Arial" w:eastAsia="Arial" w:hAnsi="Arial"/>
                <w:sz w:val="18"/>
                <w:szCs w:val="18"/>
                <w:color w:val="auto"/>
                <w:w w:val="88"/>
              </w:rPr>
              <w:t>______________________________________</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investment income as reported in our Consolidated Statements of Earnings has been adjusted in the presentation above to provide the tax equivalent yield on tax exempt investments and to exclude interest earned on cash and cash equivalents.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Reserves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information about our loss reserves,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Critical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Accounting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Operations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direct title operations are divided into approximately 180 profit centers. Each profit center 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5,200 agents, primarily in those areas in which agents are the more prevalent title insurance provider. Substantially all of our revenues are generated in the United States.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Texas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14.4</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New York</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8.1</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48.6</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4,893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February 2, 2018, we had 24,367 full-time equivalent employees, which includes 23,617 in our Title segment and 750 in our Corporate and other segment. We monitor our staffing levels based on current economic activity. None of our employees are subject to collective bargaining agreements. We believe that our relations with employees are generally good.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by Operating Segment</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financial information by operating segment, see Note R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to our Consolidated Financial Statements included in Item 8 of Part II of this Annual Report.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Statement Regarding Forward-Looking Information</w:t>
      </w:r>
    </w:p>
    <w:p>
      <w:pPr>
        <w:spacing w:after="0" w:line="144" w:lineRule="exact"/>
        <w:rPr>
          <w:sz w:val="20"/>
          <w:szCs w:val="20"/>
          <w:color w:val="auto"/>
        </w:rPr>
      </w:pPr>
    </w:p>
    <w:p>
      <w:pPr>
        <w:jc w:val="both"/>
        <w:ind w:firstLine="329"/>
        <w:spacing w:after="0" w:line="340" w:lineRule="auto"/>
        <w:rPr>
          <w:sz w:val="20"/>
          <w:szCs w:val="20"/>
          <w:color w:val="auto"/>
        </w:rPr>
      </w:pPr>
      <w:r>
        <w:rPr>
          <w:rFonts w:ascii="Arial" w:cs="Arial" w:eastAsia="Arial" w:hAnsi="Arial"/>
          <w:sz w:val="18"/>
          <w:szCs w:val="18"/>
          <w:color w:val="auto"/>
        </w:rPr>
        <w:t>The statements contained in this Form 10-K or in our other documents or in oral presentations or other statements made by our management that are not purely historical are forward-looking statements within the meaning of Section 27A of the Securities</w:t>
      </w:r>
    </w:p>
    <w:p>
      <w:pPr>
        <w:sectPr>
          <w:pgSz w:w="11900" w:h="16838" w:orient="portrait"/>
          <w:cols w:equalWidth="0" w:num="1">
            <w:col w:w="11420"/>
          </w:cols>
          <w:pgMar w:left="240" w:top="125"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5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severity of our title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downgrade of our credit rating by rating agencies;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investigations of the title insurance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concentration in the States of California and Texas are the source of approximately 14.5% and14.2%, respectively, of our title insurance premiums;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distributions from our title insurance underwriters as our main source of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other title insurance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not under any obligation (and expressly disclaim any such obligation) to update or alter our forward-looking statements, whether as a result of</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information, future events or otherwise. You should carefully consider the possibility that actual results may differ materially from our forward-looking statements.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www.fnf.com. We make available free of charge on or through our website our Annual Report on Form 10-K, Quarterly Reports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33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Goodwill aggregated approximately $2,746 million, or 30.0% of our total assets, as of December 31, 2017.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the years ended December 31, 2017, 2016, or 2015.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Our management has articulated a willingness to seek growth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has stated that we may make acquisitions, both in our current lines of business, as well as lines of business that are not directly tied to or synergistic with our core operations. Accordingly, we have in the past acquired, and may in the future acquire, businesses in industries or geographic areas with which management is less familiar than we are with our core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2018, our title insurers may pay dividends or make distributions to us of approximately $363 million; however, insurance regulators have the authority to prohibit the payment of ordinary dividends or other payments by our title insurers to us if they determine that such payment could be adverse to our policyholders.</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loss of key personnel could negatively affect our financial results and impair our operating abilities.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credit cards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such breaches may occur, could inhibit our ability to retain or attract new clients and/or result in financial losses, litigation, increased costs, negative publicity, or other adverse consequences to our business.</w:t>
      </w:r>
    </w:p>
    <w:p>
      <w:pPr>
        <w:spacing w:after="0" w:line="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economic and credit market conditions deteriorate, it could have a material adverse impact on our investment portfolio.</w:t>
      </w:r>
    </w:p>
    <w:p>
      <w:pPr>
        <w:spacing w:after="0" w:line="9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6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3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 large insurance entity and a publicly traded company, the Company has always had risk management functions, policies and procedures throughout its operations and management. These functions include but are not limited to departments dedicated to enterprise risk management and information technology risk management, information security, business continuity, lender strategy and development, and vendor risk management. These policies and procedures have evolved over the years as we continually reassess our processes both internally and to comply with changes in the regulatory environment. Due to limitations inherent in any internal process, if the Company's risk management processes prove unsuccessful at identifying and responding to risks, we could incur unexpected monetary losses, damage to our reputation, additional costs or impairment of our ability to conduct business effectively.</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the subject of various legal proceedings that could have a material adverse effect on our results of operations.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M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Contingencies </w:t>
      </w:r>
      <w:r>
        <w:rPr>
          <w:rFonts w:ascii="Arial" w:cs="Arial" w:eastAsia="Arial" w:hAnsi="Arial"/>
          <w:sz w:val="18"/>
          <w:szCs w:val="18"/>
          <w:color w:val="auto"/>
        </w:rPr>
        <w:t>to our Consolidated Financial Statements included in Item 8 of Part II of this Annual Report for further discussion of pending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matters and our related accrual.</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9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the United States economy is weak, including high unemployment levels.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Declines in the level of real estate activity or the average price of real estate sales are likely to adversely affect our title insurance revenues. The Mortgage Bankers Association's ("MBA") Mortgage Finance Forecast as of January 20, 2018 estimates an approximately $1.6 trillion mortgage origination market for 2018, which would be a decrease of 5.9% from 2017. The MBA forecasts that the 5.9% decrease will result from a decrease in refinance activity, offset by a slight increase in forecast purchase transactions. Our revenues in future periods will continue to be subject to these and other factors which are beyond our control and, as a result, are likely to fluctuate.</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financial institutions at which we hold escrow funds fail, it could have a material adverse impact on our company.</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contingent liability relating to proper disposition of these balances for our customers, which amounted to $15.4 billion at December 31, 2017.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46"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4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subsidiaries must comply with extensive regulations. These regulations may increase our costs or impede or impose burdensome conditions on actions that we might seek to take to increase the revenues of those subsidiaries.</w:t>
      </w:r>
    </w:p>
    <w:p>
      <w:pPr>
        <w:spacing w:after="0" w:line="3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3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disclosure requirements on key terms of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Regulation” for further discussion of the current regulatory environment.</w:t>
      </w:r>
    </w:p>
    <w:p>
      <w:pPr>
        <w:spacing w:after="0" w:line="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requests, subpoenas, and orders for documents, testimony and information in connection with various aspects of its or its clients’ regulated activities. The ongoing implementation of the Dodd Frank Act, including the implementation of the originations and servicing rules by the CFPB, could increase our regulatory compliance burden and associated costs and place restrictions on our ability to operate the LoanCare business.</w:t>
      </w:r>
    </w:p>
    <w:p>
      <w:pPr>
        <w:spacing w:after="0" w:line="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title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the Company’s business operating results and financial conditions.</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Because we are dependent upon California and Texas for approximately 14.5% and 14.2% and of our title insurance premiums, respectively, our business may be adversely affected by regulatory conditions in California and/or Texas.</w:t>
      </w:r>
    </w:p>
    <w:p>
      <w:pPr>
        <w:spacing w:after="0" w:line="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California and Texas are the two largest sources of revenue for our title segment and, in 2017, California-based premiums accounted for 29.5% of premiums earned by our direct operations and 0.7% of our agency premium revenues. Texas-based premiums accounted for 18.2% of premiums earned by our direct operations and 10.3% of our agency premium revenues. In the aggregate, California and Texas accounted for approximately 14.5% and 14.2%, respectively, of our total title insurance premiums for 2017.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If the rating agencies downgrade our insurance companies, our results of operations and competitive position in the title insurance industry may suffer.</w:t>
      </w:r>
    </w:p>
    <w:p>
      <w:pPr>
        <w:spacing w:after="0" w:line="1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title insurance subsidiaries are rated by S&amp;P, Moody’s,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the Company's claim loss prevention procedures fail, we could incur significant claim losses.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ordinary course of our title insurance business, we assume risks related to insuring clear title to residential and commercial properties. The Company has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limitations cause our claim loss risk mitigation procedures to fail, we could incur substantial losses having an adverse effect on our results of operations or financial condition.</w:t>
      </w:r>
    </w:p>
    <w:p>
      <w:pPr>
        <w:spacing w:after="0" w:line="35"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Company's use of independent agents for a significant amount of our title insurance policies could adversely impact the frequency and severity of title claims.</w:t>
      </w:r>
    </w:p>
    <w:p>
      <w:pPr>
        <w:spacing w:after="0" w:line="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Company’s agency operations, an independent agent performs the search and examination function or the agent may purchase a search product from the Company.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The Company’s relationship with each agent is governed by an agency agreement defining how the agent issues a title insurance policy on the Company’s behalf. The agency agreement also sets forth the agent’s liability to the Company for policy losses attributable to the agent’s errors. For each agent with whom the Company enters into an agency agreement, financial and loss experience records are maintained. Periodic audits of our agents are also conducted and the number of agents with which the Company transacts business is strategically managed in an effort to reduce future expenses and manage risks. Despite efforts to monitor the independent agents with which we transact business, there is no guarantee that an agent will comply with their contractual obligations to the Company. Furthermore, we cannot be certain that, due to changes in the regulatory environment and litigation trends, the Company will not be held liable for errors and omissions by agents. Accordingly, our use of independent agents could adversely impact the frequency and severity of title claims.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Failure to respond to rapid changes in technology could adversely affect the Company</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Our competitors may be able to utilize technology more effectively than us which could result in the loss of market share.</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corporate headquarters are on our campus in Jacksonville, Florida in owned facilities.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majority of our branch offices are leased from third parties. See Note M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Item 8 of Part II of this Annual Report for further information on our outstanding leases. Our subsidiaries conduct their business operations primarily in leased office space in 44 states, Washington, DC, Canada and India.</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For a description of our legal proceedings see discussion of </w:t>
      </w:r>
      <w:r>
        <w:rPr>
          <w:rFonts w:ascii="Arial" w:cs="Arial" w:eastAsia="Arial" w:hAnsi="Arial"/>
          <w:sz w:val="17"/>
          <w:szCs w:val="17"/>
          <w:i w:val="1"/>
          <w:iCs w:val="1"/>
          <w:color w:val="auto"/>
        </w:rPr>
        <w:t>Legal and Regulatory Contingencies</w:t>
      </w:r>
      <w:r>
        <w:rPr>
          <w:rFonts w:ascii="Arial" w:cs="Arial" w:eastAsia="Arial" w:hAnsi="Arial"/>
          <w:sz w:val="17"/>
          <w:szCs w:val="17"/>
          <w:color w:val="auto"/>
        </w:rPr>
        <w:t xml:space="preserve"> in Note M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in Item 8 of Part II of this Annual Report, which is incorporated by reference into this Part I, Item 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common stock trades on the New York Stock Exchange under the trading symbol "FNF". The following tables provide the high and low closing sales prices of our common stock and cash dividends declared per share of common stock for each quarter during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980" w:type="dxa"/>
            <w:vAlign w:val="bottom"/>
            <w:gridSpan w:val="3"/>
            <w:vMerge w:val="restart"/>
          </w:tcPr>
          <w:p>
            <w:pPr>
              <w:ind w:left="2780"/>
              <w:spacing w:after="0"/>
              <w:rPr>
                <w:sz w:val="20"/>
                <w:szCs w:val="20"/>
                <w:color w:val="auto"/>
              </w:rPr>
            </w:pPr>
            <w:r>
              <w:rPr>
                <w:rFonts w:ascii="Arial" w:cs="Arial" w:eastAsia="Arial" w:hAnsi="Arial"/>
                <w:sz w:val="14"/>
                <w:szCs w:val="14"/>
                <w:b w:val="1"/>
                <w:bCs w:val="1"/>
                <w:color w:val="auto"/>
              </w:rPr>
              <w:t>Stock Price High</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Stock Price Low</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Cash Dividends</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98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50"/>
        </w:trPr>
        <w:tc>
          <w:tcPr>
            <w:tcW w:w="50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3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1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27.64</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10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concerning securities authorized for issuance under our equity compensation plans will be included in Item 12 of Part III of this report.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2017.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2012,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5025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12/31/2012</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12/31/2013</w:t>
            </w:r>
          </w:p>
        </w:tc>
        <w:tc>
          <w:tcPr>
            <w:tcW w:w="12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12/31/2014</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12/31/2015</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12/31/2016</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12/31/2017</w:t>
            </w:r>
          </w:p>
        </w:tc>
      </w:tr>
      <w:tr>
        <w:trPr>
          <w:trHeight w:val="393"/>
        </w:trPr>
        <w:tc>
          <w:tcPr>
            <w:tcW w:w="3040" w:type="dxa"/>
            <w:vAlign w:val="bottom"/>
          </w:tcPr>
          <w:p>
            <w:pPr>
              <w:ind w:left="40"/>
              <w:spacing w:after="0"/>
              <w:rPr>
                <w:sz w:val="20"/>
                <w:szCs w:val="20"/>
                <w:color w:val="auto"/>
              </w:rPr>
            </w:pPr>
            <w:r>
              <w:rPr>
                <w:rFonts w:ascii="Arial" w:cs="Arial" w:eastAsia="Arial" w:hAnsi="Arial"/>
                <w:sz w:val="14"/>
                <w:szCs w:val="14"/>
                <w:color w:val="auto"/>
              </w:rPr>
              <w:t>Fidelity National Financial, Inc.</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141.40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186.97</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192.43</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193.40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317.26</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S&amp;P 500</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132.39</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150.51</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152.59</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170.84</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208.14</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Peer Group</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120.24</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146.83</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158.07</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172.47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249.23</w:t>
            </w:r>
          </w:p>
        </w:tc>
      </w:tr>
    </w:tbl>
    <w:p>
      <w:pPr>
        <w:spacing w:after="0" w:line="10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31, 2018, the last reported sale price of our common stock on the New York Stock Exchange was $38.98. We had approximately 7,000 shareholders of record.</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26, 2018, our Board of Directors formally declared a $0.30 per FNF share cash dividend that is payable on March 30, 2018 to FNF shareholders of record as of March 16, 2018.</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There are no restrictions on our retained earnings regarding our ability to pay dividends to shareholders,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there are limits on the ability of certain subsidiaries to pay dividends to us, as described below.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2017, $1,700 million of our net assets are restricted from dividend payments without prior approval from the Departments of Insurance in the states where our title insurance subsidiaries are domiciled. During 2018, our directly owned title insurance subsidiaries can pay dividends or make distributions to us of approximately $363 million without prior approval. The limits placed on such subsidiaries’ abilities to pay dividends affect our ability to pay dividends.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20, 2015, our Board of Directors approved a new three-year stock repurchase program under which we can purchase up to 25 million shares of our FNF Group common stock through July 30, 2018. We may make repurchases from time to time in the open market, in block purchases or in privately negotiated transactions, depending on market conditions and other factors. Since the original commencement of the plan, we have repurchased a total of 10,589,000 FNF Group common shares for $372 million, or an average of $35.10 per share, and there are 14,411,000 shares available to be repurchased under this program. We have not made any repurchases under this program in the year ended December 31, 2017 or in the subsequent period ended January 31, 2018.</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2017 presentation.</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results of FNFV are presented as discontinued operations in the following tables.</w:t>
      </w:r>
    </w:p>
    <w:p>
      <w:pPr>
        <w:spacing w:after="0" w:line="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29, 2017 we completed our tax-free distribution to FNF Group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publicly-traded holding company, Black Knight, Inc. ("New Black Knight"). The results of Black Knight are presented as discontinued operations in the following tables.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a recapitalization of FNF common stock into two tracking stocks, FNF Group common stock and FNFV Group common stock. Each share of the previously outstanding FNF Class A common stock ("Old FNF common stock") was converted into one share of FNF Group common stock and 0.3333 of a share of FNFV Group common stock.</w:t>
      </w:r>
    </w:p>
    <w:p>
      <w:pPr>
        <w:spacing w:after="0" w:line="362"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ind w:left="220"/>
              <w:spacing w:after="0"/>
              <w:rPr>
                <w:sz w:val="20"/>
                <w:szCs w:val="20"/>
                <w:color w:val="auto"/>
              </w:rPr>
            </w:pPr>
            <w:r>
              <w:rPr>
                <w:rFonts w:ascii="Arial" w:cs="Arial" w:eastAsia="Arial" w:hAnsi="Arial"/>
                <w:sz w:val="14"/>
                <w:szCs w:val="14"/>
                <w:b w:val="1"/>
                <w:bCs w:val="1"/>
                <w:color w:val="auto"/>
              </w:rPr>
              <w:t>(Dollars in millions, except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7,663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6,799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before income taxes, equity in earnings (loss) of unconsolidated</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affiliates, and noncontrolling interest</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equity in earnings of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Earnings (loss) from discontinued operations, net of tax</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Less: net earnings (loss) attributable to noncontrolling interests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left="49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center"/>
              <w:ind w:right="191"/>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1"/>
              </w:rPr>
              <w:t>Basic net earnings per share attributable to Old FNF common shareholders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0.33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1.71</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2.40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1.95</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0.77</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5"/>
              </w:rPr>
              <w:t>Basic net earnings (loss)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1.68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20"/>
                <w:szCs w:val="20"/>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Old FNF,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basic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FNFV Group,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Diluted net earnings per share attributable to Old FNF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1.68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1.89</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0.75</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3"/>
              </w:rPr>
              <w:t>Diluted net earnings (loss)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1.63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(0.06)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20"/>
                <w:szCs w:val="20"/>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Old FNF,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diluted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280</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FNFV Group,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Dividends declared per share of Old FNF common stock</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0.66</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share of FNF Group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0.88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0.37</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3,371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3,782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4,015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3,694</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3,387</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Cash and cash equivalents (3)</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1,110</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1,049</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1,815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9,151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14,521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14,043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13,868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10,573</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759</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987</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981</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2,086</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983</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title claim losses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1,490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1,487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1,583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1,621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1,636</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Redeemable NCI</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344</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344</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715</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4,467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6,898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6,588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6,073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5,535</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Old FNF</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22.14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share FNF Group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22.81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21.21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18.87</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FNFV Group (4)</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15.54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15.05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16.31</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000's)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1,942</w:t>
            </w:r>
          </w:p>
        </w:tc>
        <w:tc>
          <w:tcPr>
            <w:tcW w:w="320" w:type="dxa"/>
            <w:vAlign w:val="bottom"/>
          </w:tcPr>
          <w:p>
            <w:pPr>
              <w:spacing w:after="0"/>
              <w:rPr>
                <w:sz w:val="21"/>
                <w:szCs w:val="21"/>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2,184</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2,092</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1,914</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2,181</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000's)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1,428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1,575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1,472</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1,319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1,708</w:t>
            </w: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7"/>
              </w:rPr>
              <w:t>Provision for title insurance claim losses as a percent of title insurance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premiums (5)</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Title-related revenue (6):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Percentage direct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agency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1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jc w:val="both"/>
        <w:ind w:left="660" w:hanging="328"/>
        <w:spacing w:after="0" w:line="30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Weighted average shares outstanding as of December 31, 2014 includes 25,920,078 FNF shares that were issued as part of the acquisition of LPS on January 2, 2014 and 91,711,237 FNFV shares that were issued as part of the recapitalization completed on June 30, 2014. Weighted average shares outstanding as of December 31, 2013 includes 19,837,500 shares that were issued as part of an equity offering by FNF on October 31, 2013.</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as of December 31, 2017, 2016, 2015, 2014, and 2013, include securities pledged to secured trust deposits of $367 million, $544 million, $608 million, $499 million, and $261 million, respectively.</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and cash equivalents as of December 31, 2017, 2016, 2015, 2014, and 2013 include cash pledged to secured trust deposits of $475 million, $331 million, $108 million, $136 million, and $339 million, respectively.</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Book value per share is calculated as equity at December 31 of each year presented divided by actual shares outstanding at December 31 of each year presented.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the effects of the release of $97 million of excess reserves in the quarter ended December 31, 2016.</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title insurance premiums and escrow, title-related and other fees.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Selected Quarterly Financial Data (Unaudited)</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640" w:type="dxa"/>
            <w:vAlign w:val="bottom"/>
          </w:tcPr>
          <w:p>
            <w:pPr>
              <w:ind w:left="280"/>
              <w:spacing w:after="0"/>
              <w:rPr>
                <w:sz w:val="20"/>
                <w:szCs w:val="20"/>
                <w:color w:val="auto"/>
              </w:rPr>
            </w:pPr>
            <w:r>
              <w:rPr>
                <w:rFonts w:ascii="Arial" w:cs="Arial" w:eastAsia="Arial" w:hAnsi="Arial"/>
                <w:sz w:val="18"/>
                <w:szCs w:val="18"/>
                <w:color w:val="auto"/>
              </w:rPr>
              <w:t>Selected quarterly financial data is as follows: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0"/>
        </w:trPr>
        <w:tc>
          <w:tcPr>
            <w:tcW w:w="6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66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June 30,</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6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76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(Dollars in millions, except per share data)</w:t>
            </w:r>
          </w:p>
        </w:tc>
        <w:tc>
          <w:tcPr>
            <w:tcW w:w="1000" w:type="dxa"/>
            <w:vAlign w:val="bottom"/>
          </w:tcPr>
          <w:p>
            <w:pPr>
              <w:spacing w:after="0"/>
              <w:rPr>
                <w:sz w:val="17"/>
                <w:szCs w:val="17"/>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1,643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1,975</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 equity in earnings of</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earnings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0.90</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0.63</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0.88</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Diluted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Dividends paid per share FNF Group common stock</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0.25</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0.27</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1,923</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 equity in earnings of</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earnings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0.27</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0.69</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0.85</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FNF Group common shareholders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0.26</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0.67</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0.83</w:t>
            </w:r>
          </w:p>
        </w:tc>
      </w:tr>
      <w:tr>
        <w:trPr>
          <w:trHeight w:val="27"/>
        </w:trPr>
        <w:tc>
          <w:tcPr>
            <w:tcW w:w="6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Diluted earnings (loss) per share attributable to FNFV Group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0.14</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Dividends paid per share FNF Group common stock</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a result of the BK Distribution and FNFV Split-Off, the results of operations of Black Knight and FNFV were reclassified to discontinued operations in the quarters ended September 30, 2017 and December 31, 2017, respectively. Accordingly, revenue and earnings from continuing operations before income taxes, equity in earnings of unconsolidated affiliates, and noncontrolling interest ("earnings from continuing operations") for the quarters ended March 31, 2016 through September 30, 2017 differ from our previously reported amounts on our corresponding Form 10-Q or Form 10-K, as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our selected quarterly financial data to our previously reported amounts is shown below:</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6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7"/>
          </w:tcPr>
          <w:p>
            <w:pPr>
              <w:ind w:left="40"/>
              <w:spacing w:after="0"/>
              <w:rPr>
                <w:sz w:val="20"/>
                <w:szCs w:val="20"/>
                <w:color w:val="auto"/>
              </w:rPr>
            </w:pPr>
            <w:r>
              <w:rPr>
                <w:rFonts w:ascii="Arial" w:cs="Arial" w:eastAsia="Arial" w:hAnsi="Arial"/>
                <w:sz w:val="14"/>
                <w:szCs w:val="14"/>
                <w:b w:val="1"/>
                <w:bCs w:val="1"/>
                <w:color w:val="auto"/>
                <w:w w:val="93"/>
              </w:rPr>
              <w:t>(Dollars in millions, except per share data)</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Revenue,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discontinued operations (1)</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 as reported (2)</w:t>
            </w: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Earnings from continuing operations, subsequently discontinued (1)</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as reported (2)</w:t>
            </w: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Revenue, discontinued operations (1)</w:t>
            </w: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as reported (2)</w:t>
            </w: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60" w:type="dxa"/>
            <w:vAlign w:val="bottom"/>
          </w:tcPr>
          <w:p>
            <w:pPr>
              <w:ind w:left="40"/>
              <w:spacing w:after="0"/>
              <w:rPr>
                <w:sz w:val="20"/>
                <w:szCs w:val="20"/>
                <w:color w:val="auto"/>
              </w:rPr>
            </w:pPr>
            <w:r>
              <w:rPr>
                <w:rFonts w:ascii="Arial" w:cs="Arial" w:eastAsia="Arial" w:hAnsi="Arial"/>
                <w:sz w:val="18"/>
                <w:szCs w:val="18"/>
                <w:color w:val="auto"/>
              </w:rPr>
              <w:t>Earnings from continuing operations</w:t>
            </w:r>
          </w:p>
        </w:tc>
        <w:tc>
          <w:tcPr>
            <w:tcW w:w="14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subsequently discontinued (1)</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6160" w:type="dxa"/>
            <w:vAlign w:val="bottom"/>
          </w:tcPr>
          <w:p>
            <w:pPr>
              <w:ind w:left="40"/>
              <w:spacing w:after="0"/>
              <w:rPr>
                <w:sz w:val="20"/>
                <w:szCs w:val="20"/>
                <w:color w:val="auto"/>
              </w:rPr>
            </w:pPr>
            <w:r>
              <w:rPr>
                <w:rFonts w:ascii="Arial" w:cs="Arial" w:eastAsia="Arial" w:hAnsi="Arial"/>
                <w:sz w:val="18"/>
                <w:szCs w:val="18"/>
                <w:color w:val="auto"/>
              </w:rPr>
              <w:t>Earnings from continuing operations, as reported (2)</w:t>
            </w:r>
          </w:p>
        </w:tc>
        <w:tc>
          <w:tcPr>
            <w:tcW w:w="1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total revenue and earnings from Black Knight and FNFV.</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previously reported on our corresponding Form 10-Q or Form 10-K.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Form 10-K.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our business, including descriptions of segments, see the discussion under Business in Item 1 of Part I of this Annual Report, which is incorporated by reference into this Part II, Item 7 of this Annual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30, 2017, FGL Holdings (formerly known as CF Corporation), a Cayman Islands exempted company, consummated its previously announced acquisition of Fidelity &amp; Guaranty Life, a Delaware corporation (“FGL”), pursuant to the Agreement and Plan of Merger, dated as of May 24, 2017, as amended (the “Merger Agreement”), by and among CF Corporation, FGL, and certain subsidiaries of CF Corporation and FGL (collectively, the "FGL Merger"). In connection with the FGL Merger, FNF received 13,732,000 common shares and 100,000 Series B Cumulative Preferred ('FG Preferred") shares in exchange for an aggregate investment of $213 million. As of December 31, 2017 FNF owns 16,732,000 common shares, inclusive of 3,000,000 common shares of CF Corporation held prior to the FGL Merger, and 100,000 FG Preferred shares with an aggregate market value of $246 million and we own approximately 8.5% of the outstanding common equity of FGL. The Company’s non-executive Chairman, William P. Foley, II, is also the Co-Executive Chairman of FGL.</w:t>
      </w:r>
    </w:p>
    <w:p>
      <w:pPr>
        <w:spacing w:after="0" w:line="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FNFV Split-Off was accomplished by the Company's redemption (the “Redemption”) of all of the outstanding shares of FNFV Group common stock, par value $0.0001 per share (“FNFV common stock”) for outstanding shares of common stock of Cannae, par value $0.0001 per share (“Cannae common stock”), amounting to a redemption on a per share basis of each outstanding share of FNFV common stock for one share of Cannae common stock, as of November 17, 2017. As a result of the FNFV Split-Off, Cannae is a separate, publicly traded company (NYSE: CNNE). All of the Company’s core title insurance, real estate, technology and mortgage related businesses, assets and liabilities currently attributed to the Company’s FNF Group common stock that were not held by Cannae remain with the Company. As a result of the FNFV Split-Off, we have reclassified the assets and liabilities divested as assets and liabilities of discontinued operations in our Consolidated Balance Sheet as of December 31, 2016. Further, the financial results of FNFV Group have been reclassified to discontinued operations for all periods presented in our Consolidated Statements of Earnings. See Note G.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to our Consolidated Financial Statements included in Item 8 of Part II of this Annual Report for further details of the results of FNFV Group.</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17, 2017, Frank P. Willey resigned from our Board of Directors.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September 29, 2017 we completed our tax-free distribution to FNF Group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publicly-traded holding company, Black Knight, Inc. ("New Black Knight"). Holders of FNF Group common stock received approximately 0.30663 shares of New Black Knight common stock for every one share of FNF Group common stock held at the close of business on September 20, 2017, the record date for the BK Distribution. New Black Knight's common stock is now listed under the symbol “BKI” on the New York Stock Exchange. The BK Distribution is expected to generally be tax-free to FNF Group shareholders for U.S. federal income tax purposes, except to the extent of any cash received in lieu of New Black Knight's fractional shares. As a result of the BK Distribution, we have reclassified the assets and liabilities divested as assets and liabilities of discontinued operations in our Consolidated Balance Sheet as of December 31, 2016. Further, the financial results of Black Knight have been reclassified to discontinued operations for all periods presented in our Consolidated Statements of Earnings. See Note G.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to our Consolidated Financial Statements included in Item 8 of Part II of this Annual Report for further details of the results of Black Knight.</w:t>
      </w:r>
    </w:p>
    <w:p>
      <w:pPr>
        <w:spacing w:after="0" w:line="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August 31, 2017, FNF Group completed its acquisition of 90% of the membership interests of Title Guaranty of Hawaii ("Title Guaranty") for $98 million. Title Guaranty was previously an unaffiliated agent of Chicago Title and will continue to be closely aligned with Chicago Title as it formally becomes part of the FNF title company family. Founded in 1896, Title Guaranty is the oldest title company in the State of Hawaii and is a leading provider of title and escrow services, with more than 300 employees in branches across the State of Hawaii providing title insurance and real estate closing services. See Note J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discussion.</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 2017, our Board of Directors adopted a resolution to increase the size of our Board of Directors to thirteen and elected Heather H. Murren to serve on our Board of Directors. Ms. Murren will serve in Class I of our Board of Directors, and her term will expire at the annual meeting of our shareholders to be held in 2018. In January 2018, Ms. Murren was appointed to the Audit Committee of our Board.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March 1, 2017, three of the Company’s title insurance underwriters, Fidelity National Title Insurance Company, Chicago Title Insurance Company and Commonwealth Land Title Insurance Company, redomesticated from their respective former states of domicile to Florida (the "Redomestication"). In conjunction with the Redomestication, the Company received a special dividend of $280 million from these title insurance underwriters on March 15, 2017.</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20, 2018, the Mortgage Banker's Association ("MBA") estimated the size of the U.S. mortgage originations market as shown in the following table for 2016 - 2020 in its "Mortgage Finance Forecast" (in trillions):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24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2016 and 2017, total originations were reflective of a generally improving residential real estate market driven by increasing home prices and historically low mortgage interest rates. Mortgage interest rates increased slightly in 2017 from 2016, but remained low compared to historical rates. Refinance transactions decreased in 2017 from the historically high levels experienced in recent years through 2016. Existing home sales increased and there was a decline in total housing inventory. In 2018 and beyond, increasing mortgage interest rates driven by gradual increases in the target federal funds rate are expected to adversely impact mortgage originations. In a rising interest rate environment, refinance transactions are expected to continue to decline. The MBA predicts overall mortgage originations in 2018 through 2019 will decrease compared to the 2016 and 2017 periods due to a decrease in refinance transactions, offset by a slight increase in purchase transactions. Purchase transactions involve the issuance of both a lender’s policy and an owner’s policy, resulting in higher title premiums, whereas refinance transactions only require a lender’s policy, resulting in lower title premiums.</w:t>
      </w:r>
    </w:p>
    <w:p>
      <w:pPr>
        <w:spacing w:after="0" w:line="3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projected increases in mortgage interest rates present a potential headwind for mortgage originations, other economic indicators used to measure the health of the United States economy, including the unemployment rate and consumer confidence, have improved in recent years. According to the United States Department of Labor's Bureau of Labor, the unemployment rate has dropped from 7.4% in 2013 to 4.1% in December 2017. Additionally, the Conference Board's monthly Consumer Confidence Index rose sharply at the end of 2016 and has remained at historical highs through 2017. We believe that improvements in both of these economic indicators, among other indicators which support a generally improving United States economy, present potential tailwinds for mortgage originations and support recent home price trends.</w:t>
      </w:r>
    </w:p>
    <w:p>
      <w:pPr>
        <w:spacing w:after="0" w:line="4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cannot be certain how, if at all, the positive effects of a change in mix of purchase to refinance transactions and of a generally improving United States economy and the negative effects of projected decreases in overall originations and increases in interest rates will impact our future results of operations. We continually monitor origination trends and believe that, based on our ability to produce industry leading operating margins through all economic cycles, we are well positioned to adjust our operations for adverse changes in real estate activity.</w:t>
      </w:r>
    </w:p>
    <w:p>
      <w:pPr>
        <w:spacing w:after="0" w:line="3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For several years through 2015, we experienced continual year-over-year increases in the fee per file of commercial transactions. In 2016, we experienced a slight decrease in the volume and fee per file of commercial transactions as compared to 2015, but commercial markets still remained at historically elevated levels. Through 2017, we have continued to see strong demand for commercial transactions and have experienced historically high fees per file.</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Historically, real estate transactions have produced seasonal revenue fluctuations in the real estate industry. The first calendar quarter is typically the weakest quarter in terms of revenue due to the generally low volume of home sales during January and February. The third calendar quarter is typically the strongest quarter in terms of revenue, primarily due to a higher volume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home sales in the summer months. The fourth quarter is typically also strong due to the desire of commercial entities to complete transactions by year-end.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noted short-term fluctuations through recent years in resale and refinance transactions as a result of changes in interest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Arial" w:cs="Arial" w:eastAsia="Arial" w:hAnsi="Arial"/>
          <w:sz w:val="18"/>
          <w:szCs w:val="18"/>
          <w:i w:val="1"/>
          <w:iCs w:val="1"/>
          <w:color w:val="auto"/>
        </w:rPr>
        <w:t>Business and Summary of Significant Accounting Policies</w:t>
      </w:r>
      <w:r>
        <w:rPr>
          <w:rFonts w:ascii="Arial" w:cs="Arial" w:eastAsia="Arial" w:hAnsi="Arial"/>
          <w:sz w:val="18"/>
          <w:szCs w:val="18"/>
          <w:color w:val="auto"/>
        </w:rPr>
        <w:t xml:space="preserve"> to our Consolidated Financial Statements included in Item 8 of Part II of this Annual Report for additional description of the significant accounting policies that have been followed in preparing our Consolidated Financial Statements.</w:t>
      </w:r>
    </w:p>
    <w:p>
      <w:pPr>
        <w:spacing w:after="0" w:line="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Reserve for Title Claim Losses. </w:t>
      </w:r>
      <w:r>
        <w:rPr>
          <w:rFonts w:ascii="Arial" w:cs="Arial" w:eastAsia="Arial" w:hAnsi="Arial"/>
          <w:sz w:val="18"/>
          <w:szCs w:val="18"/>
          <w:color w:val="auto"/>
        </w:rPr>
        <w:t>Title companies issue two types of policies, owner's and lender's policies, since both the new owner and the lender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 2017</w:t>
            </w: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2016</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4"/>
        </w:trPr>
        <w:tc>
          <w:tcPr>
            <w:tcW w:w="57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5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40"/>
              <w:spacing w:after="0"/>
              <w:rPr>
                <w:sz w:val="20"/>
                <w:szCs w:val="20"/>
                <w:color w:val="auto"/>
              </w:rPr>
            </w:pPr>
            <w:r>
              <w:rPr>
                <w:rFonts w:ascii="Arial" w:cs="Arial" w:eastAsia="Arial" w:hAnsi="Arial"/>
                <w:sz w:val="18"/>
                <w:szCs w:val="18"/>
                <w:color w:val="auto"/>
              </w:rPr>
              <w:t>Known claims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Total Reserve for Title Claim Losses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taking the prior recorded reserve for claim losses, adding the current provision and subtracting actual paid claims, resulting in an amount that management then compares to the range of reasonable estimates provided by the actuarial calculation. We recorded our loss provision rate at 5.0% for the nine months ended September 30, 2017 and at 4.5% for the three months ended December 31, 2017. Our average loss provision rate was 4.9% for the year-ended December 31, 2017. Our average loss provision rate was 3.3% and 5.7% for the years ended December 31, 2016 and 2015, respectively. Our loss provision rate for the year ended December 31, 2016 also included a $97 million adjustment to reduce our prior claim loss reserves. Of such annual loss provision rates, 4.5%, 5.0% and 5.2% related to losses on policies written in the current year, and the remainder related to developments on prior year policies. The decrease in the loss provision rate during 2015 through 2017, excluding a one-time adjustment included in the 2016 period, was primarily driven by continued positive development in the more recent policy years. In 2017 and 2015, adverse development of prior year losses of $19 million or 0.4% of 2017 premium and $22 million or 0.5% of 2015 premium was accounted for in the provision rate. In 2016, favorable development of prior year losses of $79 million or 1.7% of 2016 premium was accounted for in the provision rate.</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quarter ended December 31, 2016, we released excess title reserves of $97 million. The release of excess reserves was due to analysis of historical ultimate loss ratios, the reduced volatility of development of those historical ultimate loss ratios and lower policy year loss ratios in recent years. Due to the reduction in volatility of prior year ultimate loss ratios experienced at the time, we felt that actual results were more in line with our actuarial analysis and released excess reserves to bring our recorded position in line with actuarial projections.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reinsurance recoverable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loss provision related to:</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 (1)</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title claims loss provision</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1,583</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Title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4,723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4,286</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Reserve of $97 million released in 2016 related to improving development on prior year claim trends.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claim losses as a percentage of title insurance premiums: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Current year</w:t>
            </w:r>
          </w:p>
        </w:tc>
        <w:tc>
          <w:tcPr>
            <w:tcW w:w="440" w:type="dxa"/>
            <w:vAlign w:val="bottom"/>
          </w:tcPr>
          <w:p>
            <w:pPr>
              <w:ind w:left="20"/>
              <w:spacing w:after="0"/>
              <w:rPr>
                <w:sz w:val="20"/>
                <w:szCs w:val="20"/>
                <w:color w:val="auto"/>
              </w:rPr>
            </w:pPr>
            <w:r>
              <w:rPr>
                <w:rFonts w:ascii="Arial" w:cs="Arial" w:eastAsia="Arial" w:hAnsi="Arial"/>
                <w:sz w:val="18"/>
                <w:szCs w:val="18"/>
                <w:color w:val="auto"/>
                <w:w w:val="97"/>
              </w:rPr>
              <w:t>4.5%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97"/>
              </w:rPr>
              <w:t>5.2%</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7560" w:type="dxa"/>
            <w:vAlign w:val="bottom"/>
          </w:tcPr>
          <w:p>
            <w:pPr>
              <w:ind w:left="500"/>
              <w:spacing w:after="0"/>
              <w:rPr>
                <w:sz w:val="20"/>
                <w:szCs w:val="20"/>
                <w:color w:val="auto"/>
              </w:rPr>
            </w:pPr>
            <w:r>
              <w:rPr>
                <w:rFonts w:ascii="Arial" w:cs="Arial" w:eastAsia="Arial" w:hAnsi="Arial"/>
                <w:sz w:val="18"/>
                <w:szCs w:val="18"/>
                <w:color w:val="auto"/>
              </w:rPr>
              <w:t>Total provision</w:t>
            </w:r>
          </w:p>
        </w:tc>
        <w:tc>
          <w:tcPr>
            <w:tcW w:w="7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7"/>
              </w:rPr>
              <w:t>4.9%</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7"/>
              </w:rPr>
              <w:t>5.7%</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5620"/>
              <w:spacing w:after="0"/>
              <w:rPr>
                <w:sz w:val="20"/>
                <w:szCs w:val="20"/>
                <w:color w:val="auto"/>
              </w:rPr>
            </w:pPr>
            <w:r>
              <w:rPr>
                <w:rFonts w:ascii="Arial" w:cs="Arial" w:eastAsia="Arial" w:hAnsi="Arial"/>
                <w:sz w:val="18"/>
                <w:szCs w:val="18"/>
                <w:color w:val="auto"/>
              </w:rPr>
              <w:t>28</w:t>
            </w: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5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claims payments consist of loss payments and claims management expenses offset by recoupments and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Claims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Payments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Management</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Recoupments</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2017 and 2016, our recorded reserves were $1,490 million and $1,487 million, respectively, which we determined were reasonable and represented our best estimate and these recorded amounts were within a reasonable range of the central estimates provided by our actuaries. Our recorded reserves were $30 million above the mid-point of the provided range of our actuarial estimates of $1.3 billion to $1.7 billion as of December 31, 2017. Our recorded reserves were equal to the mid-point of the range of our actuarial estimates as of December 31, 2016.</w:t>
      </w:r>
    </w:p>
    <w:p>
      <w:pPr>
        <w:spacing w:after="0" w:line="3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2017 and 2016, payment patterns were consistent with our actuaries' and management's expectations. Also, compared to prior years we have seen a leveling off of the ultimate loss ratios in more mature policy years, particularly 2005-2008. While we still see claims opened on these policy years, the proportion of our claims inventory represented by these policy years has continued to decrease. Additionally, we continued to see positive development relating to the 2009 through 2016 policy years, which we believe is indicative of more stringent underwriting standards by us and the lending industry. Further,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lender's policy claim paid relating to a property that is in foreclosure negates any potential loss under an owner's policy previously issued on the property as the owner has no equity in the property. Our ending open claim inventory decreased from approximately 15,000 claims at December 31, 2016 to approximately 14,000 claims at December 31, 2017.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approximate $49 million increase (decrease) in our annualized provision for title claim losses would occur if our loss provision rate were 1% higher (lower), based on 2017 title premiums of $4,893 million. A 10% increase (decrease) in our reserve for title claim losses, as of December 31, 2017, would result in an increase (decrease) in our provision for title claim losses of approximately $149 million.</w:t>
      </w:r>
    </w:p>
    <w:p>
      <w:pPr>
        <w:spacing w:after="0" w:line="20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Valuation of Investments. </w:t>
      </w:r>
      <w:r>
        <w:rPr>
          <w:rFonts w:ascii="Arial" w:cs="Arial" w:eastAsia="Arial" w:hAnsi="Arial"/>
          <w:sz w:val="16"/>
          <w:szCs w:val="16"/>
          <w:color w:val="auto"/>
        </w:rPr>
        <w:t>We regularly review our investment portfolio for factors that may indicate that a decline in fair value of an investment is other-than-temporary. Some 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w:t>
      </w:r>
    </w:p>
    <w:p>
      <w:pPr>
        <w:jc w:val="both"/>
        <w:ind w:firstLine="8"/>
        <w:spacing w:after="0" w:line="268" w:lineRule="auto"/>
        <w:tabs>
          <w:tab w:leader="none" w:pos="32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investments in equity securities, preferred stock and fixed maturity instruments that are susceptible to credit related declines are evaluated based on the aforementioned factors. Currently available market data is considered and estimates are made as to the duration and prospects for recovery, and the intent or ability to retain the investment until such recovery takes place. These estimates are revisited quarterly and any material degradation in the prospect for recovery will be 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w:t>
      </w:r>
    </w:p>
    <w:p>
      <w:pPr>
        <w:spacing w:after="0" w:line="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16"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116"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2017 and 2016,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391</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2,816</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319"/>
        </w:trPr>
        <w:tc>
          <w:tcPr>
            <w:tcW w:w="6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1,508</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3,108</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preferred stock and fixed-maturity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44" w:lineRule="exact"/>
        <w:rPr>
          <w:sz w:val="20"/>
          <w:szCs w:val="20"/>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2016 we held no material assets nor liabilities measured at fair value using Level 3 inputs.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During the years ended December 31, 2017, 2016 and 2015, we incurred impairment charges relating to investments that were determined to be other-than-temporarily impaired of $1 million, $19 million, and $14 million, respectively. Refer to Note D.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to our Consolidated Financial Statements included in Item 8, Part II of this Report for further discussion.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Included in our Investments as of December 31, 2017 are various holdings in foreign securities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Basis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4"/>
                <w:szCs w:val="14"/>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4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Cayman Islands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Germany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Ireland</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Japan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Norway</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Zealand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Switzerland</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582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We have reviewed all of these securities as of December 31, 2017 and do not believe that there is a risk of significant credit loss as these securities are in a gross unrealized gain position of $5 million and a gross unrealized loss position of $2 million. We held no European sovereign debt at December 31, 2017.</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We have made acquisitions that have resulted in a significant amount of goodwill. As of December 31, 2017 and 2016, goodwill aggregated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was $2,746 million and $2,555 million, respectively. The majority of our goodwill as of December 31, 2017 relates to goodwill recorded in connection with the Chicago Title merger in 2000 and our acquisition of ServiceLink in 2014. Refer to Note F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to our Consolidated Financial Statements included in Item 8 of Part II of this Annual Report for a summary of recent changes in our Goodwill balance.</w:t>
      </w:r>
    </w:p>
    <w:p>
      <w:pPr>
        <w:spacing w:after="0" w:line="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evaluating the recoverability of goodwill, we perform a qualitative analysis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future.We have completed our annual goodwill impairment analysis in each of the past three years and as a result, no impairment charges were recorded to goodwill in 2017, 2016, or 2015. As of December 31, 2017, we have determined that our goodwill has a fair value which substantially exceeds its carrying value.</w:t>
      </w:r>
    </w:p>
    <w:p>
      <w:pPr>
        <w:spacing w:after="0" w:line="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Other Intangible Assets. </w:t>
      </w:r>
      <w:r>
        <w:rPr>
          <w:rFonts w:ascii="Arial" w:cs="Arial" w:eastAsia="Arial" w:hAnsi="Arial"/>
          <w:sz w:val="17"/>
          <w:szCs w:val="17"/>
          <w:color w:val="auto"/>
        </w:rPr>
        <w:t>We have other intangible assets, not including goodwill, which consist primarily of customer relationships and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trademarks and tradenames,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and tradenames are generally amortized over 10 years. 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recorded $1 million in impairment expense to other intangible assets during the years ended December 31, 2017 and 2016. The impairment in 2017 was for computer software at ServiceLink. The impairment in 2016 was for customer relationships and tradenames at our real estate subsidiaries in our Corporate and Other segment. We recorded no impairment expense related to other intangible assets in the year ended December 31, 2015.</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Revenue Recognition. </w:t>
      </w:r>
      <w:r>
        <w:rPr>
          <w:rFonts w:ascii="Arial" w:cs="Arial" w:eastAsia="Arial" w:hAnsi="Arial"/>
          <w:sz w:val="18"/>
          <w:szCs w:val="18"/>
          <w:color w:val="auto"/>
        </w:rPr>
        <w:t>Our direct title insurance premiums and escrow, title-related and other fees are recognized as revenue at the time of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related transaction as the earnings process is then considered complete.</w:t>
      </w:r>
    </w:p>
    <w:p>
      <w:pPr>
        <w:spacing w:after="0" w:line="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84 - 88% reported within three months following closing, an additional 9 - 12% reported within the next three months and the remainder within seven to fifteen months. In addition to accruing these earned but unreported agency premiums, we also accrue agent commission expense, which was 76.7% of agent premiums earned in 2017, 76.1% of agent premiums earned in 2016, and 76.0% of agent premiums earned in 2015. We also record a provision for claim losses at the provision rate at the time we record the accrual for the premiums, which averaged 4.9% for 2017, 5.4%, excluding the release of excess reserves relating to prior years of $97 million, for 2016, and 5.7% for 2015 and accruals for premium taxes and other expenses relating to our premium accrual. The resulting impact to pretax earnings in any period is approximately 11% or less of the accrued premium amount. The impact of the change in the accrual for agency premiums and related expenses on our pretax earnings was an increase of $1 million for the year ended December 31, 2017, an increase of $4 million for the year ended 2016 and a decrease of $5 million for the year ended 2015. The amount due from our agents relating to this accrual, i.e., the agent premium less their contractual retained commission, was approximately $55 million and $53 million at December 31, 2017 and 2016, respectively, which represents agency premiums of approximately $280 million and $267 million at December 31, 2017 and 2016, respectively, and agent commissions of $225 million and $214 million at December 31, 2017 and 2016, respectively. We may have changes in our accrual for agency revenue in the future if additional relevant information becomes available.</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As part of the process of preparing the consolidated financial statements, we are required to determine income taxes in</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Refer to Note K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 Item 8 of Part II of this Annual Report for discussion of the enactment of the Tax Cuts and Jobs Act ("Tax Reform") in December 2017 and the related impact on our accounting for income taxes.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Year ended December 31, 2017. </w:t>
      </w:r>
      <w:r>
        <w:rPr>
          <w:rFonts w:ascii="Arial" w:cs="Arial" w:eastAsia="Arial" w:hAnsi="Arial"/>
          <w:sz w:val="18"/>
          <w:szCs w:val="18"/>
          <w:color w:val="auto"/>
        </w:rPr>
        <w:t>As a result of the BK Distribution and the FNFV Split-Off, we have reclassified the results of operations of Black Knight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FNFV to discontinued operations for all periods presented. See discussion under 'Recent Developments' above and Note G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Consolidated Financial Statements in Item 8 of Part II of this Annual Report, which is incorporated by reference into this Part II, Item 7 of this Annual Report for further information on the results of Black Knight and FNFV.</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2,170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2,246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6,664</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1,731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5,894</w:t>
            </w:r>
          </w:p>
        </w:tc>
      </w:tr>
      <w:tr>
        <w:trPr>
          <w:trHeight w:val="209"/>
        </w:trPr>
        <w:tc>
          <w:tcPr>
            <w:tcW w:w="7780" w:type="dxa"/>
            <w:vAlign w:val="bottom"/>
          </w:tcPr>
          <w:p>
            <w:pPr>
              <w:ind w:left="40"/>
              <w:spacing w:after="0"/>
              <w:rPr>
                <w:sz w:val="20"/>
                <w:szCs w:val="20"/>
                <w:color w:val="auto"/>
              </w:rPr>
            </w:pPr>
            <w:r>
              <w:rPr>
                <w:rFonts w:ascii="Arial" w:cs="Arial" w:eastAsia="Arial" w:hAnsi="Arial"/>
                <w:sz w:val="18"/>
                <w:szCs w:val="18"/>
                <w:color w:val="auto"/>
                <w:w w:val="98"/>
              </w:rPr>
              <w:t>Earnings from continuing operations before income taxes and equity in earnings of unconsolidated</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revenue in 2017 increased $406 million compared to 2016, primarily due to an increase in fee per file offset by a decrease in closed order volumes in our direct title business and an increase in agent remittances. Total revenue in 2016 increased $593 million compared to 2015, primarily due to an increase in closed order volumes in our direct title business and increases in agent remittances.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earnings from continuing operations increased $17 million in the year ended December 31, 2017, compared to the 2016 period and increased $121 million in the year ended December 31, 2016, compared to the 2015 period.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is discussed in further detail at the segment level below.</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was $131 million, $126 million, and $121 million for the years ended December 31, 2017, 2016, and 2015, respectively. The increase in 2017 as compared to 2016 is primarily attributable to increased yield on our cash and cash equivalents and short term investments and an increase in other investment income, offset by a decrease in income from our fixed maturity holdings resulting from a decrease in average invested assets. The increase in 2016 as compared to 2015 is primarily attributable to increased yield on our fixed maturity holdings and increased dividend income on our equity and preferred securities, offset by a decrease in average invested assets. The effective return on average invested assets, excluding realized gains and losses, was 4.2%, 3.6%, and 3.4% for the years ended December 31, 2017, 2016, and 2015, respectively.</w:t>
      </w:r>
    </w:p>
    <w:p>
      <w:pPr>
        <w:spacing w:after="0" w:line="4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Net realized gains (losses) totaled $2 million, $(8) million, and $11 million for the years ended December 31, 2017, 2016, and 2015, respectively. Net realized gains for the year ended December 31, 2017 includes a gain of $9 million on the sale of an other long term investment and a gain of $2 million related to the sale of fixed assets, offset by losses of $6 million on redemptions of convertible debt, net losses on sales and impairment of available for sale investments of $1 million, and $2 million of other miscellaneous losses. The net realized losses for the year ended December 31, 2016 includes $12 million for net gains on sales of available for sale investments, a gain of $2 million related to the favorable outcome of litigation, and $1 million for other individually insignificant gains. The gains were more than offset by losses of $13 million on impairments of available for sale investments, $3 million for impairment of an equity method investment, $4 million for losses on disposal of fixed assets, a $1 million loss related to the impairments of other intangible assets, and $2 million in realized losses related to other individually insignificant items.</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realized gain for the year ended December 31, 2015 includes a net realized gain of $1 million on our investment portfolio, net realized gains of $16 million due to favorable settlement of litigation, and $6 million of miscellaneous other net realized losses.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business are incurred as orders are received and processed; and agent commissions, which are incurred as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is discussed in further detail at the segment level below.</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Income tax expense was $235 million, $347 million, and $274 million for the years ended December 31, 2017, 2016, and 2015, respectively. Income tax expense as a percentage of earnings from continuing operations before income taxes for the years ended December 31, 2017, 2016, and 2015 was 27.2%, 36.3%, and 35.6%, respectively. The decrease in the effective tax rate in 2017 from 2016 is primarily attributable to Tax Reform as described in Note K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to our Consolidated Financial Statements included in Item 8 of of Part II of this Annual Report. The increase in the effective tax rate in 2016</w:t>
      </w:r>
      <w:r>
        <w:rPr>
          <w:rFonts w:ascii="Arial" w:cs="Arial" w:eastAsia="Arial" w:hAnsi="Arial"/>
          <w:sz w:val="16"/>
          <w:szCs w:val="16"/>
          <w:i w:val="1"/>
          <w:iCs w:val="1"/>
          <w:color w:val="auto"/>
        </w:rPr>
        <w:t xml:space="preserve"> </w:t>
      </w:r>
      <w:r>
        <w:rPr>
          <w:rFonts w:ascii="Arial" w:cs="Arial" w:eastAsia="Arial" w:hAnsi="Arial"/>
          <w:sz w:val="16"/>
          <w:szCs w:val="16"/>
          <w:color w:val="auto"/>
        </w:rPr>
        <w:t>from 2015 is primarily related to lower tax exempt interest income, tax credits and an increase in non-deductible expenses.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our Title segment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2,005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6,428</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1,381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5,592</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color w:val="auto"/>
              </w:rPr>
              <w:t>Orders opened by direct title operations (in 000's)</w:t>
            </w:r>
          </w:p>
        </w:tc>
        <w:tc>
          <w:tcPr>
            <w:tcW w:w="2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2,092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Orders closed by direct title operations (in 000's)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1,472</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Total revenues in 2017 increased $233 million or 3% compared to 2016. Total revenues in 2016 increased $550 million or 9% compared to 2015. The increase in the year ended December 31, 2017 is primarily attributable to increases in both our direct and agency title insurance premiums and growth and acquisitions in our Corporate and Other segment.The increase in the year ended December 31, 2016 is primarily attributable to improvements in the overall real estate markets driving increases in closed order volumes, increased remittances from agents, and revenue associated with acquisitions.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3"/>
              </w:rPr>
              <w:t>2,097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w w:val="93"/>
              </w:rPr>
              <w:t>2,626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53.1</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4,723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Title premiums increased 4% in the year ended December 31, 2017 as compared to the 2016 period. The increase was a result of an increase in premiums from direct operations of $73 million, or 3% and an increase in premiums from agency operations of $97 million, or 4%. Title premiums increased 10% in the year ended December 31, 2016 as compared to the 2015 period. The increase was the result of an increase in premiums from direct operations of $88 million, or 4%, and an increase in premiums from agency operations of $349 million, or 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right="40" w:firstLine="243"/>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6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23495</wp:posOffset>
            </wp:positionV>
            <wp:extent cx="24269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526"/>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76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6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w w:val="92"/>
              </w:rPr>
              <w:t>(1)  Percentages exclude consideration of an immaterial number of non-purchase and non-refinance orders.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Title premiums from direct operations increased in 2017, primarily due to an increase in the average fee per file, offset by a decrease in closed order volumes as compared to the prior year. Closed order volumes were 1,428,000 in the year ended December 31, 2017 compared with 1,575,000 in the year ended December 31, 2016. This represented a decrease of 9%. The decrease in closed order volumes was primarily related to a decrease in refinance transactions, offset by an increase in purchase transactions in the year ended December 31, 2017 compared to the 2016 period.</w:t>
      </w:r>
    </w:p>
    <w:p>
      <w:pPr>
        <w:spacing w:after="0" w:line="6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average fee per file in our direct operations was $2,346 and $2,065 in the years ended December 31, 2017 and 2016, respectively. The increase in average fee per file year over year reflects an increase in the average fee per file in both commercial and residential transactions. The increase in average fee per file from residential transactions is driven by an increase in purchase transactions and decrease in refinance transactions. The residential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increase in title premiums from agency operations is primarily the result of an increase in remitted agency premiums that reflects an improving residential purchase environment in many markets throughout the country. The increase also reflects a concerted effort by management to increase remittances with existing agents as well as cultivate new relationships with potential new agents while reducing unprofitable agency relationships.</w:t>
      </w:r>
    </w:p>
    <w:p>
      <w:pPr>
        <w:spacing w:after="0" w:line="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Escrow, title-related and other fees increased by $53 million, or 2%, in the year ended December 31, 2017 from the 2016 period. Escrow fees, which are more directly related to our direct operations, increased $21 million, or 3%, in the year ended December 31, 2017 compared to the 2016 period. The increase is primarily driven by the related increase in direct title premiums. Other fees in the Title segment, excluding escrow fees, increased $30 million, or 2%, in the year ended December 31, 2017 compared to the 2016 period. The increase in other fees was primarily attributable to revenue growth associated with our home warranty businesses and increased servicing revenue at ServiceLink, offset by decreases at certain other ServiceLink subsidiaries. Escrow, title related and other fees increased by $123 million, or 6%, in the year ended December 31, 2016 from the 2015 period. Escrow fees, which are more directly related to our direct operations, increased $102 million, or 15%, in the year ended December 31, 2016 compared to the 2015 period. The increase is consistent with the increase in direct title premiums. Other fees in the Title segment, excluding escrow fees, increased $21 million, or 1%, in the year ended December 31, 2016 compared to the 2015 period. The increase in other fees was primarily attributable to revenue growth associated with our home warranty businesses as well as acquisitions.</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$4 million in the year ended December 31, 2017 compared to the 2016 period and increased $4 million in the year ended December 31, 2016 compared to the 2015 period.</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The $152 million, or 7% increase in the year ended December 31, 2017 compared to the 2016 period is directionally consistent with and primarily attributable to the increase in revenue. The $124 million, or 6% increase in the year ended December 31, 2016 compared to the 2015 period is primarily related to additional expense associated with the increased order volumes and acquisitions in 2016. Personnel costs as a percentage of total revenues from direct title premiums and escrow, title-related and other fees was 54% and 52% for years ended December 31, 2017 and 2016, respectively. The increase in the 2017 period is primarily attributable to the increase in order volumes from purchase transactions, acquisitions, and the realignment of Property Insight in January 2017 which resulted in increased personnel costs offset by reduced</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expenses. Average employee count in the Title segment was 23,245 and 21,999 in the years ended December 31, 2017 and 2016, respectively.</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decreased $32 million, or 2%, in the year ended December 31, 2017 from the corresponding 2016 period. The decrease in the 2017 period is primarily attributable to the realignment of Property Insight in January 2017 and a reduction in operating expenses at certain ServiceLink subsidiaries. Other operating expenses increased $55 million, or 4% in the year ended December 31, 2016 from the corresponding 2015 period. Other operating expenses increased consistently with the increase in direct title premiums and escrow, title-related and other fee income offset by other miscellaneous cost reductions.</w:t>
      </w:r>
    </w:p>
    <w:p>
      <w:pPr>
        <w:spacing w:after="0" w:line="8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1,998</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76.0</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margin from agency title insurance premiums retained as a percentage of total agency premiums in the year ended December 31, 2017 remained relatively consistent with the 2016 and 2015 periods, with the slight decrease attributable to new agents signed in the current year.</w:t>
      </w:r>
    </w:p>
    <w:p>
      <w:pPr>
        <w:spacing w:after="0" w:line="3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October 1, 2017, we revised our loss provision rate to 4.5% from 5%. Effective October 1, 2016, we revised our loss provision rate to 5.0% from 5.5%. Effective July 1, 2015, we revised our loss provision rate to 5.5% from 6%. All revisions were attributable to favorable development on more recent policy year claims.</w:t>
      </w:r>
    </w:p>
    <w:p>
      <w:pPr>
        <w:spacing w:after="0" w:line="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claim loss provision for title insurance was $238 million, $157 million, and $246 million for the years ended December 31, 2017, 2016, and 2015, respectively. These amounts reflected average claim loss provision rates of 4.9% for 2017, 3.3% for 2016, and 5.7% of title premiums for 2015. The decrease in the provision in 2016 reflects the release of excess title reserves of $97 million as well as the reduction in the loss provision rate from 5.5% to 5.0% in the fourth quarter of 2016. The release of excess reserves and change in provision rate was due to analysis of historical ultimate loss ratios, the reduced volatility of development of those historical ultimate loss ratios and lower policy year loss ratios in recent years. We will continue to monitor and evaluate our loss provision level, actual claims paid, and the loss reserve position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of our Corporate and Other segment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196"/>
        </w:trPr>
        <w:tc>
          <w:tcPr>
            <w:tcW w:w="7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w w:val="93"/>
              </w:rPr>
              <w:t>456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7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452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7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74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w w:val="93"/>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176</w:t>
            </w: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21"/>
                <w:szCs w:val="21"/>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
        </w:trPr>
        <w:tc>
          <w:tcPr>
            <w:tcW w:w="77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543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7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Corporate and Other segment consists of the operations of the parent holding company, our various real estate brokerage businesses, and CINC. This segment also includes certain other unallocated corporate overhead expenses and eliminations of revenues and expenses between it and our Title segment.</w:t>
      </w:r>
    </w:p>
    <w:p>
      <w:pPr>
        <w:spacing w:after="0" w:line="1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Total revenue in our Corporate and Other segment increased $173 million, or 62%, in the year ended December 31, 2017 from the corresponding period in 2016 and increased $43 million, or 18%, in the year ended December 31, 2016 from the corresponding period in 2015. The increase in 2017 is primarily driven by revenue growth of $111 million at our real estate brokerage companies and $53 million at our real estate technology companies, which included $9 million total from the acquisitions of Real Geeks and SkySlope acquired in September and October 2017, respectively. Revenue in 2017 also includes $15 million related to recording one additional month of results of operations for our real estate brokerages in order to catch up their results which were previously recorded on a one month lag. The increase in the year ended December 31, 2016 was primarily driven by growth at our real estate brokerage companies and the acquisition of CINC. Revenue in the 2016 period included $19 million in revenue from CINC which represented 4 months of activity.</w:t>
      </w:r>
    </w:p>
    <w:p>
      <w:pPr>
        <w:spacing w:after="0" w:line="5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Personnel costs increased $33 million, or 54%, in the year ended December 31, 2017 from the corresponding period in 2016 and increased $14 million or 30% in the year ended December 31, 2016 compared to the corresponding 2015 period. The increase in both periods is primarily driven by acquisitions.</w:t>
      </w:r>
    </w:p>
    <w:p>
      <w:pPr>
        <w:spacing w:after="0" w:line="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Other operating expenses increased $165 million, or 78% in the year ended December 31, 2017 from the 2016 period and increased $36 million, or 20% in the year ended December 31, 2016 from the 2015 period. The increase in the 2017 period from 2016 is primarily attributable to current period acquisitions and increased operating expense associated with higher revenue. Other operating expenses in 2017 also includes $14 million related to recording one additional month results of operations for our real estate brokerages in order to catch up their results which were previously recorded on a one month lag and $17 million related to expenses incurred related to services received from Black Knight that no longer eliminate after the BK Distribution. The increase in the 2016 period from 2015 is primarily attributable to growth of our real estate subsidiaries and current period acquisitions.</w:t>
      </w:r>
    </w:p>
    <w:p>
      <w:pPr>
        <w:spacing w:after="0" w:line="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expense decreased $16 million, or 25%, in the year ended December 31, 2017 from the corresponding period in 2016 and decreased $9 million or 12% in the year ended December 31, 2016 compared to the corresponding 2015 period. The decrease in the 2017 period is primarily attributable to decreased interest on our convertible Notes resulting from redemptions in the current year. The decrease in the 2016 period is primarily attributable to the payoff of the FNF term loan in May 2015 upon the initial public offering of Black Knight.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a result of the FNFV Split-off and BK Distribution, the results of operations of FNFV and Black Knight are included in discontinued operations. Earnings from discontinued operations, net of tax, were $155 million, $70 million, and $60 million in the years ended December 31, 2017, 2016, and 2015, respectively. The increase in the 2017 period from the corresponding period in 2016 is primarily attributable to FNFV's realized gain on the sale of a subsidiary in the 2017 period. Refer to Note G </w:t>
      </w:r>
      <w:r>
        <w:rPr>
          <w:rFonts w:ascii="Arial" w:cs="Arial" w:eastAsia="Arial" w:hAnsi="Arial"/>
          <w:sz w:val="18"/>
          <w:szCs w:val="18"/>
          <w:i w:val="1"/>
          <w:iCs w:val="1"/>
          <w:color w:val="auto"/>
        </w:rPr>
        <w:t>Discontinued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Operations </w:t>
      </w:r>
      <w:r>
        <w:rPr>
          <w:rFonts w:ascii="Arial" w:cs="Arial" w:eastAsia="Arial" w:hAnsi="Arial"/>
          <w:sz w:val="18"/>
          <w:szCs w:val="18"/>
          <w:color w:val="auto"/>
        </w:rPr>
        <w:t>to our Consolidated Financial Statements in Item 8 of Part II of this Annual Report for further information, including a breakout of the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both FNFV and Black Knight.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on our debt, including any premiums thereon, if any; capital expenditures; business acquisitions; stock repurchases and dividends on our common stock. We paid dividends of $1.02 per share during 2017, or approximately $278 million. On January 26, 2018, our Board of Directors formally declared a $0.30 per share cash dividend that is payable on March 30, 2018 to FNF Group shareholders of record as of March 16, 2018. There are no restrictions on our retained earnings regarding our ability to pay dividends to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39"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11" w:lineRule="exact"/>
        <w:rPr>
          <w:sz w:val="20"/>
          <w:szCs w:val="20"/>
          <w:color w:val="auto"/>
        </w:rPr>
      </w:pPr>
    </w:p>
    <w:p>
      <w:pPr>
        <w:jc w:val="both"/>
        <w:ind w:firstLine="383"/>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2017, $1,700 million of our net assets were restricted from dividend payments without prior approval from the relevant departments of insurance. During 2018, our title insurance subsidiaries can pay or make distributions to us of approximately $363 million. Our underwritten title companies and non-title insurance subsidiaries collect revenue and pay operating expenses. However, they are not regulated to the same extent as our insurance subsidiaries.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operations is expected to be used for general corporate purposes including to reinvest in operations, repay debt, pay dividends, repurchase stock, other strategic initiatives or conserving cash.</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Operating Cash Flow</w:t>
      </w:r>
      <w:r>
        <w:rPr>
          <w:rFonts w:ascii="Arial" w:cs="Arial" w:eastAsia="Arial" w:hAnsi="Arial"/>
          <w:sz w:val="16"/>
          <w:szCs w:val="16"/>
          <w:color w:val="auto"/>
        </w:rPr>
        <w:t>. Our cash flows provided by operations for the years ended December 31, 2017, 2016, and 2015 were $737 million, $1,162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$951 million, respectively, inclusive of discontinued operations. Operating cash flows from discontinued operations for the years ended December 31, 2017, 2016, and 2015 were $106 million, $407 million, and $277 million, respectively. The decrease in cash provided by operations of $425 million in the 2017 period from the 2016 period is primarily attributable to increased cash payments for taxes of $161 million and increased realized gains on sales of investments and assets which are included in earnings of $256 million, but which related to investing activities, in the 2017 period. The increase in cash provided by operations of $211 million in the 2016 period from the 2015 period is primarily attributable to increased earnings from operations before equity in earnings of unconsolidated affiliates of $123 million (inclusive of discontinued operations), lower claims payments of $40 million, and lower payments in the 2016 period under our executive investment success bonus program of $27 million, offset by increased payments for income taxes in 2016 compared to 2015 of $118 million. The remaining change in the 2016 period from the 2015 period is attributable to timing of receivables and payables.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used in investing activities for the years ended December 31, 2017, 2016, and 2015 were $95 million, $254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$571 million, respectively, inclusive of discontinued operations. Cash (used in) provided by investing activities from discontinued operations for the years ended December 31, 2017, 2016, and 2015 were $(57) million, $(163) million, and $63 million, respectively. The decrease in cash used in investing activities of $159 million in the 2017 period from the 2016 period is primarily attributable to the $325 million in proceeds from the sale of a subsidiary by FNFV prior to the FNFV Split-Off, lower cash paid for acquisitions of $75 million and decreased capital expenditures of $141 million, offset by a $380 million decrease in net inflows from the sales and distributions of and from equity and fixed income investments, net of purchases and additional investments in unconsolidated investees. The decrease in cash used in investing activities of $317 million in the 2016 period from the 2015 period is primarily attributable to a $860 million increase in net cash inflows from the sales and distributions of and from equity and fixed income investments, net of purchases and additional investments in unconsolidated investees, offset by a $502 million increase in net cash used for acquisitions and dispositions and increased capital expenditures.</w:t>
      </w:r>
    </w:p>
    <w:p>
      <w:pPr>
        <w:spacing w:after="0" w:line="124" w:lineRule="exact"/>
        <w:rPr>
          <w:sz w:val="20"/>
          <w:szCs w:val="20"/>
          <w:color w:val="auto"/>
        </w:rPr>
      </w:pPr>
    </w:p>
    <w:p>
      <w:pPr>
        <w:jc w:val="both"/>
        <w:ind w:firstLine="369"/>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capitalized software were $149 million, $290 million and $241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years ended December 31, 2017, 2016, and 2015, respectively. The 2017 period consists of capital expenditures of $74 million related to our continuing operations, primarily our Title segment, and $75 million related to discontinued operations. The decrease in the 2017 period from the 2016 period is primarily attributable to the purchase of our corporate headquarters for $71 million in the second quarter of 2016.</w:t>
      </w:r>
    </w:p>
    <w:p>
      <w:pPr>
        <w:spacing w:after="0" w:line="6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Our cash used in financing activities for the years ended December 31, 2017, 2016, and 2015 were $999 million, $588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$272 million, respectively, inclusive of discontinued operations. The increase in cash used in financing activities of $411 million in the 2017 period from the 2016 period is primarily attributable to increased net debt service activity of $143 million, cash transferred in the FNFV Split-off and BK Distribution of $109 million, an increase in dividends paid of $39 million, payment of premiums to repurchase convertible Notes of $317 million, and repurchases of BKFS stock by Black Knight of $47 million in the 2017 period prior to the BK Distribution, offset by a reduction in spending on treasury stock repurchases of $253 million. The increase in cash used in financing activities of $316 million in the 2016 period from the 2015 period was primarily attributable to proceeds received from the IPO of Black Knight of $475 million in the 2015 period and increased net debt service activity of $69 million in the 2016 period, offset by a reduction in treasury stock repurchases in 2016 of $222 million.</w:t>
      </w:r>
    </w:p>
    <w:p>
      <w:pPr>
        <w:spacing w:after="0" w:line="125"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J</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to the Consolidated Financial Statements included in Item 8 of Part</w:t>
      </w:r>
      <w:r>
        <w:rPr>
          <w:rFonts w:ascii="Arial" w:cs="Arial" w:eastAsia="Arial" w:hAnsi="Arial"/>
          <w:sz w:val="18"/>
          <w:szCs w:val="18"/>
          <w:i w:val="1"/>
          <w:iCs w:val="1"/>
          <w:color w:val="auto"/>
        </w:rPr>
        <w:t xml:space="preserve"> </w:t>
      </w:r>
      <w:r>
        <w:rPr>
          <w:rFonts w:ascii="Arial" w:cs="Arial" w:eastAsia="Arial" w:hAnsi="Arial"/>
          <w:sz w:val="18"/>
          <w:szCs w:val="18"/>
          <w:color w:val="auto"/>
        </w:rPr>
        <w:t>II of this Annual Report, which is incorporated by reference into this Part II, Item 7.</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levels for the real estate industry including title insurers.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our required annual payments relating to these contractual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 payments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536</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 payments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Title claim losses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1,490</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fixed rate notes payable</w:t>
            </w:r>
          </w:p>
        </w:tc>
        <w:tc>
          <w:tcPr>
            <w:tcW w:w="6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489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3,077</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we had title insurance reserves of $1,490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73"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ind w:left="660" w:hanging="328"/>
        <w:spacing w:after="0" w:line="261"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sponsor multiple pension plans and other post-retirement benefit plans. See Note O.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our Consolidated Financial Statements included in Item 8 of Part II of this Annual Report for further information.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Capital Stock Transactions. </w:t>
      </w:r>
      <w:r>
        <w:rPr>
          <w:rFonts w:ascii="Arial" w:cs="Arial" w:eastAsia="Arial" w:hAnsi="Arial"/>
          <w:sz w:val="18"/>
          <w:szCs w:val="18"/>
          <w:color w:val="auto"/>
        </w:rPr>
        <w:t>On July 20, 2015, our Board of Directors approved a new three-year stock repurchase program under which we can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up to 25 million shares of our FNF Group common stock through July 30, 2018. We may make repurchases from time to time in the open market, in block purchases or in privately negotiated transactions, depending on market conditions and other factors. Since the original commencement of the plan, we have repurchased a total of 10,589,000 FNF common shares for $372 million, or an average of $35.10 per share, and there are 14,411,000 shares available to be repurchased under this program. We have not made any repurchases under this program in the year ended December 31, 2017 or in the subsequent period ended January 31, 2018.</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our escrow operations. In conducting our operations, we</w:t>
      </w:r>
      <w:r>
        <w:rPr>
          <w:rFonts w:ascii="Arial" w:cs="Arial" w:eastAsia="Arial" w:hAnsi="Arial"/>
          <w:sz w:val="17"/>
          <w:szCs w:val="17"/>
          <w:i w:val="1"/>
          <w:iCs w:val="1"/>
          <w:color w:val="auto"/>
        </w:rPr>
        <w:t xml:space="preserve"> </w:t>
      </w:r>
      <w:r>
        <w:rPr>
          <w:rFonts w:ascii="Arial" w:cs="Arial" w:eastAsia="Arial" w:hAnsi="Arial"/>
          <w:sz w:val="17"/>
          <w:szCs w:val="17"/>
          <w:color w:val="auto"/>
        </w:rPr>
        <w:t>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 $15.4 billion and $14.0 billion at December 31, 2017 and 2016, respectively. As a result of holding these customers’ assets in escrow, we have ongoing programs for realizing economic benefits during the year through favorable borrowing and vendor arrangements with various banks.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 description of recent accounting pronouncements, see Note S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to our Consolidated Financial Statements included in Item 8 of Part II of this Annual Report.</w:t>
      </w:r>
    </w:p>
    <w:p>
      <w:pPr>
        <w:spacing w:after="0" w:line="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the normal course of business, we are routinely subject to a variety of risks, as described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this Annual Report on Form 10-K and in our other filings with the Securities and Exchange Commission. For example, we are exposed to the risk that decreased real estate activity, which depends in part on the level of interest rates, may reduce our revenues.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assess these market risks and have established policies and business practices designed to protect against the adverse effects of these exposures.</w:t>
      </w:r>
    </w:p>
    <w:p>
      <w:pPr>
        <w:spacing w:after="0" w:line="3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2017, we had $759 million in long-term debt, of which $295 million, net of unamortized debt issuance costs of $5 million, bears interest at a floating rate. Accordingly, fluctuations in market interest rates will not have a material impact on our resulting interest expense.</w:t>
      </w:r>
    </w:p>
    <w:p>
      <w:pPr>
        <w:spacing w:after="0" w:line="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fixed maturity investments, certain preferred stocks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price risk is the risk that we will incur economic losses due to adverse changes in equity prices. In the past, our exposure to changes in equity prices primarily resulted from our holdings of equity securities. At December 31, 2017, we held $681 million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marketable equity securities (not including our investments in preferred stock of $319 million at December 31, 2017 and our Investments in unconsolidated affiliates, which amounted to $150 million at December 31, 2017).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financial instruments that are included in the sensitivity analysis with respect to interest rate risk include fixed maturity investments, preferred stock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34.3% of total liabilities at December 31, 2017) is not included in the hypothetical effects.</w:t>
      </w:r>
    </w:p>
    <w:p>
      <w:pPr>
        <w:spacing w:after="0" w:line="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2017 and December 31, 2016, are as follows: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2017, an increase (decrease) in the levels of interest rates of 100 basis points, with all other variables held constant, would result in a (decrease) increase in the fair value of our fixed maturity securities and certain of our investments in preferred stock which are tied to interest rates of $45 million as compared with a (decrease) increase of $59 million at December 31, 2016.</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2017, a 20% increase (decrease) in market prices, with all other variables held constant, would result in an increase (decrease) in the fair value of our equity securities portfolio of $136 million, as compared with an increase (decrease) of $77 million at December 31, 2016.</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02"/>
        </w:trPr>
        <w:tc>
          <w:tcPr>
            <w:tcW w:w="10240" w:type="dxa"/>
            <w:vAlign w:val="bottom"/>
            <w:gridSpan w:val="9"/>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 on Effectiveness of Internal Control over Financial Reporting</w:t>
              </w:r>
            </w:hyperlink>
          </w:p>
        </w:tc>
        <w:tc>
          <w:tcPr>
            <w:tcW w:w="660" w:type="dxa"/>
            <w:vAlign w:val="bottom"/>
            <w:gridSpan w:val="2"/>
          </w:tcPr>
          <w:p>
            <w:pPr>
              <w:jc w:val="center"/>
              <w:ind w:left="395"/>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480" w:type="dxa"/>
            <w:vAlign w:val="bottom"/>
          </w:tcPr>
          <w:p>
            <w:pPr>
              <w:spacing w:after="0"/>
              <w:rPr>
                <w:sz w:val="17"/>
                <w:szCs w:val="17"/>
                <w:color w:val="auto"/>
              </w:rPr>
            </w:pPr>
          </w:p>
        </w:tc>
      </w:tr>
      <w:tr>
        <w:trPr>
          <w:trHeight w:val="250"/>
        </w:trPr>
        <w:tc>
          <w:tcPr>
            <w:tcW w:w="7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Reports of Independent Registered Public Accounting Firm on Consolidated Financial Statements</w:t>
              </w:r>
            </w:hyperlink>
          </w:p>
        </w:tc>
        <w:tc>
          <w:tcPr>
            <w:tcW w:w="1620" w:type="dxa"/>
            <w:vAlign w:val="bottom"/>
            <w:tcBorders>
              <w:top w:val="single" w:sz="8" w:color="0000EE"/>
            </w:tcBorders>
            <w:gridSpan w:val="2"/>
          </w:tcPr>
          <w:p>
            <w:pPr>
              <w:spacing w:after="0"/>
              <w:rPr>
                <w:sz w:val="21"/>
                <w:szCs w:val="21"/>
                <w:color w:val="auto"/>
              </w:rPr>
            </w:pPr>
          </w:p>
        </w:tc>
        <w:tc>
          <w:tcPr>
            <w:tcW w:w="1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2017 and 2016</w:t>
              </w:r>
            </w:hyperlink>
          </w:p>
        </w:tc>
        <w:tc>
          <w:tcPr>
            <w:tcW w:w="660" w:type="dxa"/>
            <w:vAlign w:val="bottom"/>
            <w:gridSpan w:val="2"/>
          </w:tcPr>
          <w:p>
            <w:pPr>
              <w:jc w:val="center"/>
              <w:ind w:left="395"/>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Earnings for the years ended December 31, 2017, 2016, and 2015</w:t>
              </w:r>
            </w:hyperlink>
          </w:p>
        </w:tc>
        <w:tc>
          <w:tcPr>
            <w:tcW w:w="660" w:type="dxa"/>
            <w:vAlign w:val="bottom"/>
            <w:gridSpan w:val="2"/>
          </w:tcPr>
          <w:p>
            <w:pPr>
              <w:jc w:val="center"/>
              <w:ind w:left="395"/>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Comprehensive Earnings for the years ended December 31, 2017, 2016, and 2015</w:t>
              </w:r>
            </w:hyperlink>
          </w:p>
        </w:tc>
        <w:tc>
          <w:tcPr>
            <w:tcW w:w="232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Consolidated Statements of Equity for the years ended December 31, 2017, 2016, and 2015</w:t>
              </w:r>
            </w:hyperlink>
          </w:p>
        </w:tc>
        <w:tc>
          <w:tcPr>
            <w:tcW w:w="660" w:type="dxa"/>
            <w:vAlign w:val="bottom"/>
            <w:gridSpan w:val="2"/>
          </w:tcPr>
          <w:p>
            <w:pPr>
              <w:jc w:val="center"/>
              <w:ind w:left="395"/>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51</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 for the years ended December 31, 2017, 2016, and 2015</w:t>
              </w:r>
            </w:hyperlink>
          </w:p>
        </w:tc>
        <w:tc>
          <w:tcPr>
            <w:tcW w:w="660" w:type="dxa"/>
            <w:vAlign w:val="bottom"/>
            <w:gridSpan w:val="2"/>
          </w:tcPr>
          <w:p>
            <w:pPr>
              <w:jc w:val="center"/>
              <w:ind w:left="395"/>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c>
          <w:tcPr>
            <w:tcW w:w="480" w:type="dxa"/>
            <w:vAlign w:val="bottom"/>
          </w:tcPr>
          <w:p>
            <w:pPr>
              <w:spacing w:after="0"/>
              <w:rPr>
                <w:sz w:val="21"/>
                <w:szCs w:val="21"/>
                <w:color w:val="auto"/>
              </w:rPr>
            </w:pPr>
          </w:p>
        </w:tc>
      </w:tr>
      <w:tr>
        <w:trPr>
          <w:trHeight w:val="250"/>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33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54</w:t>
              </w:r>
            </w:hyperlink>
          </w:p>
        </w:tc>
        <w:tc>
          <w:tcPr>
            <w:tcW w:w="480" w:type="dxa"/>
            <w:vAlign w:val="bottom"/>
          </w:tcPr>
          <w:p>
            <w:pPr>
              <w:spacing w:after="0"/>
              <w:rPr>
                <w:sz w:val="21"/>
                <w:szCs w:val="21"/>
                <w:color w:val="auto"/>
              </w:rPr>
            </w:pPr>
          </w:p>
        </w:tc>
      </w:tr>
      <w:tr>
        <w:trPr>
          <w:trHeight w:val="723"/>
        </w:trPr>
        <w:tc>
          <w:tcPr>
            <w:tcW w:w="3140" w:type="dxa"/>
            <w:vAlign w:val="bottom"/>
            <w:tcBorders>
              <w:top w:val="single" w:sz="8" w:color="0000EE"/>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Fidelity National Financial,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audited Fidelity National Financial, Inc. and subsidiaries’ internal control over financial reporting as of December 31, 2017,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2017, based on the COSO criteria.</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 of Fidelity National Financial, Inc. and subsidiaries as of December 31, 2017, and the related consolidated statements of earnings, comprehensive earnings, equity and cash flows for the year then ended, and the related notes and financial statement schedules listed in the Index at Item 15(a)(2) and our report dated February 23, 2018 expressed an unqualified opinion thereon.</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Fidelity National Financial,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audited the accompanying consolidated balance sheet of Fidelity National Financial, Inc. and subsidiaries as of December 31, 2017, and the related consolidated statements of earnings, comprehensive earnings, equity and cash flows for the year then ended, and the related notes and financial statement schedules listed in the Index at Item 15(a)(2) (collectively referred to as the “financial statements”). In our opinion, the financial statements present fairly, in all material respects, the consolidated financial position of the Company at December 31, 2017, and the consolidated results of its operations and its cash flows for the year then ended in conformity with U.S. generally accepted accounting principles.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23,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audited the accompanying Consolidated Balance Sheet of Fidelity National Financial, Inc. and subsidiaries as of December 31, 2016, and the related Consolidated Statements of Earnings, Comprehensive Earnings, Equity, and Cash Flows for each of the years in the two-year period ended December 31, 2016. In connection with our audits of the Consolidated Financial Statements, we also have audited the Financial Statement Schedules listed in the Index at Item 15. These Consolidated Financial Statements and Financial Statement Schedules are the responsibility of the Company’s management. Our responsibility is to express an opinion on these Consolidated Financial Statements and Financial Statement Schedules based on our audits.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Fidelity National Financial, Inc. and subsidiaries as of December 31, 2016, and the results of their operations and their cash flows for each of the years in the two-year period ended December 31, 2016, in conformity with U.S. generally accepted accounting principles. Also, in our opinion, the related Financial Statement Schedules, when considered in relation to the basic Consolidated Financial Statements taken as a whole, present fairly, in all material respect,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Jacksonville, Florida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2017, except for Notes A and 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to which are February 23,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(In millions, except share data)</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1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Fixed maturities available for sale, at fair value, at December 31, 2017 and 2016, includes pledged fixed maturities of $364 and $332, respectively,</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secured trust deposits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2,407</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long-term 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4"/>
              </w:rPr>
              <w:t>Short-term investments, includes pledged short term investments of $3 and $212 at December 31, 2017 and 2016, respectively, related to secured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trust deposits</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191"/>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w w:val="94"/>
              </w:rPr>
              <w:t>Cash and cash equivalents, at December 31, 2017 and 2016, includes pledged cash of $475 and $331,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1,110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74"/>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and notes receivables, net of allowance of $18 and $21 at December 31, 2017 and 2016, respectively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2,555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plants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 of discontinued operations</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5,219</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9,151</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14,521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348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1,490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Deferred tax liability</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Liabilities of discontinued operations</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w:t>
            </w:r>
          </w:p>
        </w:tc>
        <w:tc>
          <w:tcPr>
            <w:tcW w:w="0" w:type="dxa"/>
            <w:vAlign w:val="bottom"/>
          </w:tcPr>
          <w:p>
            <w:pPr>
              <w:spacing w:after="0"/>
              <w:rPr>
                <w:sz w:val="1"/>
                <w:szCs w:val="1"/>
                <w:color w:val="auto"/>
              </w:rPr>
            </w:pPr>
          </w:p>
        </w:tc>
      </w:tr>
      <w:tr>
        <w:trPr>
          <w:trHeight w:val="250"/>
        </w:trPr>
        <w:tc>
          <w:tcPr>
            <w:tcW w:w="880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4,340</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7,279</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Redeemable non-controlling interest by 21% minority holder of ServiceLink Holdings, LLC</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4"/>
              </w:rPr>
              <w:t>FNF Group common stock, $0.0001 par value; authorized 487,000,000 shares as of December 31, 2017 and 2016; outstanding of 274,431,737 and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180"/>
              <w:spacing w:after="0" w:line="149" w:lineRule="exact"/>
              <w:rPr>
                <w:sz w:val="20"/>
                <w:szCs w:val="20"/>
                <w:color w:val="auto"/>
              </w:rPr>
            </w:pPr>
            <w:r>
              <w:rPr>
                <w:rFonts w:ascii="Arial" w:cs="Arial" w:eastAsia="Arial" w:hAnsi="Arial"/>
                <w:sz w:val="14"/>
                <w:szCs w:val="14"/>
                <w:color w:val="auto"/>
                <w:w w:val="96"/>
              </w:rPr>
              <w:t>272,205,261 as of December 31, 2017 and 2016, respectively; and issued of 287,718,304 and 285,041,900 as of December 31, 2017 and 2016,</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FNFV Group common stock, $0.0001 par value; authorized 113,000,000 shares as of December 31, 2016, outstanding of 66,416,822 as of December</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31, 2016, and issued of 80,581,675 as of December 31, 2016, see Note G</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4,848</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1,784</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 (loss)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13,286,567 shares and 27,001,492 shares as of December 31, 2017 and 2016, respectively, at cost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Inc. shareholders’ equity</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5,996</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4,467</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6,898</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9,151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14,521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113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136"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r>
      <w:tr>
        <w:trPr>
          <w:trHeight w:val="196"/>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w w:val="92"/>
              </w:rPr>
              <w:t>(In millions, except share data)</w:t>
            </w:r>
          </w:p>
        </w:tc>
        <w:tc>
          <w:tcPr>
            <w:tcW w:w="780" w:type="dxa"/>
            <w:vAlign w:val="bottom"/>
          </w:tcPr>
          <w:p>
            <w:pPr>
              <w:spacing w:after="0"/>
              <w:rPr>
                <w:sz w:val="17"/>
                <w:szCs w:val="17"/>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Direct title insurance premiums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2,170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2,009</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Agency title insurance premiums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2,277</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Escrow, title-related and other fees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2,637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2,246</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investment income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r>
      <w:tr>
        <w:trPr>
          <w:trHeight w:val="264"/>
        </w:trPr>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Realized gains and losses,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6"/>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7,663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7,257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6,664</w:t>
            </w:r>
          </w:p>
        </w:tc>
      </w:tr>
      <w:tr>
        <w:trPr>
          <w:trHeight w:val="244"/>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Personnel costs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2,137</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Agent commissions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2,089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1,731</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1,557</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title claim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r>
      <w:tr>
        <w:trPr>
          <w:trHeight w:val="264"/>
        </w:trPr>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r>
      <w:tr>
        <w:trPr>
          <w:trHeight w:val="250"/>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6,799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6,302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5,894</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 and equity in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770</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on continuing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equity in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496</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501</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from discontinued operations, net of tax</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561</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earnings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83"/>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527</w:t>
            </w:r>
          </w:p>
        </w:tc>
      </w:tr>
      <w:tr>
        <w:trPr>
          <w:trHeight w:val="210"/>
        </w:trPr>
        <w:tc>
          <w:tcPr>
            <w:tcW w:w="7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 attributable to FNF Group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w:t>
            </w:r>
          </w:p>
        </w:tc>
      </w:tr>
      <w:tr>
        <w:trPr>
          <w:trHeight w:val="26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from discontinued operations, attributable to FNF Group common shareholders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FNF Group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540</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6"/>
        </w:trPr>
        <w:tc>
          <w:tcPr>
            <w:tcW w:w="77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(loss) from discontinued operations attributable to FNFV Group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125" w:right="2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 - (continued)</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r>
      <w:tr>
        <w:trPr>
          <w:trHeight w:val="80"/>
        </w:trPr>
        <w:tc>
          <w:tcPr>
            <w:tcW w:w="8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58"/>
        </w:trPr>
        <w:tc>
          <w:tcPr>
            <w:tcW w:w="8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p>
        </w:tc>
      </w:tr>
      <w:tr>
        <w:trPr>
          <w:trHeight w:val="283"/>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0.10</w:t>
            </w: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(loss) per share from discontinued operations attributable to FNFV Group common shareholders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1.79</w:t>
            </w: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0.10</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1.89</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(loss) per share from discontinued operations attributable to FNFV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286</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paid per share FNF Group common stock</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0.80</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2" w:name="page53"/>
    <w:bookmarkEnd w:id="5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237"/>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760" w:type="dxa"/>
            <w:vAlign w:val="bottom"/>
            <w:tcBorders>
              <w:bottom w:val="single" w:sz="8" w:color="CCEEFF"/>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794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earnings (loss), net of tax:</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gain (loss) on investments and other financial instruments, net (excluding investments in</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unconsolidated affiliates) (1)</w:t>
            </w: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Unrealized gain (loss) relating to investments in unconsolidated affiliates (2)</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gain (loss) on foreign currency translation and cash flow hedging(3)</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Reclassification adjustments for change in unrealized gains and losses included in net earnings (4)</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Minimum pension liability adjustment (5)</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earnings (loss)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849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Comprehensive earnings attributable to noncontrolling interests</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Fidelity National Financial Inc. common shareholders</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456</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7"/>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Comprehensive earnings attributable to FNF Group common shareholders</w:t>
            </w: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709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494</w:t>
            </w: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(loss) attributable to FNFV Group common shareholders</w:t>
            </w: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980" w:hanging="972"/>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expense (benefit) of $16 million, $23 million, and $(23) million for the years ended December 31, 2017, 2016 and 2015,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expense (benefit) of $7 million, $6 million, and $(17) million for the years ended December 31, 2017, 2016 and 2015,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expense (benefit) of $4 million, $1 million, and $(7) million for the years ended December 31, 2017, 2016, and 2015,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expense of $2 million for the year ended December 31, 2017.</w:t>
      </w:r>
    </w:p>
    <w:p>
      <w:pPr>
        <w:spacing w:after="0" w:line="171" w:lineRule="exact"/>
        <w:rPr>
          <w:rFonts w:ascii="Arial" w:cs="Arial" w:eastAsia="Arial" w:hAnsi="Arial"/>
          <w:sz w:val="18"/>
          <w:szCs w:val="18"/>
          <w:color w:val="auto"/>
        </w:rPr>
      </w:pPr>
    </w:p>
    <w:p>
      <w:pPr>
        <w:ind w:left="980" w:hanging="97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of income tax expense of $3 million for the years ended December 31, 2017, 2016, and 2015,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0" w:type="dxa"/>
            <w:vAlign w:val="bottom"/>
            <w:tcBorders>
              <w:bottom w:val="single" w:sz="8" w:color="auto"/>
            </w:tcBorders>
            <w:gridSpan w:val="5"/>
          </w:tcPr>
          <w:p>
            <w:pPr>
              <w:ind w:left="480"/>
              <w:spacing w:after="0"/>
              <w:rPr>
                <w:sz w:val="20"/>
                <w:szCs w:val="20"/>
                <w:color w:val="auto"/>
              </w:rPr>
            </w:pPr>
            <w:r>
              <w:rPr>
                <w:rFonts w:ascii="Arial" w:cs="Arial" w:eastAsia="Arial" w:hAnsi="Arial"/>
                <w:sz w:val="13"/>
                <w:szCs w:val="13"/>
                <w:b w:val="1"/>
                <w:bCs w:val="1"/>
                <w:color w:val="auto"/>
                <w:w w:val="92"/>
              </w:rPr>
              <w:t>Fidelity National Financial, Inc. Common Shareholders</w:t>
            </w: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FNF Group</w:t>
            </w:r>
          </w:p>
        </w:tc>
        <w:tc>
          <w:tcPr>
            <w:tcW w:w="110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FNFV Group</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Redeemable</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20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100" w:type="dxa"/>
            <w:vAlign w:val="bottom"/>
            <w:gridSpan w:val="2"/>
          </w:tcPr>
          <w:p>
            <w:pPr>
              <w:jc w:val="right"/>
              <w:ind w:right="57"/>
              <w:spacing w:after="0" w:line="144" w:lineRule="exact"/>
              <w:rPr>
                <w:sz w:val="20"/>
                <w:szCs w:val="20"/>
                <w:color w:val="auto"/>
              </w:rPr>
            </w:pPr>
            <w:r>
              <w:rPr>
                <w:rFonts w:ascii="Arial" w:cs="Arial" w:eastAsia="Arial" w:hAnsi="Arial"/>
                <w:sz w:val="13"/>
                <w:szCs w:val="13"/>
                <w:b w:val="1"/>
                <w:bCs w:val="1"/>
                <w:color w:val="auto"/>
              </w:rPr>
              <w:t>Common Stock</w:t>
            </w:r>
          </w:p>
        </w:tc>
        <w:tc>
          <w:tcPr>
            <w:tcW w:w="920" w:type="dxa"/>
            <w:vAlign w:val="bottom"/>
          </w:tcPr>
          <w:p>
            <w:pPr>
              <w:jc w:val="right"/>
              <w:ind w:right="80"/>
              <w:spacing w:after="0" w:line="144" w:lineRule="exact"/>
              <w:rPr>
                <w:sz w:val="20"/>
                <w:szCs w:val="20"/>
                <w:color w:val="auto"/>
              </w:rPr>
            </w:pPr>
            <w:r>
              <w:rPr>
                <w:rFonts w:ascii="Arial" w:cs="Arial" w:eastAsia="Arial" w:hAnsi="Arial"/>
                <w:sz w:val="13"/>
                <w:szCs w:val="13"/>
                <w:b w:val="1"/>
                <w:bCs w:val="1"/>
                <w:color w:val="auto"/>
              </w:rPr>
              <w:t>Additional</w:t>
            </w:r>
          </w:p>
        </w:tc>
        <w:tc>
          <w:tcPr>
            <w:tcW w:w="760" w:type="dxa"/>
            <w:vAlign w:val="bottom"/>
          </w:tcPr>
          <w:p>
            <w:pPr>
              <w:spacing w:after="0"/>
              <w:rPr>
                <w:sz w:val="12"/>
                <w:szCs w:val="12"/>
                <w:color w:val="auto"/>
              </w:rPr>
            </w:pPr>
          </w:p>
        </w:tc>
        <w:tc>
          <w:tcPr>
            <w:tcW w:w="820" w:type="dxa"/>
            <w:vAlign w:val="bottom"/>
          </w:tcPr>
          <w:p>
            <w:pPr>
              <w:jc w:val="center"/>
              <w:ind w:left="317"/>
              <w:spacing w:after="0" w:line="144" w:lineRule="exact"/>
              <w:rPr>
                <w:sz w:val="20"/>
                <w:szCs w:val="20"/>
                <w:color w:val="auto"/>
              </w:rPr>
            </w:pPr>
            <w:r>
              <w:rPr>
                <w:rFonts w:ascii="Arial" w:cs="Arial" w:eastAsia="Arial" w:hAnsi="Arial"/>
                <w:sz w:val="13"/>
                <w:szCs w:val="13"/>
                <w:b w:val="1"/>
                <w:bCs w:val="1"/>
                <w:color w:val="auto"/>
                <w:w w:val="92"/>
              </w:rPr>
              <w:t>Other</w:t>
            </w:r>
          </w:p>
        </w:tc>
        <w:tc>
          <w:tcPr>
            <w:tcW w:w="400" w:type="dxa"/>
            <w:vAlign w:val="bottom"/>
          </w:tcPr>
          <w:p>
            <w:pPr>
              <w:spacing w:after="0"/>
              <w:rPr>
                <w:sz w:val="12"/>
                <w:szCs w:val="12"/>
                <w:color w:val="auto"/>
              </w:rPr>
            </w:pPr>
          </w:p>
        </w:tc>
        <w:tc>
          <w:tcPr>
            <w:tcW w:w="1120" w:type="dxa"/>
            <w:vAlign w:val="bottom"/>
            <w:gridSpan w:val="2"/>
          </w:tcPr>
          <w:p>
            <w:pPr>
              <w:jc w:val="right"/>
              <w:ind w:right="77"/>
              <w:spacing w:after="0" w:line="144" w:lineRule="exact"/>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2"/>
                <w:szCs w:val="12"/>
                <w:color w:val="auto"/>
              </w:rPr>
            </w:pPr>
          </w:p>
        </w:tc>
        <w:tc>
          <w:tcPr>
            <w:tcW w:w="720" w:type="dxa"/>
            <w:vAlign w:val="bottom"/>
          </w:tcPr>
          <w:p>
            <w:pPr>
              <w:jc w:val="center"/>
              <w:ind w:right="77"/>
              <w:spacing w:after="0" w:line="144" w:lineRule="exact"/>
              <w:rPr>
                <w:sz w:val="20"/>
                <w:szCs w:val="20"/>
                <w:color w:val="auto"/>
              </w:rPr>
            </w:pPr>
            <w:r>
              <w:rPr>
                <w:rFonts w:ascii="Arial" w:cs="Arial" w:eastAsia="Arial" w:hAnsi="Arial"/>
                <w:sz w:val="13"/>
                <w:szCs w:val="13"/>
                <w:b w:val="1"/>
                <w:bCs w:val="1"/>
                <w:color w:val="auto"/>
                <w:w w:val="87"/>
              </w:rPr>
              <w:t>Non-</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94"/>
              </w:rPr>
              <w:t>Non-</w:t>
            </w:r>
          </w:p>
        </w:tc>
        <w:tc>
          <w:tcPr>
            <w:tcW w:w="0" w:type="dxa"/>
            <w:vAlign w:val="bottom"/>
          </w:tcPr>
          <w:p>
            <w:pPr>
              <w:spacing w:after="0"/>
              <w:rPr>
                <w:sz w:val="1"/>
                <w:szCs w:val="1"/>
                <w:color w:val="auto"/>
              </w:rPr>
            </w:pPr>
          </w:p>
        </w:tc>
      </w:tr>
      <w:tr>
        <w:trPr>
          <w:trHeight w:val="32"/>
        </w:trPr>
        <w:tc>
          <w:tcPr>
            <w:tcW w:w="25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vMerge w:val="restart"/>
          </w:tcPr>
          <w:p>
            <w:pPr>
              <w:jc w:val="right"/>
              <w:ind w:right="160"/>
              <w:spacing w:after="0" w:line="135" w:lineRule="exact"/>
              <w:rPr>
                <w:sz w:val="20"/>
                <w:szCs w:val="20"/>
                <w:color w:val="auto"/>
              </w:rPr>
            </w:pPr>
            <w:r>
              <w:rPr>
                <w:rFonts w:ascii="Arial" w:cs="Arial" w:eastAsia="Arial" w:hAnsi="Arial"/>
                <w:sz w:val="13"/>
                <w:szCs w:val="13"/>
                <w:b w:val="1"/>
                <w:bCs w:val="1"/>
                <w:color w:val="auto"/>
              </w:rPr>
              <w:t>Paid-In</w:t>
            </w:r>
          </w:p>
        </w:tc>
        <w:tc>
          <w:tcPr>
            <w:tcW w:w="760" w:type="dxa"/>
            <w:vAlign w:val="bottom"/>
            <w:vMerge w:val="restart"/>
          </w:tcPr>
          <w:p>
            <w:pPr>
              <w:jc w:val="right"/>
              <w:ind w:right="37"/>
              <w:spacing w:after="0" w:line="135" w:lineRule="exact"/>
              <w:rPr>
                <w:sz w:val="20"/>
                <w:szCs w:val="20"/>
                <w:color w:val="auto"/>
              </w:rPr>
            </w:pPr>
            <w:r>
              <w:rPr>
                <w:rFonts w:ascii="Arial" w:cs="Arial" w:eastAsia="Arial" w:hAnsi="Arial"/>
                <w:sz w:val="13"/>
                <w:szCs w:val="13"/>
                <w:b w:val="1"/>
                <w:bCs w:val="1"/>
                <w:color w:val="auto"/>
              </w:rPr>
              <w:t>Retained</w:t>
            </w:r>
          </w:p>
        </w:tc>
        <w:tc>
          <w:tcPr>
            <w:tcW w:w="122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vMerge w:val="restart"/>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controlling</w:t>
            </w:r>
          </w:p>
        </w:tc>
        <w:tc>
          <w:tcPr>
            <w:tcW w:w="660" w:type="dxa"/>
            <w:vAlign w:val="bottom"/>
            <w:vMerge w:val="restart"/>
          </w:tcPr>
          <w:p>
            <w:pPr>
              <w:jc w:val="right"/>
              <w:ind w:right="117"/>
              <w:spacing w:after="0" w:line="135" w:lineRule="exact"/>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2"/>
                <w:szCs w:val="2"/>
                <w:color w:val="auto"/>
              </w:rPr>
            </w:pPr>
          </w:p>
        </w:tc>
        <w:tc>
          <w:tcPr>
            <w:tcW w:w="780" w:type="dxa"/>
            <w:vAlign w:val="bottom"/>
            <w:vMerge w:val="restart"/>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controlling</w:t>
            </w:r>
          </w:p>
        </w:tc>
        <w:tc>
          <w:tcPr>
            <w:tcW w:w="0" w:type="dxa"/>
            <w:vAlign w:val="bottom"/>
          </w:tcPr>
          <w:p>
            <w:pPr>
              <w:spacing w:after="0"/>
              <w:rPr>
                <w:sz w:val="1"/>
                <w:szCs w:val="1"/>
                <w:color w:val="auto"/>
              </w:rPr>
            </w:pPr>
          </w:p>
        </w:tc>
      </w:tr>
      <w:tr>
        <w:trPr>
          <w:trHeight w:val="83"/>
        </w:trPr>
        <w:tc>
          <w:tcPr>
            <w:tcW w:w="2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Capital</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Earnings</w:t>
            </w: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Earnings (Loss)</w:t>
            </w: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Shares</w:t>
            </w: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Interests</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Equity</w:t>
            </w: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ind w:left="140"/>
              <w:spacing w:after="0"/>
              <w:rPr>
                <w:sz w:val="20"/>
                <w:szCs w:val="20"/>
                <w:color w:val="auto"/>
              </w:rPr>
            </w:pPr>
            <w:r>
              <w:rPr>
                <w:rFonts w:ascii="Arial" w:cs="Arial" w:eastAsia="Arial" w:hAnsi="Arial"/>
                <w:sz w:val="13"/>
                <w:szCs w:val="13"/>
                <w:b w:val="1"/>
                <w:bCs w:val="1"/>
                <w:color w:val="auto"/>
                <w:w w:val="90"/>
              </w:rPr>
              <w:t>(In millions)</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2014</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279</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93</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 —</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w w:val="85"/>
              </w:rPr>
              <w:t>$4,855</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   1,150</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  (13)</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$ 6,073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Gain on Black Knight IPO</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53</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22"/>
                <w:szCs w:val="22"/>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8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Proceeds Black Knight IPO</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475</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475</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26</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22"/>
                <w:szCs w:val="22"/>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26</w:t>
            </w:r>
          </w:p>
        </w:tc>
        <w:tc>
          <w:tcPr>
            <w:tcW w:w="18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Purchase of additional interest in</w:t>
            </w: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consolidated subsidiaries</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5"/>
              </w:rPr>
              <w:t>Tax benefit associated with the exercise of</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stock-based compensation</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21</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Issuance of restricted stock</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Equity offering costs</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40"/>
              <w:spacing w:after="0"/>
              <w:rPr>
                <w:sz w:val="20"/>
                <w:szCs w:val="20"/>
                <w:color w:val="auto"/>
              </w:rPr>
            </w:pPr>
            <w:r>
              <w:rPr>
                <w:rFonts w:ascii="Arial" w:cs="Arial" w:eastAsia="Arial" w:hAnsi="Arial"/>
                <w:sz w:val="13"/>
                <w:szCs w:val="13"/>
                <w:color w:val="auto"/>
              </w:rPr>
              <w:t>(1)</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22"/>
                <w:szCs w:val="22"/>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0"/>
              </w:rPr>
              <w:t>Other comprehensive earnings — unrealized</w:t>
            </w: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loss on investments and other financial</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instruments</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6"/>
              </w:rPr>
              <w:t>(38)</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loss on investments in unconsolidated</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affiliates</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400" w:type="dxa"/>
            <w:vAlign w:val="bottom"/>
          </w:tcPr>
          <w:p>
            <w:pPr>
              <w:jc w:val="right"/>
              <w:ind w:right="117"/>
              <w:spacing w:after="0"/>
              <w:rPr>
                <w:sz w:val="20"/>
                <w:szCs w:val="20"/>
                <w:color w:val="auto"/>
              </w:rPr>
            </w:pPr>
            <w:r>
              <w:rPr>
                <w:rFonts w:ascii="Arial" w:cs="Arial" w:eastAsia="Arial" w:hAnsi="Arial"/>
                <w:sz w:val="13"/>
                <w:szCs w:val="13"/>
                <w:color w:val="auto"/>
                <w:w w:val="86"/>
              </w:rPr>
              <w:t>(27)</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8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0"/>
              </w:rPr>
              <w:t>Other comprehensive earnings — unrealized</w:t>
            </w:r>
          </w:p>
        </w:tc>
        <w:tc>
          <w:tcPr>
            <w:tcW w:w="6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loss on foreign currency and cash flow</w:t>
            </w: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hedging</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3"/>
              </w:rPr>
              <w:t>Other comprehensive earnings — minimum</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pension liability adjustment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2</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Stock-based compensation</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38</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w w:val="99"/>
              </w:rPr>
              <w:t>Shares withheld for taxes and in treasury</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22"/>
                <w:szCs w:val="22"/>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Purchases of treasury stock</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27</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(505)</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(505)</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Contributions to noncontrolling interests</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22"/>
                <w:szCs w:val="22"/>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Sale of noncontrolling interest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1"/>
              </w:rPr>
              <w:t>Reclassification of redeemable NCI resulting</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from IPO/share conversion</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560" w:type="dxa"/>
            <w:vAlign w:val="bottom"/>
          </w:tcPr>
          <w:p>
            <w:pPr>
              <w:ind w:left="3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430</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430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05"/>
        </w:trPr>
        <w:tc>
          <w:tcPr>
            <w:tcW w:w="25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Retirement of treasury shares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63"/>
        </w:trPr>
        <w:tc>
          <w:tcPr>
            <w:tcW w:w="25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rPr>
              <w:t>Distribution of J. Alexander's to FNFV</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Shareholders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Dilution of ownership in affiliates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Dividends declared</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4"/>
              </w:rPr>
              <w:t>Subsidiary dividends paid to noncontrolling</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interests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5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561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57"/>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7"/>
              </w:rPr>
              <w:t>$ (346)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6,588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Issuance of restricted stock</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w w:val="89"/>
              </w:rPr>
              <w:t>gain (loss) on investments and other financial</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instruments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gain on investments in unconsolidated</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affiliates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gain on foreign currency and cash flow</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hedging</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3"/>
              </w:rPr>
              <w:t>Other comprehensive earnings — minimum</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pension liability adjustment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Stock-based compensation</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9"/>
              </w:rPr>
              <w:t>Shares withheld for taxes and in treasury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Purchases of treasury stock</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Debt conversion settled in cash</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Acquisition of noncontrolling interest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Dividends declared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4"/>
              </w:rPr>
              <w:t>Subsidiary dividends paid to noncontrolling</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692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520" w:type="dxa"/>
            <w:vAlign w:val="bottom"/>
          </w:tcPr>
          <w:p>
            <w:pPr>
              <w:ind w:left="20"/>
              <w:spacing w:after="0"/>
              <w:rPr>
                <w:sz w:val="20"/>
                <w:szCs w:val="20"/>
                <w:color w:val="auto"/>
              </w:rPr>
            </w:pPr>
            <w:r>
              <w:rPr>
                <w:rFonts w:ascii="Arial" w:cs="Arial" w:eastAsia="Arial" w:hAnsi="Arial"/>
                <w:sz w:val="13"/>
                <w:szCs w:val="13"/>
                <w:color w:val="auto"/>
              </w:rPr>
              <w:t>Balance, December 31, 2016</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4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1,784</w:t>
            </w:r>
          </w:p>
        </w:tc>
        <w:tc>
          <w:tcPr>
            <w:tcW w:w="120" w:type="dxa"/>
            <w:vAlign w:val="bottom"/>
          </w:tcPr>
          <w:p>
            <w:pPr>
              <w:spacing w:after="0"/>
              <w:rPr>
                <w:sz w:val="21"/>
                <w:szCs w:val="21"/>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1"/>
                <w:szCs w:val="21"/>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w w:val="87"/>
              </w:rPr>
              <w:t>$ (623)</w:t>
            </w:r>
          </w:p>
        </w:tc>
        <w:tc>
          <w:tcPr>
            <w:tcW w:w="100" w:type="dxa"/>
            <w:vAlign w:val="bottom"/>
          </w:tcPr>
          <w:p>
            <w:pPr>
              <w:spacing w:after="0"/>
              <w:rPr>
                <w:sz w:val="21"/>
                <w:szCs w:val="21"/>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902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ind w:right="37"/>
              <w:spacing w:after="0"/>
              <w:rPr>
                <w:sz w:val="20"/>
                <w:szCs w:val="20"/>
                <w:color w:val="auto"/>
              </w:rPr>
            </w:pPr>
            <w:r>
              <w:rPr>
                <w:rFonts w:ascii="Arial" w:cs="Arial" w:eastAsia="Arial" w:hAnsi="Arial"/>
                <w:sz w:val="13"/>
                <w:szCs w:val="13"/>
                <w:color w:val="auto"/>
                <w:w w:val="92"/>
              </w:rPr>
              <w:t>6,898</w:t>
            </w:r>
          </w:p>
        </w:tc>
        <w:tc>
          <w:tcPr>
            <w:tcW w:w="120" w:type="dxa"/>
            <w:vAlign w:val="bottom"/>
          </w:tcPr>
          <w:p>
            <w:pPr>
              <w:spacing w:after="0"/>
              <w:rPr>
                <w:sz w:val="21"/>
                <w:szCs w:val="21"/>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2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60" w:top="140"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1"/>
          </w:tcPr>
          <w:p>
            <w:pPr>
              <w:ind w:left="480"/>
              <w:spacing w:after="0"/>
              <w:rPr>
                <w:sz w:val="20"/>
                <w:szCs w:val="20"/>
                <w:color w:val="auto"/>
              </w:rPr>
            </w:pPr>
            <w:r>
              <w:rPr>
                <w:rFonts w:ascii="Arial" w:cs="Arial" w:eastAsia="Arial" w:hAnsi="Arial"/>
                <w:sz w:val="13"/>
                <w:szCs w:val="13"/>
                <w:b w:val="1"/>
                <w:bCs w:val="1"/>
                <w:color w:val="auto"/>
                <w:w w:val="91"/>
              </w:rPr>
              <w:t>Fidelity National Financial, Inc. Common Shareholders</w:t>
            </w: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1"/>
              </w:rPr>
              <w:t>FNF Group</w:t>
            </w:r>
          </w:p>
        </w:tc>
        <w:tc>
          <w:tcPr>
            <w:tcW w:w="12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6"/>
              </w:rPr>
              <w:t>FNFV Group</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Redeemable</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200" w:type="dxa"/>
            <w:vAlign w:val="bottom"/>
            <w:gridSpan w:val="4"/>
          </w:tcPr>
          <w:p>
            <w:pPr>
              <w:jc w:val="center"/>
              <w:ind w:right="10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1220" w:type="dxa"/>
            <w:vAlign w:val="bottom"/>
            <w:gridSpan w:val="4"/>
          </w:tcPr>
          <w:p>
            <w:pPr>
              <w:jc w:val="center"/>
              <w:ind w:right="80"/>
              <w:spacing w:after="0" w:line="144" w:lineRule="exact"/>
              <w:rPr>
                <w:sz w:val="20"/>
                <w:szCs w:val="20"/>
                <w:color w:val="auto"/>
              </w:rPr>
            </w:pPr>
            <w:r>
              <w:rPr>
                <w:rFonts w:ascii="Arial" w:cs="Arial" w:eastAsia="Arial" w:hAnsi="Arial"/>
                <w:sz w:val="13"/>
                <w:szCs w:val="13"/>
                <w:b w:val="1"/>
                <w:bCs w:val="1"/>
                <w:color w:val="auto"/>
                <w:w w:val="85"/>
              </w:rPr>
              <w:t>Common Stock</w:t>
            </w: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left="237"/>
              <w:spacing w:after="0" w:line="144" w:lineRule="exact"/>
              <w:rPr>
                <w:sz w:val="20"/>
                <w:szCs w:val="20"/>
                <w:color w:val="auto"/>
              </w:rPr>
            </w:pPr>
            <w:r>
              <w:rPr>
                <w:rFonts w:ascii="Arial" w:cs="Arial" w:eastAsia="Arial" w:hAnsi="Arial"/>
                <w:sz w:val="13"/>
                <w:szCs w:val="13"/>
                <w:b w:val="1"/>
                <w:bCs w:val="1"/>
                <w:color w:val="auto"/>
                <w:w w:val="92"/>
              </w:rPr>
              <w:t>Other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ind w:left="160"/>
              <w:spacing w:after="0" w:line="144" w:lineRule="exact"/>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7"/>
              </w:rPr>
              <w:t>Non-</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94"/>
              </w:rPr>
              <w:t>Non-</w:t>
            </w:r>
          </w:p>
        </w:tc>
        <w:tc>
          <w:tcPr>
            <w:tcW w:w="0" w:type="dxa"/>
            <w:vAlign w:val="bottom"/>
          </w:tcPr>
          <w:p>
            <w:pPr>
              <w:spacing w:after="0"/>
              <w:rPr>
                <w:sz w:val="1"/>
                <w:szCs w:val="1"/>
                <w:color w:val="auto"/>
              </w:rPr>
            </w:pPr>
          </w:p>
        </w:tc>
      </w:tr>
      <w:tr>
        <w:trPr>
          <w:trHeight w:val="32"/>
        </w:trPr>
        <w:tc>
          <w:tcPr>
            <w:tcW w:w="2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2"/>
                <w:szCs w:val="2"/>
                <w:color w:val="auto"/>
              </w:rPr>
            </w:pPr>
          </w:p>
        </w:tc>
        <w:tc>
          <w:tcPr>
            <w:tcW w:w="680" w:type="dxa"/>
            <w:vAlign w:val="bottom"/>
            <w:gridSpan w:val="2"/>
            <w:vMerge w:val="restart"/>
          </w:tcPr>
          <w:p>
            <w:pPr>
              <w:jc w:val="right"/>
              <w:ind w:right="200"/>
              <w:spacing w:after="0" w:line="135" w:lineRule="exact"/>
              <w:rPr>
                <w:sz w:val="20"/>
                <w:szCs w:val="20"/>
                <w:color w:val="auto"/>
              </w:rPr>
            </w:pPr>
            <w:r>
              <w:rPr>
                <w:rFonts w:ascii="Arial" w:cs="Arial" w:eastAsia="Arial" w:hAnsi="Arial"/>
                <w:sz w:val="13"/>
                <w:szCs w:val="13"/>
                <w:b w:val="1"/>
                <w:bCs w:val="1"/>
                <w:color w:val="auto"/>
                <w:w w:val="83"/>
              </w:rPr>
              <w:t>Retained</w:t>
            </w:r>
          </w:p>
        </w:tc>
        <w:tc>
          <w:tcPr>
            <w:tcW w:w="112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controlling</w:t>
            </w:r>
          </w:p>
        </w:tc>
        <w:tc>
          <w:tcPr>
            <w:tcW w:w="80" w:type="dxa"/>
            <w:vAlign w:val="bottom"/>
          </w:tcPr>
          <w:p>
            <w:pPr>
              <w:spacing w:after="0"/>
              <w:rPr>
                <w:sz w:val="2"/>
                <w:szCs w:val="2"/>
                <w:color w:val="auto"/>
              </w:rPr>
            </w:pPr>
          </w:p>
        </w:tc>
        <w:tc>
          <w:tcPr>
            <w:tcW w:w="5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2"/>
                <w:szCs w:val="2"/>
                <w:color w:val="auto"/>
              </w:rPr>
            </w:pPr>
          </w:p>
        </w:tc>
        <w:tc>
          <w:tcPr>
            <w:tcW w:w="780" w:type="dxa"/>
            <w:vAlign w:val="bottom"/>
            <w:vMerge w:val="restart"/>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controlling</w:t>
            </w:r>
          </w:p>
        </w:tc>
        <w:tc>
          <w:tcPr>
            <w:tcW w:w="0" w:type="dxa"/>
            <w:vAlign w:val="bottom"/>
          </w:tcPr>
          <w:p>
            <w:pPr>
              <w:spacing w:after="0"/>
              <w:rPr>
                <w:sz w:val="1"/>
                <w:szCs w:val="1"/>
                <w:color w:val="auto"/>
              </w:rPr>
            </w:pPr>
          </w:p>
        </w:tc>
      </w:tr>
      <w:tr>
        <w:trPr>
          <w:trHeight w:val="83"/>
        </w:trPr>
        <w:tc>
          <w:tcPr>
            <w:tcW w:w="2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3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7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Earnings</w:t>
            </w: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5"/>
              </w:rPr>
              <w:t>Earnings (Loss)</w:t>
            </w: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4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w w:val="87"/>
              </w:rPr>
              <w:t>(In millions)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w:t>
            </w:r>
          </w:p>
        </w:tc>
        <w:tc>
          <w:tcPr>
            <w:tcW w:w="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1,784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7"/>
              </w:rPr>
              <w:t>$ (623)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6,898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Issuance of restricted stock</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gain on investments and other financial</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instruments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gain on investments in unconsolidated</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affiliates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0"/>
              </w:rPr>
              <w:t>Other comprehensive earnings — unrealized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rPr>
              <w:t>gain on foreign currency and cash flow</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hedging</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3"/>
              </w:rPr>
              <w:t>Other comprehensive earnings — minimum</w:t>
            </w: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pension liability adjustment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6"/>
              </w:rPr>
              <w:t>Reclassification adjustments for change in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160"/>
              <w:spacing w:after="0" w:line="135" w:lineRule="exact"/>
              <w:rPr>
                <w:sz w:val="20"/>
                <w:szCs w:val="20"/>
                <w:color w:val="auto"/>
              </w:rPr>
            </w:pPr>
            <w:r>
              <w:rPr>
                <w:rFonts w:ascii="Arial" w:cs="Arial" w:eastAsia="Arial" w:hAnsi="Arial"/>
                <w:sz w:val="13"/>
                <w:szCs w:val="13"/>
                <w:color w:val="auto"/>
                <w:w w:val="94"/>
              </w:rPr>
              <w:t>unrealized gains and losses included in net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earnings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Stock-based compensation</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rPr>
              <w:t>Purchase of additional interest in</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consolidated subsidiaries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w w:val="99"/>
              </w:rPr>
              <w:t>Shares withheld for taxes and in treasury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Purchases of treasury stock</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Sale of consolidated subsidiary</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Debt conversions settled in cash</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Acquisitions of noncontrolling interests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rPr>
              <w:t>Black Knight repurchases of BKFS stock</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22"/>
                <w:szCs w:val="22"/>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Spin-off of Black Knight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(1,624)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520" w:type="dxa"/>
            <w:vAlign w:val="bottom"/>
          </w:tcPr>
          <w:p>
            <w:pPr>
              <w:ind w:left="160"/>
              <w:spacing w:after="0"/>
              <w:rPr>
                <w:sz w:val="20"/>
                <w:szCs w:val="20"/>
                <w:color w:val="auto"/>
              </w:rPr>
            </w:pPr>
            <w:r>
              <w:rPr>
                <w:rFonts w:ascii="Arial" w:cs="Arial" w:eastAsia="Arial" w:hAnsi="Arial"/>
                <w:sz w:val="13"/>
                <w:szCs w:val="13"/>
                <w:color w:val="auto"/>
                <w:w w:val="99"/>
              </w:rPr>
              <w:t>Distribution of FNFV to Cannae Holdings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(81)</w:t>
            </w:r>
          </w:p>
        </w:tc>
        <w:tc>
          <w:tcPr>
            <w:tcW w:w="14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(1,236)</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(1,069)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Dividends declared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520" w:type="dxa"/>
            <w:vAlign w:val="bottom"/>
          </w:tcPr>
          <w:p>
            <w:pPr>
              <w:ind w:left="160"/>
              <w:spacing w:after="0" w:line="148" w:lineRule="exact"/>
              <w:rPr>
                <w:sz w:val="20"/>
                <w:szCs w:val="20"/>
                <w:color w:val="auto"/>
              </w:rPr>
            </w:pPr>
            <w:r>
              <w:rPr>
                <w:rFonts w:ascii="Arial" w:cs="Arial" w:eastAsia="Arial" w:hAnsi="Arial"/>
                <w:sz w:val="13"/>
                <w:szCs w:val="13"/>
                <w:color w:val="auto"/>
                <w:w w:val="94"/>
              </w:rPr>
              <w:t>Subsidiary dividends paid to noncontrolling</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25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earnings</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771</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794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520" w:type="dxa"/>
            <w:vAlign w:val="bottom"/>
          </w:tcPr>
          <w:p>
            <w:pPr>
              <w:ind w:left="20"/>
              <w:spacing w:after="0"/>
              <w:rPr>
                <w:sz w:val="20"/>
                <w:szCs w:val="20"/>
                <w:color w:val="auto"/>
              </w:rPr>
            </w:pPr>
            <w:r>
              <w:rPr>
                <w:rFonts w:ascii="Arial" w:cs="Arial" w:eastAsia="Arial" w:hAnsi="Arial"/>
                <w:sz w:val="13"/>
                <w:szCs w:val="13"/>
                <w:color w:val="auto"/>
              </w:rPr>
              <w:t>Balance, December 31, 2017</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3"/>
                <w:szCs w:val="13"/>
                <w:color w:val="auto"/>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4,587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w w:val="82"/>
              </w:rPr>
              <w:t>111</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1"/>
                <w:szCs w:val="21"/>
                <w:color w:val="auto"/>
              </w:rPr>
            </w:pPr>
          </w:p>
        </w:tc>
        <w:tc>
          <w:tcPr>
            <w:tcW w:w="460" w:type="dxa"/>
            <w:vAlign w:val="bottom"/>
          </w:tcPr>
          <w:p>
            <w:pPr>
              <w:jc w:val="right"/>
              <w:ind w:right="17"/>
              <w:spacing w:after="0"/>
              <w:rPr>
                <w:sz w:val="20"/>
                <w:szCs w:val="20"/>
                <w:color w:val="auto"/>
              </w:rPr>
            </w:pPr>
            <w:r>
              <w:rPr>
                <w:rFonts w:ascii="Arial" w:cs="Arial" w:eastAsia="Arial" w:hAnsi="Arial"/>
                <w:sz w:val="13"/>
                <w:szCs w:val="13"/>
                <w:color w:val="auto"/>
                <w:w w:val="87"/>
              </w:rPr>
              <w:t>$ (468)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4,467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5" w:name="page56"/>
    <w:bookmarkEnd w:id="5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center"/>
              <w:ind w:left="368"/>
              <w:spacing w:after="0"/>
              <w:rPr>
                <w:sz w:val="20"/>
                <w:szCs w:val="20"/>
                <w:color w:val="auto"/>
              </w:rPr>
            </w:pPr>
            <w:r>
              <w:rPr>
                <w:rFonts w:ascii="Arial" w:cs="Arial" w:eastAsia="Arial" w:hAnsi="Arial"/>
                <w:sz w:val="14"/>
                <w:szCs w:val="14"/>
                <w:b w:val="1"/>
                <w:bCs w:val="1"/>
                <w:color w:val="auto"/>
                <w:w w:val="93"/>
              </w:rPr>
              <w:t>Year Ended December 31,</w:t>
            </w:r>
          </w:p>
        </w:tc>
        <w:tc>
          <w:tcPr>
            <w:tcW w:w="620" w:type="dxa"/>
            <w:vAlign w:val="bottom"/>
            <w:tcBorders>
              <w:bottom w:val="single" w:sz="8" w:color="auto"/>
            </w:tcBorders>
          </w:tcPr>
          <w:p>
            <w:pPr>
              <w:spacing w:after="0"/>
              <w:rPr>
                <w:sz w:val="16"/>
                <w:szCs w:val="16"/>
                <w:color w:val="auto"/>
              </w:rPr>
            </w:pPr>
          </w:p>
        </w:tc>
      </w:tr>
      <w:tr>
        <w:trPr>
          <w:trHeight w:val="264"/>
        </w:trPr>
        <w:tc>
          <w:tcPr>
            <w:tcW w:w="84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2015</w:t>
            </w:r>
          </w:p>
        </w:tc>
      </w:tr>
      <w:tr>
        <w:trPr>
          <w:trHeight w:val="196"/>
        </w:trPr>
        <w:tc>
          <w:tcPr>
            <w:tcW w:w="8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561</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410</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losses of unconsolidated affiliates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Net loss on sales of investments and other assets, net</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sale of OneDigital</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Gain on sale of Cascade Timberlands</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cost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in pledged cash, pledged investments and secured trust deposits</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Net (increase) decrease in trade receivables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in prepaid expenses and other assets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264"/>
        </w:trPr>
        <w:tc>
          <w:tcPr>
            <w:tcW w:w="8460" w:type="dxa"/>
            <w:vAlign w:val="bottom"/>
          </w:tcPr>
          <w:p>
            <w:pPr>
              <w:ind w:left="380"/>
              <w:spacing w:after="0"/>
              <w:rPr>
                <w:sz w:val="20"/>
                <w:szCs w:val="20"/>
                <w:color w:val="auto"/>
              </w:rPr>
            </w:pPr>
            <w:r>
              <w:rPr>
                <w:rFonts w:ascii="Arial" w:cs="Arial" w:eastAsia="Arial" w:hAnsi="Arial"/>
                <w:sz w:val="14"/>
                <w:szCs w:val="14"/>
                <w:color w:val="auto"/>
              </w:rPr>
              <w:t>Net (decrease) increase in accounts payable, accrued liabilities, deferred revenue and other</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(decrease) in reserve for title claim losses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84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change in income taxes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r>
      <w:tr>
        <w:trPr>
          <w:trHeight w:val="25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951</w:t>
            </w:r>
          </w:p>
        </w:tc>
      </w:tr>
      <w:tr>
        <w:trPr>
          <w:trHeight w:val="244"/>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investment securities available for sale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383</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other assets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Proceeds from the sale of cost method and other investments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Additions to property and equipment and capitalized software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Purchases of investment securities available for sale</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(1,102)</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other long-term investments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Net (purchases of) proceeds from short-term investment activities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(565)</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Contributions to investments in unconsolidated affiliates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Distributions from unconsolidated affiliates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353</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other investing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Proceeds from the sale of OneDigital</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T-System Holding LLC, net of cash acquired</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Acquisition of Title Guaranty of Hawaii, net of cash acquired</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BPG Holdings, LLC, net of cash acquired</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Proceeds from sale of Cascade Timberlands</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Commissions, Inc., net of cash acquired</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Acquisition of eLynx Holdings, Inc., net of cash acquired</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Real Geeks, LLC and Sky Slope, Inc., net of cash acquired</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acquisitions/disposals of businesses, net of cash acquired</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r>
      <w:tr>
        <w:trPr>
          <w:trHeight w:val="25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w:t>
            </w:r>
          </w:p>
        </w:tc>
      </w:tr>
      <w:tr>
        <w:trPr>
          <w:trHeight w:val="244"/>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1,360</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Debt service payments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(996)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(1,359)</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investment in noncontrolling interest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Equity portion of debt conversions paid in cash</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Black Knight IPO</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Distributions by Black Knight to member</w:t>
            </w:r>
          </w:p>
        </w:tc>
        <w:tc>
          <w:tcPr>
            <w:tcW w:w="22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and equity issuance costs</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Black Knight treasury stock repurchases of BKFS stock</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transferred in J. Alexander's spin-off</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Cash transferred in the Black Knight spin-off</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transferred in the FNFV split-off</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76"/>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64"/>
        </w:trPr>
        <w:tc>
          <w:tcPr>
            <w:tcW w:w="8460" w:type="dxa"/>
            <w:vAlign w:val="bottom"/>
          </w:tcPr>
          <w:p>
            <w:pPr>
              <w:ind w:left="180"/>
              <w:spacing w:after="0"/>
              <w:rPr>
                <w:sz w:val="20"/>
                <w:szCs w:val="20"/>
                <w:color w:val="auto"/>
              </w:rPr>
            </w:pPr>
            <w:r>
              <w:rPr>
                <w:rFonts w:ascii="Arial" w:cs="Arial" w:eastAsia="Arial" w:hAnsi="Arial"/>
                <w:sz w:val="14"/>
                <w:szCs w:val="14"/>
                <w:color w:val="auto"/>
              </w:rPr>
              <w:t>Exercise of stock options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197"/>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55"/>
        </w:trPr>
        <w:tc>
          <w:tcPr>
            <w:tcW w:w="84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r>
    </w:tbl>
    <w:p>
      <w:pPr>
        <w:sectPr>
          <w:pgSz w:w="11900" w:h="16900" w:orient="portrait"/>
          <w:cols w:equalWidth="0" w:num="1">
            <w:col w:w="11420"/>
          </w:cols>
          <w:pgMar w:left="240" w:top="125" w:right="239" w:bottom="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8460" w:type="dxa"/>
            <w:vAlign w:val="bottom"/>
          </w:tcPr>
          <w:p>
            <w:pPr>
              <w:ind w:left="180"/>
              <w:spacing w:after="0"/>
              <w:rPr>
                <w:sz w:val="20"/>
                <w:szCs w:val="20"/>
                <w:color w:val="auto"/>
              </w:rPr>
            </w:pPr>
            <w:r>
              <w:rPr>
                <w:rFonts w:ascii="Arial" w:cs="Arial" w:eastAsia="Arial" w:hAnsi="Arial"/>
                <w:sz w:val="14"/>
                <w:szCs w:val="14"/>
                <w:color w:val="auto"/>
              </w:rPr>
              <w:t>Payment for shares withheld for taxes and in treasury</w:t>
            </w:r>
          </w:p>
        </w:tc>
        <w:tc>
          <w:tcPr>
            <w:tcW w:w="320" w:type="dxa"/>
            <w:vAlign w:val="bottom"/>
          </w:tcPr>
          <w:p>
            <w:pPr>
              <w:spacing w:after="0"/>
              <w:rPr>
                <w:sz w:val="15"/>
                <w:szCs w:val="15"/>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5"/>
        </w:trPr>
        <w:tc>
          <w:tcPr>
            <w:tcW w:w="8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treasury stock</w:t>
            </w:r>
          </w:p>
        </w:tc>
        <w:tc>
          <w:tcPr>
            <w:tcW w:w="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5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 excluding pledged cash related to secured trust deposits</w:t>
            </w: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year</w:t>
            </w: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year</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6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5"/>
          <w:szCs w:val="15"/>
          <w:b w:val="1"/>
          <w:bCs w:val="1"/>
          <w:color w:val="auto"/>
        </w:rPr>
        <w:t>Business and Summary of Significant Accounting Policies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leading provider of (i) title insurance, escrow and other title-related services, including trust activities, trustee sales guarantees, recordings and reconveyances and home warranty products and (ii) technology and transaction services to the real estate and mortgage industries. FNF is the nation’s largest title insurance company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R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30, 2017, FGL Holdings (formerly known as CF Corporation), a Cayman Islands exempted company, consummated its previously announced acquisition of Fidelity &amp; Guaranty Life, a Delaware corporation (“FGL”), pursuant to the Agreement and Plan of Merger, dated as of May 24, 2017, as amended (the “Merger Agreement”), by and among CF Corporation, FGL, and certain subsidiaries of CF Corporation and FGL (collectively, the "FGL Merger"). In connection with the FGL Merger, FNF received 13,732,000 common shares and 100,000 Series B Cumulative Preferred ("FG Preferred") shares in exchange for an aggregate investment of $213 million. As of December 31, 2017 FNF owns 16,732,000 common shares, inclusive of 3,000,000 common shares of CF Corporation held prior to the FGL Merger, and 100,000 FG Preferred shares with an aggregate market value of $246 million and we own approximately 8.5% of the outstanding common equity of FGL. The Company’s non-executive Chairman, William P. Foley, II, is also the Co-Executive Chairman of FGL.</w:t>
      </w:r>
    </w:p>
    <w:p>
      <w:pPr>
        <w:spacing w:after="0" w:line="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FNFV Split-Off was accomplished by the Company's redemption (the “Redemption”) of all of the outstanding shares of FNFV Group common stock, par value $0.0001 per share (“FNFV common stock”) for outstanding shares of common stock of Cannae, par value $0.0001 per share (“Cannae common stock”), amounting to a redemption on a per share basis of each outstanding share of FNFV common stock for one share of Cannae common stock, as of November 17, 2017. As a result of the FNFV Split-Off, Cannae is a separate, publicly traded company (NYSE: CNNE). All of the Company’s core title insurance, real estate, technology and mortgage related businesses, assets and liabilities currently attributed to the Company’s FNF Group common stock that are not held by Cannae remain with the Company. As a result of the FNFV Split-Off, we have reclassified the assets and liabilities divested as assets and liabilities of discontinued operations in our Consolidated Balance Sheet as of December 31, 2016. Further, the financial results of FNFV Group have been reclassified to discontinued operations for all periods presented in our Consolidated Statements of Earnings. See Note G.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for further details of the results of FNFV Group.</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November 17, 2017, Frank P. Willey resigned from our Board of Directors.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On September 29, 2017 we completed our tax-free distribution, to FNF Group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publicly-traded holding company, Black Knight, Inc. ("New Black Knight"). Holders of FNF Group common stock received approximately 0.30663 shares of New Black Knight common stock for every one share of FNF Group common stock held at the close of business on September 20, 2017, the record date for the BK Distribution. New Black Knight's common stock is now listed under the symbol “BKI” on the New York Stock Exchange. The BK Distribution is expected to generally be tax-free to FNF Group shareholders for U.S. federal income tax purposes, except to the extent of any cash received in lieu of New Black Knight's fractional shares. As a result of the BK Distribution, we have reclassified the assets and liabilities divested as assets and liabilities of discontinued operations in our Consolidated Balance Sheet as of December 31, 2016. Further, the financial results of Black Knight have been reclassified to discontinued operations for all periods presented in our Consolidated Statements of Earnings. See Note G.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for further details of the results of Black Knight.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8" w:name="page59"/>
    <w:bookmarkEnd w:id="5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August 31, 2017, we completed our acquisition of 90% of the membership interests of Title Guaranty of Hawaii ("Title Guaranty") for $98 million. Title Guaranty was previously an unaffiliated agent of Chicago Title and will continue to be closely aligned with Chicago Title as it formally becomes part of the FNF title company family. Founded in 1896, Title Guaranty is the oldest title company in the State of Hawaii and is a leading provider of title and escrow services, with more than 300 employees in branches across the State of Hawaii providing title insurance and real estate closing services. See Note B.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for further discussion.</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 2017, our Board of Directors adopted a resolution to increase the size of our Board of Directors to thirteen and elected Heather H. Murren to serve on our Board of Directors. Ms. Murren will serve in Class I of our Board of Directors, and her term will expire at the annual meeting of our shareholders to be held in 2018. In January 2018, Ms. Murren was appointed to the Audit Committee of our Board.</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March 1, 2017, three of the Company’s title insurance underwriters, Fidelity National Title Insurance Company, Chicago Title Insurance Company and Commonwealth Land Title Insurance Company, redomesticated from their respective former states of domicile to Florida (the "Redomestication"). In conjunction with the Redomestication, the Company received a special dividend of $280 million from these title insurance underwriters on March 15, 2017.</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accrued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securities and preferred stocks held are considered to be available for sale and carried at fair value as of the balance sheet dates. Our equity securities and certain preferred stocks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long-term investments consist of various cost-method investments and company-owned life insurance policies. The cost-method investments are carried at historical cost. The carrying value of our cost-method investments is $78 million and $6 million, at December 31, 2017 and 2016, respectively. Company-owned life insurance policies are carried at cash surrender value.</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Short-term investments, which consist primarily of commercial paper and money market instruments, which have an original maturity of one year or less, are carried at amortized cost, which approximates fair value.</w:t>
      </w:r>
    </w:p>
    <w:p>
      <w:pPr>
        <w:spacing w:after="0" w:line="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Realized gains and losses on the sale of investments are determined on the basis of the cost of the specific investments sold and are credited or charged to income on a trade date basis. Unrealized gains or losses on securities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9" w:name="page60"/>
    <w:bookmarkEnd w:id="5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completed annual goodwill impairment analyses in the fourth quarter of each period presented using a September 30 measurement date and as a result no goodwill impairments have been recorded. For the years ended December 31, 2017 and 2016, we determined there were no events or circumstances which indicated that the carrying value exceeded the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other intangible assets, not including goodwill, which consist primarily of customer relationships and contracts, trademarks and tradenames, and computer software, which are generally recorded in connection with acquisitions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generally 10 years, using an accelerated method which takes into consideration expected customer attrition rates. Contractual relationships are generally amortized over their contractual life. Trademarks and tradenames are generally amortized over 10 years. 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recorded $1 million in impairment expense to other intangible assets during the years ended December 31, 2017 and 2016. The impairment in 2017 was for computer software at ServiceLink. The impairment in 2016 was for customer relationships and tradenames at our real estate subsidiaries in our Corporate and Other segment. We recorded no impairment expense related to other intangible assets in the year ended December 31, 2015.</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Plants</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but recorded no impairment expense related to title plants in the years ended December 31, 2017 or 2016. We reviewed title plants for impairment in the year ended December 31, 2015 and identified and recorded impairment expense of $1 million.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60" w:name="page61"/>
    <w:bookmarkEnd w:id="6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Title Claim Losses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reserve for title claim losses also includes reserves for losses arising from closing and disbursement functions due to fraud or operational error.</w:t>
      </w:r>
    </w:p>
    <w:p>
      <w:pPr>
        <w:spacing w:after="0" w:line="10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$830 million and $860 million at December 31, 2017 and 2016, respectively, representing customers’ assets held by us and corresponding assets including cash and investments pledged as security for those trust balances.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Our direct title insurance premiums and escrow, title-related and other fees are recognized as revenue at the time of closing of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as the earnings process is then considered complete.</w:t>
      </w:r>
    </w:p>
    <w:p>
      <w:pPr>
        <w:spacing w:after="0" w:line="3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84 - 88% reported within three months following closing, an additional 9 - 12% reported within the next three months and the remainder within seven to fifteen months. In addition to accruing these earned but unreported agency premiums, we also accrue agent commission expense, which was 76.7%, of agent premiums earned in 2017, 76.1% of agent premiums earned in 2016, and 76.0% of agent premiums earned in 2015. We also record a provision for claim losses at the provision rate at the time we record the accrual for the premiums, which averaged 4.9% for 2017, 5.4%, excluding the release of excess reserves relating to prior years of $97 million, for 2016, and 5.7% for 2015 and accruals for premium taxes and other expenses relating to our premium accrual. The resulting impact to pretax earnings in any period is approximately 11% or less of the accrued premium amount. The impact of the change in the accrual for agency premiums and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1" w:right="239" w:bottom="1440" w:gutter="0" w:footer="0" w:header="0"/>
        </w:sectPr>
      </w:pPr>
    </w:p>
    <w:bookmarkStart w:id="61" w:name="page62"/>
    <w:bookmarkEnd w:id="6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related expenses on our pretax earnings was an increase of $1 million for the year ended December 31, 2017, an increase of $4 million for the year ended 2016 and a decrease of $5 million for the year ended 2015. The amount due from our agents relating to this accrual, i.e., the agent premium less their contractual retained commission, was approximately $55 million and $53 million at December 31, 2017 and 2016, respectively, which represents agency premiums of approximately $280 million and $267 million at December 31, 2017 and 2016, respectively, and agent commissions of $225 million and $214 million at December 31, 2017 and 2016, respectively.</w:t>
      </w:r>
    </w:p>
    <w:p>
      <w:pPr>
        <w:spacing w:after="0" w:line="5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Revenues from home warranty products are recognized over the life of the policy, which is one year. The unrecognized portion is recorded as deferred revenue in accounts payable and other accrued liabilities in the Consolidated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Earnings (Loss)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Realized gains and losses, net on the Consolidated Statements of Earnings.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balance of Other comprehensive earnings (loss) by component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89"/>
              </w:rPr>
              <w:t>Unrealized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Unrealized gain on investments</w:t>
            </w: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gain relating to</w:t>
            </w:r>
          </w:p>
        </w:tc>
        <w:tc>
          <w:tcPr>
            <w:tcW w:w="1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Unrealized (loss) gain</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5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and other financial instruments,</w:t>
            </w:r>
          </w:p>
        </w:tc>
        <w:tc>
          <w:tcPr>
            <w:tcW w:w="14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w w:val="87"/>
              </w:rPr>
              <w:t>investments in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foreign currency</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Minimum pension</w:t>
            </w:r>
          </w:p>
        </w:tc>
        <w:tc>
          <w:tcPr>
            <w:tcW w:w="140" w:type="dxa"/>
            <w:vAlign w:val="bottom"/>
          </w:tcPr>
          <w:p>
            <w:pPr>
              <w:spacing w:after="0"/>
              <w:rPr>
                <w:sz w:val="17"/>
                <w:szCs w:val="17"/>
                <w:color w:val="auto"/>
              </w:rPr>
            </w:pPr>
          </w:p>
        </w:tc>
        <w:tc>
          <w:tcPr>
            <w:tcW w:w="13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99"/>
        </w:trPr>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net (excluding investments in</w:t>
            </w:r>
          </w:p>
        </w:tc>
        <w:tc>
          <w:tcPr>
            <w:tcW w:w="140" w:type="dxa"/>
            <w:vAlign w:val="bottom"/>
          </w:tcPr>
          <w:p>
            <w:pPr>
              <w:spacing w:after="0"/>
              <w:rPr>
                <w:sz w:val="8"/>
                <w:szCs w:val="8"/>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89"/>
              </w:rPr>
              <w:t>unconsolidated</w:t>
            </w:r>
          </w:p>
        </w:tc>
        <w:tc>
          <w:tcPr>
            <w:tcW w:w="120" w:type="dxa"/>
            <w:vAlign w:val="bottom"/>
          </w:tcPr>
          <w:p>
            <w:pPr>
              <w:spacing w:after="0"/>
              <w:rPr>
                <w:sz w:val="8"/>
                <w:szCs w:val="8"/>
                <w:color w:val="auto"/>
              </w:rPr>
            </w:pP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translation and cash</w:t>
            </w:r>
          </w:p>
        </w:tc>
        <w:tc>
          <w:tcPr>
            <w:tcW w:w="200" w:type="dxa"/>
            <w:vAlign w:val="bottom"/>
          </w:tcPr>
          <w:p>
            <w:pPr>
              <w:spacing w:after="0"/>
              <w:rPr>
                <w:sz w:val="8"/>
                <w:szCs w:val="8"/>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4"/>
              </w:rPr>
              <w:t>liability</w:t>
            </w:r>
          </w:p>
        </w:tc>
        <w:tc>
          <w:tcPr>
            <w:tcW w:w="1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unconsolidated affiliates)</w:t>
            </w:r>
          </w:p>
        </w:tc>
        <w:tc>
          <w:tcPr>
            <w:tcW w:w="140" w:type="dxa"/>
            <w:vAlign w:val="bottom"/>
          </w:tcPr>
          <w:p>
            <w:pPr>
              <w:spacing w:after="0"/>
              <w:rPr>
                <w:sz w:val="3"/>
                <w:szCs w:val="3"/>
                <w:color w:val="auto"/>
              </w:rPr>
            </w:pPr>
          </w:p>
        </w:tc>
        <w:tc>
          <w:tcPr>
            <w:tcW w:w="1320" w:type="dxa"/>
            <w:vAlign w:val="bottom"/>
            <w:vMerge w:val="restart"/>
          </w:tcPr>
          <w:p>
            <w:pPr>
              <w:jc w:val="center"/>
              <w:ind w:right="54"/>
              <w:spacing w:after="0"/>
              <w:rPr>
                <w:sz w:val="20"/>
                <w:szCs w:val="20"/>
                <w:color w:val="auto"/>
              </w:rPr>
            </w:pPr>
            <w:r>
              <w:rPr>
                <w:rFonts w:ascii="Arial" w:cs="Arial" w:eastAsia="Arial" w:hAnsi="Arial"/>
                <w:sz w:val="16"/>
                <w:szCs w:val="16"/>
                <w:b w:val="1"/>
                <w:bCs w:val="1"/>
                <w:color w:val="auto"/>
                <w:w w:val="89"/>
              </w:rPr>
              <w:t>affiliates</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flow hedging</w:t>
            </w:r>
          </w:p>
        </w:tc>
        <w:tc>
          <w:tcPr>
            <w:tcW w:w="200" w:type="dxa"/>
            <w:vAlign w:val="bottom"/>
          </w:tcPr>
          <w:p>
            <w:pPr>
              <w:spacing w:after="0"/>
              <w:rPr>
                <w:sz w:val="3"/>
                <w:szCs w:val="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1"/>
              </w:rPr>
              <w:t>adjustment</w:t>
            </w:r>
          </w:p>
        </w:tc>
        <w:tc>
          <w:tcPr>
            <w:tcW w:w="1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(Loss) Earnings</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120" w:type="dxa"/>
            <w:vAlign w:val="bottom"/>
          </w:tcPr>
          <w:p>
            <w:pPr>
              <w:spacing w:after="0"/>
              <w:rPr>
                <w:sz w:val="22"/>
                <w:szCs w:val="22"/>
                <w:color w:val="auto"/>
              </w:rPr>
            </w:pPr>
          </w:p>
        </w:tc>
        <w:tc>
          <w:tcPr>
            <w:tcW w:w="232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Other comprehensive earnings</w:t>
            </w:r>
          </w:p>
        </w:tc>
        <w:tc>
          <w:tcPr>
            <w:tcW w:w="1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12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Other comprehensive earnings</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2640" w:type="dxa"/>
            <w:vAlign w:val="bottom"/>
          </w:tcPr>
          <w:p>
            <w:pPr>
              <w:ind w:left="280"/>
              <w:spacing w:after="0"/>
              <w:rPr>
                <w:sz w:val="20"/>
                <w:szCs w:val="20"/>
                <w:color w:val="auto"/>
              </w:rPr>
            </w:pPr>
            <w:r>
              <w:rPr>
                <w:rFonts w:ascii="Arial" w:cs="Arial" w:eastAsia="Arial" w:hAnsi="Arial"/>
                <w:sz w:val="18"/>
                <w:szCs w:val="18"/>
                <w:color w:val="auto"/>
              </w:rPr>
              <w:t>Reclassification adjustments</w:t>
            </w:r>
          </w:p>
        </w:tc>
        <w:tc>
          <w:tcPr>
            <w:tcW w:w="120" w:type="dxa"/>
            <w:vAlign w:val="bottom"/>
          </w:tcPr>
          <w:p>
            <w:pPr>
              <w:spacing w:after="0"/>
              <w:rPr>
                <w:sz w:val="21"/>
                <w:szCs w:val="21"/>
                <w:color w:val="auto"/>
              </w:rPr>
            </w:pPr>
          </w:p>
        </w:tc>
        <w:tc>
          <w:tcPr>
            <w:tcW w:w="23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 of FNFV to</w:t>
            </w:r>
          </w:p>
        </w:tc>
        <w:tc>
          <w:tcPr>
            <w:tcW w:w="1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Cannae Holdings</w:t>
            </w:r>
          </w:p>
        </w:tc>
        <w:tc>
          <w:tcPr>
            <w:tcW w:w="1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Balance December 31,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Subsequent to our acquisition of Lender Processing Services, Inc. ("LPS") in January 2014, we issued a 35% ownership interest in ServiceLink to funds affiliated with Thomas H. Lee Partners ("THL" or "the minority interest holder"). THL has an option to put its ownership interests of ServiceLink to us if no public offering of the corresponding business was consummated after four years from the date of FNF's purchase of LPS. The units owned by THL (the "redeemable noncontrolling interests") may be settled in cash or common stock of FNF or a combination of both at our election. As of January 2018, no public offering was made and the redeemable noncontrolling interests were no longer subject to a holding requirement. The redeemable noncontrolling interests will be settled at the current fair value at the time we receive notice of THL's put election as determined by the parties or by a third party appraisal under the terms of the Unit Purchase Agreement. As a result of a recapitalization of ServiceLink in 2015, the ownership interest by the minority interest holder was reduced from 35% to 21%. As of December 31, 2017, we do not believe the exercise of their remaining put right in ServiceLink to be probable.</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these redeemable noncontrolling interests provide for redemption features not solely within our control, we classify the redeemable noncontrolling interests outside of permanent equity. Redeemable noncontrolling interests held by third parties in subsidiaries owned or controlled by FNF is reported on the Consolidated Balance Sheet outside permanent of equity; and the Consolidated Statement of Earnings reflects the respective redeemable noncontrolling interests in Net earnings (loss) attributable to non-controlling interests, the effect of which is removed from the net earnings attributable to Fidelity National Financial, Inc. common shareholders.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62" w:name="page63"/>
    <w:bookmarkEnd w:id="6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For the year ended December 31, 2017, no antidilutive options were outstanding. For the year ended December 31, 2016 and 2015, options to purchase two million shares and one million shares, respectively, of our common stock were excluded from the computation of diluted earnings per share.</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Basic and diluted earnings per share attributable to our former FNFV group common stock for the 2017 period were calculated using weighted average shares outstanding through the date of the FNFV Split-off, November 17,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Reclassifications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reclassifications have been made in the 2016 and 2015 Consolidated Financial Statements to conform to classifications used in 2017. These reclassifications have not changed net earnings or total equity, as previously reported.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G.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information on reclassifications related to disposed businesses.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As of December 31, 2017, we have reclassified our Computer software to Other intangible assets, net. The impact for the Consolidated Balance Sheet as of December 31, 2016 was a decrease to Computer software and corresponding increase to Other intangible assets, net of $114 million. See Note H.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for further details.</w:t>
      </w:r>
    </w:p>
    <w:p>
      <w:pPr>
        <w:spacing w:after="0" w:line="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5"/>
          <w:szCs w:val="15"/>
          <w:b w:val="1"/>
          <w:bCs w:val="1"/>
          <w:color w:val="auto"/>
        </w:rPr>
        <w:t>Acquisitions</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Consolidated Financial Statements from and after the date of acquisition.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 Guaranty of Hawaii</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31, 2017, FNF Group completed its acquisition of 90% of the membership interest of Title Guaranty of Hawaii ("Title Guaranty") for $98 million. Title Guaranty was previously an unaffiliated agent and will continue to be closely aligned with Chicago Title as it formally becomes part of the FNF title company family. Founded in 1896, Title Guaranty is the oldest title company in the State of Hawaii and is a leading provider of title and escrow services, with more than 300 employees in branches across the State of Hawaii providing title insurance and real estate closing services. The acquisition does not meet the definition of "significant" pursuant to Article 3 of Regulation S-X (§210.3-05). Further, the results of operations are not material to our historical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3" w:name="page64"/>
    <w:bookmarkEnd w:id="6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paid total consideration, net of cash received, of $93 million in exchange for 90% of the equity interests of Title Guaranty. The total cash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paid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0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0"/>
        </w:trPr>
        <w:tc>
          <w:tcPr>
            <w:tcW w:w="10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price has been initially allocated to Title Guaranty's assets acquired and liabilities assumed based on our best estimates of their fair values as of the acquisition date. Goodwill has been recorded based on the amount that the purchase price exceeds the fair value of the net assets acquired. The goodwill recorded is expected to be deductible for tax purposes. These estimates are preliminary and subject to adjustments as we complete our valuation process with respect to Title plant, Goodwill, and Other intangible assets.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9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98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Title plant</w:t>
            </w: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988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988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r>
      <w:tr>
        <w:trPr>
          <w:trHeight w:val="27"/>
        </w:trPr>
        <w:tc>
          <w:tcPr>
            <w:tcW w:w="9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interests assumed</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37"/>
        </w:trPr>
        <w:tc>
          <w:tcPr>
            <w:tcW w:w="9880" w:type="dxa"/>
            <w:vAlign w:val="bottom"/>
          </w:tcPr>
          <w:p>
            <w:pPr>
              <w:ind w:left="360"/>
              <w:spacing w:after="0"/>
              <w:rPr>
                <w:sz w:val="20"/>
                <w:szCs w:val="20"/>
                <w:color w:val="auto"/>
              </w:rPr>
            </w:pPr>
            <w:r>
              <w:rPr>
                <w:rFonts w:ascii="Arial" w:cs="Arial" w:eastAsia="Arial" w:hAnsi="Arial"/>
                <w:sz w:val="18"/>
                <w:szCs w:val="18"/>
                <w:color w:val="auto"/>
              </w:rPr>
              <w:t>Total liabilities and equity assumed</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9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0"/>
        </w:trPr>
        <w:tc>
          <w:tcPr>
            <w:tcW w:w="9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Property and equipment and Other intangible assets acquired in the Title Guaranty acquisition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700" w:type="dxa"/>
            <w:vAlign w:val="bottom"/>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52</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4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64</w:t>
            </w: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Title Acquisitions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year ended December 31, 2016, we completed several acquisitions of businesses (the "Title Acquisitions") aligned with our Title segment.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Title Acquisitions do not meet the definition of "significant", individually or in the aggregate, pursuant to Article 3 of Regulation S-X (§210.3-05).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Further, their historical results of operations are not material to our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1" w:right="239" w:bottom="1440" w:gutter="0" w:footer="0" w:header="0"/>
          <w:type w:val="continuous"/>
        </w:sectPr>
      </w:pPr>
    </w:p>
    <w:bookmarkStart w:id="64" w:name="page65"/>
    <w:bookmarkEnd w:id="6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paid total consideration, net of cash received, of $89 million in exchange for the assets and/or equity interests of the Title Acquisitions. The total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0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0"/>
        </w:trPr>
        <w:tc>
          <w:tcPr>
            <w:tcW w:w="10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purchase price has been allocated to the Title Acquisitions' assets acquired and liabilities assumed based on our best estimates of their fair values as of the acquisition date. Goodwill has been recorded based on the amount that the purchase price exceeds the fair value of the net assets acquired.</w:t>
      </w:r>
    </w:p>
    <w:p>
      <w:pPr>
        <w:spacing w:after="0" w:line="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for the Title Acquisitions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notes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68</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plant</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37"/>
        </w:trPr>
        <w:tc>
          <w:tcPr>
            <w:tcW w:w="9340" w:type="dxa"/>
            <w:vAlign w:val="bottom"/>
          </w:tcPr>
          <w:p>
            <w:pPr>
              <w:ind w:left="26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Computer software and Other intangible assets acquired in the Title Acquisitions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208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Pr>
          <w:p>
            <w:pPr>
              <w:jc w:val="center"/>
              <w:ind w:left="17"/>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57</w:t>
            </w:r>
          </w:p>
        </w:tc>
        <w:tc>
          <w:tcPr>
            <w:tcW w:w="208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Trade name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080" w:type="dxa"/>
            <w:vAlign w:val="bottom"/>
          </w:tcPr>
          <w:p>
            <w:pPr>
              <w:jc w:val="center"/>
              <w:ind w:left="17"/>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Computer software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tcPr>
          <w:p>
            <w:pPr>
              <w:jc w:val="center"/>
              <w:ind w:left="17"/>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57"/>
        </w:trPr>
        <w:tc>
          <w:tcPr>
            <w:tcW w:w="6940" w:type="dxa"/>
            <w:vAlign w:val="bottom"/>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top w:val="single" w:sz="8" w:color="auto"/>
              <w:bottom w:val="single" w:sz="8" w:color="auto"/>
            </w:tcBorders>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68</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Real Geeks and SkySlope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year ended December 31, 2017, CINC and FNF completed their acquisitions of Real Geeks, LLC ("RG") and SkySlope, Inc. ("SS"), respectively (together, the "Real Estate Technology Acquisitions"). The Real Estate Technology Acquisitions were made to supplement our Commissions, Inc. ("CINC") business. The Real Estate Technology Acquisitions do not meet the definition of "significant", individually or in the aggregate, pursuant to Article 3 of Regulation S-X (§210.3-05). Further, their historical results of operations are not material to our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1" w:right="239" w:bottom="1440" w:gutter="0" w:footer="0" w:header="0"/>
          <w:type w:val="continuous"/>
        </w:sectPr>
      </w:pPr>
    </w:p>
    <w:bookmarkStart w:id="65" w:name="page66"/>
    <w:bookmarkEnd w:id="6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CINC and FNF paid total aggregate consideration, net of cash received, of $98 million in exchange for 100% and 67% of the equity interests of RG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SS, respectively. The total consideration paid was as follows (in millions):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Contingent consideration payable</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cash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price has been allocated to the Real Estate Technology Acquisitions' assets acquired and liabilities assumed based on our best estimates of their fair values as of the acquisition date. Goodwill has been recorded based on the amount that the purchase price exceeds the fair value of the net assets acquired. $37 million of the goodwill recorded is expected to be deductible for tax purposes. These estimates are preliminary and subject to adjustments as we complete our valuation process with respect to Goodwill and Other intangible assets.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for the Real Estate Technology Acquisitions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92</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934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r>
      <w:tr>
        <w:trPr>
          <w:trHeight w:val="27"/>
        </w:trPr>
        <w:tc>
          <w:tcPr>
            <w:tcW w:w="9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934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37"/>
        </w:trPr>
        <w:tc>
          <w:tcPr>
            <w:tcW w:w="93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9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9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equity assumed</w:t>
            </w:r>
          </w:p>
        </w:tc>
        <w:tc>
          <w:tcPr>
            <w:tcW w:w="2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r>
      <w:tr>
        <w:trPr>
          <w:trHeight w:val="257"/>
        </w:trPr>
        <w:tc>
          <w:tcPr>
            <w:tcW w:w="93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w:t>
            </w:r>
          </w:p>
        </w:tc>
      </w:tr>
      <w:tr>
        <w:trPr>
          <w:trHeight w:val="20"/>
        </w:trPr>
        <w:tc>
          <w:tcPr>
            <w:tcW w:w="9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the Other intangible assets acquired in the Real Estate Technology Acquisitions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700" w:type="dxa"/>
            <w:vAlign w:val="bottom"/>
            <w:tcBorders>
              <w:bottom w:val="single" w:sz="8" w:color="CCEEFF"/>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1 - 5</w:t>
            </w:r>
          </w:p>
        </w:tc>
        <w:tc>
          <w:tcPr>
            <w:tcW w:w="0" w:type="dxa"/>
            <w:vAlign w:val="bottom"/>
          </w:tcPr>
          <w:p>
            <w:pPr>
              <w:spacing w:after="0"/>
              <w:rPr>
                <w:sz w:val="1"/>
                <w:szCs w:val="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14</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Trade name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Computer software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17</w:t>
            </w:r>
          </w:p>
        </w:tc>
        <w:tc>
          <w:tcPr>
            <w:tcW w:w="20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
        </w:trPr>
        <w:tc>
          <w:tcPr>
            <w:tcW w:w="69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bottom w:val="single" w:sz="8" w:color="auto"/>
            </w:tcBorders>
            <w:shd w:val="clear" w:color="auto" w:fill="CCEEFF"/>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Commissions, Inc.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23, 2016, we completed our acquisition of CINC, a leading provider of web-based real estate marketing and customer relationship management software for elite Realtors® and agent teams across North America, for $229 million. CINC’s product offerings include software, marketing and services designed to enhance the productivity and sales results of elite Realtors® and agent teams through lead generation and proactive lead management. CINC's financial position and results of operations from the acquisition date are included in our Corporate and Other segment. The acquisition does not meet the definition of "significant" pursuant to Article 3 of Regulation S-X (§210.3-05). Further, the results of operations are not material to our historical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1" w:right="239" w:bottom="1440" w:gutter="0" w:footer="0" w:header="0"/>
          <w:type w:val="continuous"/>
        </w:sectPr>
      </w:pPr>
    </w:p>
    <w:bookmarkStart w:id="66" w:name="page67"/>
    <w:bookmarkEnd w:id="6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paid total consideration, net of cash received, of $229 million in exchange for 95% of the equity interests of CINC. The total consideration paid was as follows (in millions):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r>
      <w:tr>
        <w:trPr>
          <w:trHeight w:val="243"/>
        </w:trPr>
        <w:tc>
          <w:tcPr>
            <w:tcW w:w="10260" w:type="dxa"/>
            <w:vAlign w:val="bottom"/>
          </w:tcPr>
          <w:p>
            <w:pPr>
              <w:ind w:left="20"/>
              <w:spacing w:after="0"/>
              <w:rPr>
                <w:sz w:val="20"/>
                <w:szCs w:val="20"/>
                <w:color w:val="auto"/>
              </w:rPr>
            </w:pPr>
            <w:r>
              <w:rPr>
                <w:rFonts w:ascii="Arial" w:cs="Arial" w:eastAsia="Arial" w:hAnsi="Arial"/>
                <w:sz w:val="18"/>
                <w:szCs w:val="18"/>
                <w:color w:val="auto"/>
              </w:rPr>
              <w:t>Less: Cash Acquired</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0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consideration paid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0"/>
        </w:trPr>
        <w:tc>
          <w:tcPr>
            <w:tcW w:w="10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purchase price has been initially allocated to CINC's assets acquired and liabilities assumed based on our best estimates of their fair values as of the acquisition date. Goodwill has been recorded based on the amount that the purchase price exceeds the fair value of the net assets acquired.</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total purchase price consideration and the preliminary fair value amounts recognized for the assets acquired and liabilities assumed as of the acquisition date (in millions):</w:t>
      </w:r>
    </w:p>
    <w:p>
      <w:pPr>
        <w:spacing w:after="0" w:line="22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notes receivable,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Prepaid and other assets</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165</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receivable</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37"/>
        </w:trPr>
        <w:tc>
          <w:tcPr>
            <w:tcW w:w="912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260</w:t>
            </w: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9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9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9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and equity assumed</w:t>
            </w: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57"/>
        </w:trPr>
        <w:tc>
          <w:tcPr>
            <w:tcW w:w="912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r>
      <w:tr>
        <w:trPr>
          <w:trHeight w:val="20"/>
        </w:trPr>
        <w:tc>
          <w:tcPr>
            <w:tcW w:w="9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Computer software and Other intangible assets acquired in the CINC acquisition consist of the following (dollars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Gross Carrying Value</w:t>
            </w:r>
          </w:p>
        </w:tc>
        <w:tc>
          <w:tcPr>
            <w:tcW w:w="300" w:type="dxa"/>
            <w:vAlign w:val="bottom"/>
          </w:tcPr>
          <w:p>
            <w:pPr>
              <w:spacing w:after="0"/>
              <w:rPr>
                <w:sz w:val="12"/>
                <w:szCs w:val="12"/>
                <w:color w:val="auto"/>
              </w:rPr>
            </w:pPr>
          </w:p>
        </w:tc>
        <w:tc>
          <w:tcPr>
            <w:tcW w:w="2080" w:type="dxa"/>
            <w:vAlign w:val="bottom"/>
          </w:tcPr>
          <w:p>
            <w:pPr>
              <w:jc w:val="center"/>
              <w:ind w:left="18"/>
              <w:spacing w:after="0" w:line="149" w:lineRule="exact"/>
              <w:rPr>
                <w:sz w:val="20"/>
                <w:szCs w:val="20"/>
                <w:color w:val="auto"/>
              </w:rPr>
            </w:pPr>
            <w:r>
              <w:rPr>
                <w:rFonts w:ascii="Arial" w:cs="Arial" w:eastAsia="Arial" w:hAnsi="Arial"/>
                <w:sz w:val="14"/>
                <w:szCs w:val="14"/>
                <w:b w:val="1"/>
                <w:bCs w:val="1"/>
                <w:color w:val="auto"/>
                <w:w w:val="94"/>
              </w:rPr>
              <w:t>Estimated Useful Life</w:t>
            </w:r>
          </w:p>
        </w:tc>
        <w:tc>
          <w:tcPr>
            <w:tcW w:w="0" w:type="dxa"/>
            <w:vAlign w:val="bottom"/>
          </w:tcPr>
          <w:p>
            <w:pPr>
              <w:spacing w:after="0"/>
              <w:rPr>
                <w:sz w:val="1"/>
                <w:szCs w:val="1"/>
                <w:color w:val="auto"/>
              </w:rPr>
            </w:pPr>
          </w:p>
        </w:tc>
      </w:tr>
      <w:tr>
        <w:trPr>
          <w:trHeight w:val="192"/>
        </w:trPr>
        <w:tc>
          <w:tcPr>
            <w:tcW w:w="69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CCEEFF"/>
            </w:tcBorders>
          </w:tcPr>
          <w:p>
            <w:pPr>
              <w:jc w:val="center"/>
              <w:ind w:left="18"/>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700" w:type="dxa"/>
            <w:vAlign w:val="bottom"/>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46</w:t>
            </w:r>
          </w:p>
        </w:tc>
        <w:tc>
          <w:tcPr>
            <w:tcW w:w="2080" w:type="dxa"/>
            <w:vAlign w:val="bottom"/>
          </w:tcPr>
          <w:p>
            <w:pPr>
              <w:jc w:val="center"/>
              <w:ind w:left="18"/>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Tradename</w:t>
            </w:r>
          </w:p>
        </w:tc>
        <w:tc>
          <w:tcPr>
            <w:tcW w:w="17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13</w:t>
            </w:r>
          </w:p>
        </w:tc>
        <w:tc>
          <w:tcPr>
            <w:tcW w:w="208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940" w:type="dxa"/>
            <w:vAlign w:val="bottom"/>
          </w:tcPr>
          <w:p>
            <w:pPr>
              <w:ind w:left="380"/>
              <w:spacing w:after="0"/>
              <w:rPr>
                <w:sz w:val="20"/>
                <w:szCs w:val="20"/>
                <w:color w:val="auto"/>
              </w:rPr>
            </w:pPr>
            <w:r>
              <w:rPr>
                <w:rFonts w:ascii="Arial" w:cs="Arial" w:eastAsia="Arial" w:hAnsi="Arial"/>
                <w:sz w:val="18"/>
                <w:szCs w:val="18"/>
                <w:color w:val="auto"/>
              </w:rPr>
              <w:t>Computer software</w:t>
            </w:r>
          </w:p>
        </w:tc>
        <w:tc>
          <w:tcPr>
            <w:tcW w:w="17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28</w:t>
            </w:r>
          </w:p>
        </w:tc>
        <w:tc>
          <w:tcPr>
            <w:tcW w:w="2080" w:type="dxa"/>
            <w:vAlign w:val="bottom"/>
          </w:tcPr>
          <w:p>
            <w:pPr>
              <w:jc w:val="center"/>
              <w:ind w:left="18"/>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Non-compete agreements</w:t>
            </w:r>
          </w:p>
        </w:tc>
        <w:tc>
          <w:tcPr>
            <w:tcW w:w="17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80" w:type="dxa"/>
            <w:vAlign w:val="bottom"/>
            <w:tcBorders>
              <w:bottom w:val="single" w:sz="8" w:color="CCEEFF"/>
            </w:tcBorders>
            <w:shd w:val="clear" w:color="auto" w:fill="CCEEFF"/>
          </w:tcPr>
          <w:p>
            <w:pPr>
              <w:jc w:val="center"/>
              <w:ind w:left="18"/>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57"/>
        </w:trPr>
        <w:tc>
          <w:tcPr>
            <w:tcW w:w="6940" w:type="dxa"/>
            <w:vAlign w:val="bottom"/>
          </w:tcPr>
          <w:p>
            <w:pPr>
              <w:ind w:left="500"/>
              <w:spacing w:after="0"/>
              <w:rPr>
                <w:sz w:val="20"/>
                <w:szCs w:val="20"/>
                <w:color w:val="auto"/>
              </w:rPr>
            </w:pPr>
            <w:r>
              <w:rPr>
                <w:rFonts w:ascii="Arial" w:cs="Arial" w:eastAsia="Arial" w:hAnsi="Arial"/>
                <w:sz w:val="18"/>
                <w:szCs w:val="18"/>
                <w:color w:val="auto"/>
              </w:rPr>
              <w:t>Total Other intangible assets</w:t>
            </w:r>
          </w:p>
        </w:tc>
        <w:tc>
          <w:tcPr>
            <w:tcW w:w="1700" w:type="dxa"/>
            <w:vAlign w:val="bottom"/>
            <w:tcBorders>
              <w:top w:val="single" w:sz="8" w:color="auto"/>
              <w:bottom w:val="single" w:sz="8" w:color="auto"/>
            </w:tcBorders>
          </w:tcPr>
          <w:p>
            <w:pPr>
              <w:jc w:val="right"/>
              <w:ind w:right="14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90</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comparative purposes, selected unaudited pro-forma consolidated results of operations of FNF for the years ended December 31, 2016 and 2015 are presented below. Pro-forma results presented assume the consolidation of CINC occurred as of the beginning of the 2015 period. Amounts reflect our 95% ownership interest in CINC and are adjusted to exclude costs directly attributable to the acquisition of CINC, including transaction costs.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6,695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28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529</w:t>
            </w:r>
          </w:p>
        </w:tc>
      </w:tr>
      <w:tr>
        <w:trPr>
          <w:trHeight w:val="918"/>
        </w:trPr>
        <w:tc>
          <w:tcPr>
            <w:tcW w:w="9020" w:type="dxa"/>
            <w:vAlign w:val="bottom"/>
          </w:tcPr>
          <w:p>
            <w:pPr>
              <w:jc w:val="right"/>
              <w:ind w:right="313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Fair Value Measurements</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measured at fair value on a recurring basis as of December 31, 2017 and 2016,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391</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2,816</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1,508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386</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2,690</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3,108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Level 2 fair value measures for preferred stock and fixed-maturity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8" w:name="page69"/>
    <w:bookmarkEnd w:id="6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independently comparing the resulting prices to other publicly available measures of fair value and internally developed models. The pricing methodologies used by the relevant third party pricing services are as follows:</w:t>
      </w:r>
    </w:p>
    <w:p>
      <w:pPr>
        <w:spacing w:after="0" w:line="35" w:lineRule="exact"/>
        <w:rPr>
          <w:sz w:val="20"/>
          <w:szCs w:val="20"/>
          <w:color w:val="auto"/>
        </w:rPr>
      </w:pPr>
    </w:p>
    <w:p>
      <w:pPr>
        <w:ind w:left="660" w:right="2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2016 we held no material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transfers of assets or liabilities measured at fair value using Level 1 inputs to Level 2 in the years ended December 31, 2017 or 2016.</w:t>
      </w:r>
    </w:p>
    <w:p>
      <w:pPr>
        <w:spacing w:after="0" w:line="14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carrying amounts of short-term investments, accounts receivable and notes receivable approximate fair value due to their short-term nature. The fair value of our notes payable is included in Note J </w:t>
      </w:r>
      <w:r>
        <w:rPr>
          <w:rFonts w:ascii="Arial" w:cs="Arial" w:eastAsia="Arial" w:hAnsi="Arial"/>
          <w:sz w:val="18"/>
          <w:szCs w:val="18"/>
          <w:i w:val="1"/>
          <w:iCs w:val="1"/>
          <w:color w:val="auto"/>
        </w:rPr>
        <w:t>Notes Payable</w:t>
      </w:r>
      <w:r>
        <w:rPr>
          <w:rFonts w:ascii="Arial" w:cs="Arial" w:eastAsia="Arial" w:hAnsi="Arial"/>
          <w:sz w:val="18"/>
          <w:szCs w:val="18"/>
          <w:color w:val="auto"/>
        </w:rPr>
        <w: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Additional information regarding the fair value of our investment portfolio is included in Note D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1" w:right="239" w:bottom="1440" w:gutter="0" w:footer="0" w:header="0"/>
        </w:sectPr>
      </w:pPr>
    </w:p>
    <w:bookmarkStart w:id="69" w:name="page70"/>
    <w:bookmarkEnd w:id="6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5"/>
          <w:szCs w:val="15"/>
          <w:b w:val="1"/>
          <w:bCs w:val="1"/>
          <w:color w:val="auto"/>
        </w:rPr>
        <w:t>Investments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fair values of our available for sale securities at December 31, 2017 and 2016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2,630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cost basis of fixed maturity securities available for sale includes an adjustment for amortized premium or discount since the date of purchase.</w:t>
      </w:r>
    </w:p>
    <w:p>
      <w:pPr>
        <w:spacing w:after="0" w:line="1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net unrealized gains and (losses) on fixed maturities for the years ended December 31, 2017, 2016, and 2015 was $(1) million, $13 million, and $(64) million, respectively.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w w:val="96"/>
              </w:rPr>
              <w:t>Maturity</w:t>
            </w:r>
          </w:p>
        </w:tc>
        <w:tc>
          <w:tcPr>
            <w:tcW w:w="36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1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36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Amortized Cost</w:t>
            </w:r>
          </w:p>
        </w:tc>
        <w:tc>
          <w:tcPr>
            <w:tcW w:w="1220" w:type="dxa"/>
            <w:vAlign w:val="bottom"/>
            <w:gridSpan w:val="2"/>
          </w:tcPr>
          <w:p>
            <w:pPr>
              <w:ind w:left="400"/>
              <w:spacing w:after="0" w:line="12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Value</w:t>
            </w:r>
          </w:p>
        </w:tc>
        <w:tc>
          <w:tcPr>
            <w:tcW w:w="1100" w:type="dxa"/>
            <w:vAlign w:val="bottom"/>
          </w:tcPr>
          <w:p>
            <w:pPr>
              <w:jc w:val="right"/>
              <w:ind w:right="294"/>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860" w:type="dxa"/>
            <w:vAlign w:val="bottom"/>
            <w:tcBorders>
              <w:bottom w:val="single" w:sz="8" w:color="CCEEFF"/>
            </w:tcBorders>
            <w:gridSpan w:val="2"/>
            <w:shd w:val="clear" w:color="auto" w:fill="CCEEFF"/>
          </w:tcPr>
          <w:p>
            <w:pPr>
              <w:ind w:left="25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After one year through five years</w:t>
            </w:r>
          </w:p>
        </w:tc>
        <w:tc>
          <w:tcPr>
            <w:tcW w:w="2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2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After ten years</w:t>
            </w:r>
          </w:p>
        </w:tc>
        <w:tc>
          <w:tcPr>
            <w:tcW w:w="2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25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540" w:type="dxa"/>
            <w:vAlign w:val="bottom"/>
            <w:vMerge w:val="restart"/>
          </w:tcPr>
          <w:p>
            <w:pPr>
              <w:jc w:val="right"/>
              <w:ind w:right="970"/>
              <w:spacing w:after="0"/>
              <w:rPr>
                <w:sz w:val="20"/>
                <w:szCs w:val="20"/>
                <w:color w:val="auto"/>
              </w:rPr>
            </w:pPr>
            <w:r>
              <w:rPr>
                <w:rFonts w:ascii="Arial" w:cs="Arial" w:eastAsia="Arial" w:hAnsi="Arial"/>
                <w:sz w:val="18"/>
                <w:szCs w:val="18"/>
                <w:color w:val="auto"/>
              </w:rPr>
              <w:t>66</w:t>
            </w: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Fixed maturity securities valued at approximately $128 million and $123 million were on deposit with various governmental authorities at December 31, 2017 and 2016, respectively, as required by law.</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are carried at fair value. The change in net unrealized gains and losses on equity securities for the years ended December 31, 2017, 2016 and 2015 was a net increase (decrease) of $56 million, $39 million, and $(4) million, respectively.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2017 and 2016 are as follows (in millions):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December 31, 2017</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December 31, 2016</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States and political subdivisions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unrealized losses for the corporate debt securities and U.S. government bonds were primarily caused by fluctuations in interest rates. The unrealized losses for the foreign government bonds were primarily caused by foreign exchange fluctuations. We consider the unrealized losses related to these securities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For these reasons, we do not consider these securities other-than-temporarily impaired at December 31, 2017.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4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unrealized losses for the equity securities available for sale were primarily caused by market volatility in certain investees and market sectors. We expect to recover the entire cost basis of our temporarily impaired equity securities available for sale as we do not intend to sell these securities and we do not believe that we will be required to sell the securities before recovery of the cost basis. For these reasons, we do not consider these securities other-than-temporarily impaired at December 31, 2017.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2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years ended December 31, 2017, 2016 and 2015 we incurred impairment charges relating to investments that were determined to be other-than-temporarily impaired, which resulted in impairment charges of $1 million, $19 million and $14 million, respectively. The impairment charges in 2017 related to a fixed maturity security of an investee entering Chapter 11 bankruptcy which has exhibited a decreasing fair market value and from which we are uncertain of our ability to recover our initial investment.The impairment charges in 2016 related to fixed maturity securities of $13 million, an investment in an unconsolidated affiliate of $3 million, and an other long term investment of $3 million. In each case, we determined the credit risk of the holdings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1" w:right="239" w:bottom="1440" w:gutter="0" w:footer="0" w:header="0"/>
        </w:sectPr>
      </w:pPr>
    </w:p>
    <w:bookmarkStart w:id="71" w:name="page72"/>
    <w:bookmarkEnd w:id="7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was high and the ability to recover our investment was unlikely. Impairment charges in the 2015 period was for a fixed maturity security that we determined the credit risk was high and the ability of the issuer to pay the full amount of the principal outstanding was unlikely.</w:t>
      </w:r>
    </w:p>
    <w:p>
      <w:pPr>
        <w:spacing w:after="0" w:line="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2017, we held no securities for which other-than-temporary impairments had been previously recognized. As of December 31, 2016, we held $7 million investments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consolidated financial statements.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years ended December 31, 2017, 2016, and 2015,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2017</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Loss on debt conversions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realized gains and losses, net</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2016</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44"/>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4</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61"/>
              <w:spacing w:after="0"/>
              <w:rPr>
                <w:sz w:val="20"/>
                <w:szCs w:val="20"/>
                <w:color w:val="auto"/>
              </w:rPr>
            </w:pPr>
            <w:r>
              <w:rPr>
                <w:rFonts w:ascii="Arial" w:cs="Arial" w:eastAsia="Arial" w:hAnsi="Arial"/>
                <w:sz w:val="18"/>
                <w:szCs w:val="18"/>
                <w:color w:val="auto"/>
              </w:rPr>
              <w:t>(16)</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80" w:type="dxa"/>
            <w:vAlign w:val="bottom"/>
          </w:tcPr>
          <w:p>
            <w:pPr>
              <w:jc w:val="right"/>
              <w:ind w:right="6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2015</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80" w:type="dxa"/>
            <w:vAlign w:val="bottom"/>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1" w:right="239" w:bottom="1440" w:gutter="0" w:footer="0" w:header="0"/>
          <w:type w:val="continuous"/>
        </w:sectPr>
      </w:pPr>
    </w:p>
    <w:bookmarkStart w:id="72" w:name="page73"/>
    <w:bookmarkEnd w:id="7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investment income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9"/>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 and preferred stock available for sale</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1020" w:type="dxa"/>
            <w:vAlign w:val="bottom"/>
          </w:tcPr>
          <w:p>
            <w:pPr>
              <w:ind w:left="40"/>
              <w:spacing w:after="0"/>
              <w:rPr>
                <w:sz w:val="20"/>
                <w:szCs w:val="20"/>
                <w:color w:val="auto"/>
              </w:rPr>
            </w:pPr>
            <w:r>
              <w:rPr>
                <w:rFonts w:ascii="Arial" w:cs="Arial" w:eastAsia="Arial" w:hAnsi="Arial"/>
                <w:sz w:val="18"/>
                <w:szCs w:val="18"/>
                <w:color w:val="auto"/>
              </w:rPr>
              <w:t>Total</w:t>
            </w:r>
          </w:p>
        </w:tc>
        <w:tc>
          <w:tcPr>
            <w:tcW w:w="7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Note E.</w:t>
            </w:r>
          </w:p>
        </w:tc>
        <w:tc>
          <w:tcPr>
            <w:tcW w:w="710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Property and Equipment</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20" w:type="dxa"/>
            <w:vAlign w:val="bottom"/>
            <w:vMerge w:val="continue"/>
          </w:tcPr>
          <w:p>
            <w:pPr>
              <w:spacing w:after="0"/>
              <w:rPr>
                <w:sz w:val="24"/>
                <w:szCs w:val="24"/>
                <w:color w:val="auto"/>
              </w:rPr>
            </w:pPr>
          </w:p>
        </w:tc>
        <w:tc>
          <w:tcPr>
            <w:tcW w:w="7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gridSpan w:val="2"/>
          </w:tcPr>
          <w:p>
            <w:pPr>
              <w:ind w:left="300"/>
              <w:spacing w:after="0"/>
              <w:rPr>
                <w:sz w:val="20"/>
                <w:szCs w:val="20"/>
                <w:color w:val="auto"/>
              </w:rPr>
            </w:pPr>
            <w:r>
              <w:rPr>
                <w:rFonts w:ascii="Arial" w:cs="Arial" w:eastAsia="Arial" w:hAnsi="Arial"/>
                <w:sz w:val="18"/>
                <w:szCs w:val="18"/>
                <w:color w:val="auto"/>
              </w:rPr>
              <w:t>Property and equipment consists of the following:</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020" w:type="dxa"/>
            <w:vAlign w:val="bottom"/>
          </w:tcPr>
          <w:p>
            <w:pPr>
              <w:ind w:left="40"/>
              <w:spacing w:after="0"/>
              <w:rPr>
                <w:sz w:val="20"/>
                <w:szCs w:val="20"/>
                <w:color w:val="auto"/>
              </w:rPr>
            </w:pPr>
            <w:r>
              <w:rPr>
                <w:rFonts w:ascii="Arial" w:cs="Arial" w:eastAsia="Arial" w:hAnsi="Arial"/>
                <w:sz w:val="18"/>
                <w:szCs w:val="18"/>
                <w:color w:val="auto"/>
              </w:rPr>
              <w:t>Land</w:t>
            </w:r>
          </w:p>
        </w:tc>
        <w:tc>
          <w:tcPr>
            <w:tcW w:w="7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7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Data processing equipment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7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on property and equipment was $48 million, $45 million, and $42 million for the years ended December 31, 2017, 2016, and 2015,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F.</w:t>
            </w:r>
          </w:p>
        </w:tc>
        <w:tc>
          <w:tcPr>
            <w:tcW w:w="7200" w:type="dxa"/>
            <w:vAlign w:val="bottom"/>
          </w:tcPr>
          <w:p>
            <w:pPr>
              <w:ind w:left="380"/>
              <w:spacing w:after="0"/>
              <w:rPr>
                <w:sz w:val="20"/>
                <w:szCs w:val="20"/>
                <w:color w:val="auto"/>
              </w:rPr>
            </w:pPr>
            <w:r>
              <w:rPr>
                <w:rFonts w:ascii="Arial" w:cs="Arial" w:eastAsia="Arial" w:hAnsi="Arial"/>
                <w:sz w:val="18"/>
                <w:szCs w:val="18"/>
                <w:b w:val="1"/>
                <w:bCs w:val="1"/>
                <w:color w:val="auto"/>
              </w:rPr>
              <w:t>Goodwill</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120" w:type="dxa"/>
            <w:vAlign w:val="bottom"/>
            <w:gridSpan w:val="2"/>
          </w:tcPr>
          <w:p>
            <w:pPr>
              <w:ind w:left="340"/>
              <w:spacing w:after="0"/>
              <w:rPr>
                <w:sz w:val="20"/>
                <w:szCs w:val="20"/>
                <w:color w:val="auto"/>
              </w:rPr>
            </w:pPr>
            <w:r>
              <w:rPr>
                <w:rFonts w:ascii="Arial" w:cs="Arial" w:eastAsia="Arial" w:hAnsi="Arial"/>
                <w:sz w:val="18"/>
                <w:szCs w:val="18"/>
                <w:color w:val="auto"/>
              </w:rPr>
              <w:t>Goodwill consists of the following: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Goodwill acquired during the year (1)</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acquired during the year (1)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Adjustments to prior year acquisitions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See Note B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for further discussion of significant goodwill acquired.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3" w:name="page74"/>
    <w:bookmarkEnd w:id="7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G.</w:t>
      </w:r>
      <w:r>
        <w:rPr>
          <w:sz w:val="20"/>
          <w:szCs w:val="20"/>
          <w:color w:val="auto"/>
        </w:rPr>
        <w:tab/>
      </w:r>
      <w:r>
        <w:rPr>
          <w:rFonts w:ascii="Arial" w:cs="Arial" w:eastAsia="Arial" w:hAnsi="Arial"/>
          <w:sz w:val="16"/>
          <w:szCs w:val="16"/>
          <w:b w:val="1"/>
          <w:bCs w:val="1"/>
          <w:color w:val="auto"/>
        </w:rPr>
        <w:t>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BK Distribution, we have reclassified the assets and liabilities divested as assets and liabilities of discontinued operations in our Consolidated Balance Sheet as of December 31, 2016. Further, the financial results of Black Knight have been reclassified to discontinued operations for all periods presented in our Consolidated Statements of Earnings. We retained no ownership in Black Knight.</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various agreements with Black Knight to provide technology, data and analytics services, as well as corporate shared services and information technology. We are also a party to certain other agreements under which we incur other expenses or receive revenues from Black Knight. We expect to continue utilizing Black Knight to provide technology and data and analytics services for the foreseeable future. Subsequent to the BK Distribution, Black Knight is considered a related party for FNF. The cash inflows and outflows from and to Black Knight as well as revenues and expenses included in continuing operations subsequent to September 29, 2017, the date of the BK Distribution, which were previously eliminated in our consolidated financial statements as intra-entity transactions, are not material to our results of operations for the year ended December 31, 2017.</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Black Knight included in discontinued operations is shown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gridSpan w:val="6"/>
          </w:tcPr>
          <w:p>
            <w:pPr>
              <w:jc w:val="center"/>
              <w:ind w:left="19"/>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7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Revenues:</w:t>
            </w: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Expenses:</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7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97"/>
              </w:rPr>
              <w:t>145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156</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7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Earnings from discontinued operations before income taxes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earnings from discontinued operations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8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257"/>
        </w:trPr>
        <w:tc>
          <w:tcPr>
            <w:tcW w:w="77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flow from discontinued operations data:</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operations</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7"/>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w:t>
            </w:r>
          </w:p>
        </w:tc>
      </w:tr>
    </w:tbl>
    <w:p>
      <w:pPr>
        <w:spacing w:after="0" w:line="200" w:lineRule="exact"/>
        <w:rPr>
          <w:sz w:val="20"/>
          <w:szCs w:val="20"/>
          <w:color w:val="auto"/>
        </w:rPr>
      </w:pPr>
    </w:p>
    <w:p>
      <w:pPr>
        <w:sectPr>
          <w:pgSz w:w="11900" w:h="16838" w:orient="portrait"/>
          <w:cols w:equalWidth="0" w:num="1">
            <w:col w:w="11420"/>
          </w:cols>
          <w:pgMar w:left="240" w:top="121" w:right="2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1" w:right="239" w:bottom="730" w:gutter="0" w:footer="0" w:header="0"/>
          <w:type w:val="continuous"/>
        </w:sectPr>
      </w:pPr>
    </w:p>
    <w:bookmarkStart w:id="74" w:name="page75"/>
    <w:bookmarkEnd w:id="7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financial position of Black Knight included as assets and liabilities of discontinued operations is shown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293"/>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2016</w:t>
            </w:r>
          </w:p>
        </w:tc>
      </w:tr>
      <w:tr>
        <w:trPr>
          <w:trHeight w:val="223"/>
        </w:trPr>
        <w:tc>
          <w:tcPr>
            <w:tcW w:w="9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center"/>
              <w:ind w:right="23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Short term investments</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4</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and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2,304</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Capitalized software, net</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450</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173</w:t>
            </w:r>
          </w:p>
        </w:tc>
      </w:tr>
      <w:tr>
        <w:trPr>
          <w:trHeight w:val="27"/>
        </w:trPr>
        <w:tc>
          <w:tcPr>
            <w:tcW w:w="9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of discontinued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3,761</w:t>
            </w:r>
          </w:p>
        </w:tc>
      </w:tr>
      <w:tr>
        <w:trPr>
          <w:trHeight w:val="20"/>
        </w:trPr>
        <w:tc>
          <w:tcPr>
            <w:tcW w:w="9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84"/>
        </w:trPr>
        <w:tc>
          <w:tcPr>
            <w:tcW w:w="9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1,526</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1620" w:type="dxa"/>
            <w:vAlign w:val="bottom"/>
          </w:tcPr>
          <w:p>
            <w:pPr>
              <w:jc w:val="right"/>
              <w:ind w:right="33"/>
              <w:spacing w:after="0"/>
              <w:rPr>
                <w:sz w:val="20"/>
                <w:szCs w:val="20"/>
                <w:color w:val="auto"/>
              </w:rPr>
            </w:pPr>
            <w:r>
              <w:rPr>
                <w:rFonts w:ascii="Arial" w:cs="Arial" w:eastAsia="Arial" w:hAnsi="Arial"/>
                <w:sz w:val="18"/>
                <w:szCs w:val="18"/>
                <w:color w:val="auto"/>
              </w:rPr>
              <w:t>334</w:t>
            </w:r>
          </w:p>
        </w:tc>
      </w:tr>
      <w:tr>
        <w:trPr>
          <w:trHeight w:val="27"/>
        </w:trPr>
        <w:tc>
          <w:tcPr>
            <w:tcW w:w="9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of discontinued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2,173</w:t>
            </w:r>
          </w:p>
        </w:tc>
      </w:tr>
      <w:tr>
        <w:trPr>
          <w:trHeight w:val="20"/>
        </w:trPr>
        <w:tc>
          <w:tcPr>
            <w:tcW w:w="9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FNFV Split-Off we have reclassified the assets and liabilities divested as assets and liabilities of discontinued operations in our Consolidated Balance Sheet as of December 31, 2016. Further, the financial results of FNFV Group have been reclassified to discontinued operations for all periods presented in our Consolidated Statements of Earnings. Subsequent to the FNFV Split-Off, Cannae is considered a related party for FNF. The cash inflows and outflows from and to Cannae as well as revenues and expenses included in continuing operations subsequent to November 17, 2017, the date of the FNFV Split-Off, which were previously eliminated in our consolidated financial statements as intra-entity transactions, are not material to our results of operations for the year ended December 31, 2017.</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conjunction with the FNFV Split-Off, FNTIC, Chicago Title, and Commonwealth Title contributed an aggregate of $100 million to Cannae in exchange for 5,706,134 shares of Cannae common stock. As of December 31, 2017, we own approximately 8.1% of Cannae's outstanding common equity. In addition we issued to Cannae a revolver note (the "Cannae Revolver") in the aggregate principal amount of up to $100 million, which accrues interest at LIBOR plus 450 basis points and matures on the five-year anniversary of the date of the revolver note. The maturity date is automatically extended for additional five-year terms unless notice of non-renewal is otherwise provided by either FNF or Cannae, in their sole discretion. As of December 31, 2017, there is no outstanding balance under the Cannae Revolver.</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FNFV Split-Off, the following material agreements were entered into by and between the Company and Cannae (the “Split-Off Agreements”):</w:t>
      </w:r>
    </w:p>
    <w:p>
      <w:pPr>
        <w:spacing w:after="0" w:line="170" w:lineRule="exact"/>
        <w:rPr>
          <w:sz w:val="20"/>
          <w:szCs w:val="20"/>
          <w:color w:val="auto"/>
        </w:rPr>
      </w:pPr>
    </w:p>
    <w:p>
      <w:pPr>
        <w:jc w:val="both"/>
        <w:ind w:left="660" w:firstLine="320"/>
        <w:spacing w:after="0" w:line="311"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Reorganization Agreement, dated as of November 17, 2017, by and between the Company and Cannae, which provides for, among other things, the principal corporate transactions required to effect the Split-Off, certain conditions to the Split-Off and provisions governing the relationship between the Company and Cannae with respect to and resulting from the Split-Off;</w:t>
      </w:r>
    </w:p>
    <w:p>
      <w:pPr>
        <w:spacing w:after="0" w:line="154" w:lineRule="exact"/>
        <w:rPr>
          <w:rFonts w:ascii="Arial" w:cs="Arial" w:eastAsia="Arial" w:hAnsi="Arial"/>
          <w:sz w:val="18"/>
          <w:szCs w:val="18"/>
          <w:color w:val="auto"/>
        </w:rPr>
      </w:pPr>
    </w:p>
    <w:p>
      <w:pPr>
        <w:jc w:val="both"/>
        <w:ind w:left="660" w:firstLine="320"/>
        <w:spacing w:after="0" w:line="311"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Tax Matters Agreement, dated as of November 17, 2017, by and between the Company and Cannae, which governs the Company’s and Cannae’s respective rights, responsibilities and obligations with respect to taxes and tax benefits, the filing of tax returns, the control of audits and other tax matters; and</w:t>
      </w:r>
    </w:p>
    <w:p>
      <w:pPr>
        <w:spacing w:after="0" w:line="154" w:lineRule="exact"/>
        <w:rPr>
          <w:rFonts w:ascii="Arial" w:cs="Arial" w:eastAsia="Arial" w:hAnsi="Arial"/>
          <w:sz w:val="18"/>
          <w:szCs w:val="18"/>
          <w:color w:val="auto"/>
        </w:rPr>
      </w:pPr>
    </w:p>
    <w:p>
      <w:pPr>
        <w:jc w:val="both"/>
        <w:ind w:left="660" w:firstLine="320"/>
        <w:spacing w:after="0" w:line="306" w:lineRule="auto"/>
        <w:tabs>
          <w:tab w:leader="none" w:pos="13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Voting Agreement, dated as of November 17, 2017, by and between the Company and Cannae, pursuant to which the Company agrees to appear or cause all shares of Cannae common stock that the Company or its subsidiaries, as applicable, own after the Split-Off to be counted as present at any meeting of the stockholders of Cannae, for the purpose of establishing a quorum, and agrees to vote all of such shares of Cannae common stock (or cause them to be</w:t>
      </w: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1" w:right="239" w:bottom="1440" w:gutter="0" w:footer="0" w:header="0"/>
          <w:type w:val="continuous"/>
        </w:sectPr>
      </w:pPr>
    </w:p>
    <w:bookmarkStart w:id="75" w:name="page76"/>
    <w:bookmarkEnd w:id="7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voted) in the same manner as, and in the same proportion to, all shares voted by holders of Cannae common stock (other than the Company and its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FNFV included in discontinued operations is shown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center"/>
              <w:ind w:left="519"/>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Restaurant revenue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1,412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1,195</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7780" w:type="dxa"/>
            <w:vAlign w:val="bottom"/>
          </w:tcPr>
          <w:p>
            <w:pPr>
              <w:ind w:left="820"/>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1,593</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discontinued operations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(losses) earnings of unconsolidated affiliates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Equity in losses of unconsolidated affiliates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from discontinued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Net (losses) earnings attributable to non-controlling interests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attributable to Fidelity National Financial, Inc. common shareholders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7"/>
        </w:trPr>
        <w:tc>
          <w:tcPr>
            <w:tcW w:w="7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from discontinued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cash (used in) provided by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r>
      <w:tr>
        <w:trPr>
          <w:trHeight w:val="33"/>
        </w:trPr>
        <w:tc>
          <w:tcPr>
            <w:tcW w:w="7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1" w:right="239" w:bottom="0" w:gutter="0" w:footer="0" w:header="0"/>
          <w:type w:val="continuous"/>
        </w:sectPr>
      </w:pPr>
    </w:p>
    <w:bookmarkStart w:id="76" w:name="page77"/>
    <w:bookmarkEnd w:id="7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financial position of FNFV included as assets and liabilities of discontinued operations is shown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center"/>
              <w:ind w:right="29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6"/>
              </w:rPr>
              <w:t>2016</w:t>
            </w:r>
          </w:p>
        </w:tc>
      </w:tr>
      <w:tr>
        <w:trPr>
          <w:trHeight w:val="223"/>
        </w:trPr>
        <w:tc>
          <w:tcPr>
            <w:tcW w:w="9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jc w:val="center"/>
              <w:ind w:right="232"/>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460" w:type="dxa"/>
            <w:vAlign w:val="bottom"/>
          </w:tcPr>
          <w:p>
            <w:pPr>
              <w:ind w:left="280"/>
              <w:spacing w:after="0"/>
              <w:rPr>
                <w:sz w:val="20"/>
                <w:szCs w:val="20"/>
                <w:color w:val="auto"/>
              </w:rPr>
            </w:pPr>
            <w:r>
              <w:rPr>
                <w:rFonts w:ascii="Arial" w:cs="Arial" w:eastAsia="Arial" w:hAnsi="Arial"/>
                <w:sz w:val="18"/>
                <w:szCs w:val="18"/>
                <w:color w:val="auto"/>
              </w:rPr>
              <w:t>Fixed maturities available for sale, at fair value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25</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securities available for sale,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r>
      <w:tr>
        <w:trPr>
          <w:trHeight w:val="243"/>
        </w:trPr>
        <w:tc>
          <w:tcPr>
            <w:tcW w:w="9460" w:type="dxa"/>
            <w:vAlign w:val="bottom"/>
          </w:tcPr>
          <w:p>
            <w:pPr>
              <w:ind w:left="280"/>
              <w:spacing w:after="0"/>
              <w:rPr>
                <w:sz w:val="20"/>
                <w:szCs w:val="20"/>
                <w:color w:val="auto"/>
              </w:rPr>
            </w:pPr>
            <w:r>
              <w:rPr>
                <w:rFonts w:ascii="Arial" w:cs="Arial" w:eastAsia="Arial" w:hAnsi="Arial"/>
                <w:sz w:val="18"/>
                <w:szCs w:val="18"/>
                <w:color w:val="auto"/>
              </w:rPr>
              <w:t>Investments in unconsolidated affiliates</w:t>
            </w:r>
          </w:p>
        </w:tc>
        <w:tc>
          <w:tcPr>
            <w:tcW w:w="3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407</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 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r>
      <w:tr>
        <w:trPr>
          <w:trHeight w:val="243"/>
        </w:trPr>
        <w:tc>
          <w:tcPr>
            <w:tcW w:w="9460" w:type="dxa"/>
            <w:vAlign w:val="bottom"/>
          </w:tcPr>
          <w:p>
            <w:pPr>
              <w:ind w:left="280"/>
              <w:spacing w:after="0"/>
              <w:rPr>
                <w:sz w:val="20"/>
                <w:szCs w:val="20"/>
                <w:color w:val="auto"/>
              </w:rPr>
            </w:pPr>
            <w:r>
              <w:rPr>
                <w:rFonts w:ascii="Arial" w:cs="Arial" w:eastAsia="Arial" w:hAnsi="Arial"/>
                <w:sz w:val="18"/>
                <w:szCs w:val="18"/>
                <w:color w:val="auto"/>
              </w:rPr>
              <w:t>Short term investments</w:t>
            </w:r>
          </w:p>
        </w:tc>
        <w:tc>
          <w:tcPr>
            <w:tcW w:w="3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w:t>
            </w:r>
          </w:p>
        </w:tc>
      </w:tr>
      <w:tr>
        <w:trPr>
          <w:trHeight w:val="27"/>
        </w:trPr>
        <w:tc>
          <w:tcPr>
            <w:tcW w:w="9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144</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and notes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206</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Capitalized software, net</w:t>
            </w:r>
          </w:p>
        </w:tc>
        <w:tc>
          <w:tcPr>
            <w:tcW w:w="3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16</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200</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r>
      <w:tr>
        <w:trPr>
          <w:trHeight w:val="297"/>
        </w:trPr>
        <w:tc>
          <w:tcPr>
            <w:tcW w:w="94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 of discontinued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1,458</w:t>
            </w:r>
          </w:p>
        </w:tc>
      </w:tr>
      <w:tr>
        <w:trPr>
          <w:trHeight w:val="284"/>
        </w:trPr>
        <w:tc>
          <w:tcPr>
            <w:tcW w:w="9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214</w:t>
            </w:r>
          </w:p>
        </w:tc>
      </w:tr>
      <w:tr>
        <w:trPr>
          <w:trHeight w:val="27"/>
        </w:trPr>
        <w:tc>
          <w:tcPr>
            <w:tcW w:w="9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18</w:t>
            </w:r>
          </w:p>
        </w:tc>
      </w:tr>
      <w:tr>
        <w:trPr>
          <w:trHeight w:val="27"/>
        </w:trPr>
        <w:tc>
          <w:tcPr>
            <w:tcW w:w="9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of discontinued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465</w:t>
            </w:r>
          </w:p>
        </w:tc>
      </w:tr>
      <w:tr>
        <w:trPr>
          <w:trHeight w:val="20"/>
        </w:trPr>
        <w:tc>
          <w:tcPr>
            <w:tcW w:w="9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the reclassification of the assets and liabilities of FNFV to assets and liabilities of discontinued operations, the deferred tax assets of FNFV, which were formerly netted with our consolidated deferred tax liability in our Condensed Consolidated Balance Sheet as of December 31, 2016, were reclassified to assets of discontinued operations resulting in an increase to both our assets and liabilities of $58 million as of December 31,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to Consolidated Financial Statements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net earnings of Black Knight and FNFV to the Statement of Operations is shown below:</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80" w:type="dxa"/>
            <w:vAlign w:val="bottom"/>
            <w:gridSpan w:val="6"/>
          </w:tcPr>
          <w:p>
            <w:pPr>
              <w:jc w:val="center"/>
              <w:ind w:left="12"/>
              <w:spacing w:after="0"/>
              <w:rPr>
                <w:sz w:val="20"/>
                <w:szCs w:val="20"/>
                <w:color w:val="auto"/>
              </w:rPr>
            </w:pPr>
            <w:r>
              <w:rPr>
                <w:rFonts w:ascii="Arial" w:cs="Arial" w:eastAsia="Arial" w:hAnsi="Arial"/>
                <w:sz w:val="16"/>
                <w:szCs w:val="16"/>
                <w:b w:val="1"/>
                <w:bCs w:val="1"/>
                <w:color w:val="auto"/>
                <w:w w:val="92"/>
              </w:rPr>
              <w:t>Year Ended December 31,</w:t>
            </w:r>
          </w:p>
        </w:tc>
        <w:tc>
          <w:tcPr>
            <w:tcW w:w="82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r>
      <w:tr>
        <w:trPr>
          <w:trHeight w:val="33"/>
        </w:trPr>
        <w:tc>
          <w:tcPr>
            <w:tcW w:w="77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attributable to Black Knight</w:t>
            </w:r>
          </w:p>
        </w:tc>
        <w:tc>
          <w:tcPr>
            <w:tcW w:w="72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Earnings (loss) from discontinued operations attributable to FNFV</w:t>
            </w:r>
          </w:p>
        </w:tc>
        <w:tc>
          <w:tcPr>
            <w:tcW w:w="72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77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earnings from discontinued operations, net of tax</w:t>
            </w:r>
          </w:p>
        </w:tc>
        <w:tc>
          <w:tcPr>
            <w:tcW w:w="72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r>
      <w:tr>
        <w:trPr>
          <w:trHeight w:val="20"/>
        </w:trPr>
        <w:tc>
          <w:tcPr>
            <w:tcW w:w="7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1" w:right="239" w:bottom="1440" w:gutter="0" w:footer="0" w:header="0"/>
          <w:type w:val="continuous"/>
        </w:sectPr>
      </w:pPr>
    </w:p>
    <w:bookmarkStart w:id="77" w:name="page78"/>
    <w:bookmarkEnd w:id="7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financial position of Black Knight and FNFV to the Balance Sheet is shown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gridSpan w:val="3"/>
          </w:tcPr>
          <w:p>
            <w:pPr>
              <w:jc w:val="center"/>
              <w:ind w:right="51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left="201"/>
              <w:spacing w:after="0"/>
              <w:rPr>
                <w:sz w:val="20"/>
                <w:szCs w:val="20"/>
                <w:color w:val="auto"/>
              </w:rPr>
            </w:pPr>
            <w:r>
              <w:rPr>
                <w:rFonts w:ascii="Arial" w:cs="Arial" w:eastAsia="Arial" w:hAnsi="Arial"/>
                <w:sz w:val="14"/>
                <w:szCs w:val="14"/>
                <w:b w:val="1"/>
                <w:bCs w:val="1"/>
                <w:color w:val="auto"/>
                <w:w w:val="96"/>
              </w:rPr>
              <w:t>2016</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gridSpan w:val="3"/>
          </w:tcPr>
          <w:p>
            <w:pPr>
              <w:jc w:val="center"/>
              <w:ind w:right="471"/>
              <w:spacing w:after="0"/>
              <w:rPr>
                <w:sz w:val="20"/>
                <w:szCs w:val="20"/>
                <w:color w:val="auto"/>
              </w:rPr>
            </w:pPr>
            <w:r>
              <w:rPr>
                <w:rFonts w:ascii="Arial" w:cs="Arial" w:eastAsia="Arial" w:hAnsi="Arial"/>
                <w:sz w:val="16"/>
                <w:szCs w:val="16"/>
                <w:b w:val="1"/>
                <w:bCs w:val="1"/>
                <w:color w:val="auto"/>
                <w:w w:val="93"/>
              </w:rPr>
              <w:t>(in millions)</w:t>
            </w:r>
          </w:p>
        </w:tc>
        <w:tc>
          <w:tcPr>
            <w:tcW w:w="0" w:type="dxa"/>
            <w:vAlign w:val="bottom"/>
          </w:tcPr>
          <w:p>
            <w:pPr>
              <w:spacing w:after="0"/>
              <w:rPr>
                <w:sz w:val="1"/>
                <w:szCs w:val="1"/>
                <w:color w:val="auto"/>
              </w:rPr>
            </w:pPr>
          </w:p>
        </w:tc>
      </w:tr>
      <w:tr>
        <w:trPr>
          <w:trHeight w:val="33"/>
        </w:trPr>
        <w:tc>
          <w:tcPr>
            <w:tcW w:w="1060" w:type="dxa"/>
            <w:vAlign w:val="bottom"/>
          </w:tcPr>
          <w:p>
            <w:pPr>
              <w:spacing w:after="0"/>
              <w:rPr>
                <w:sz w:val="2"/>
                <w:szCs w:val="2"/>
                <w:color w:val="auto"/>
              </w:rPr>
            </w:pPr>
          </w:p>
        </w:tc>
        <w:tc>
          <w:tcPr>
            <w:tcW w:w="7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Assets of discontinued operations attributable to Black Knight</w:t>
            </w:r>
          </w:p>
        </w:tc>
        <w:tc>
          <w:tcPr>
            <w:tcW w:w="320" w:type="dxa"/>
            <w:vAlign w:val="bottom"/>
          </w:tcPr>
          <w:p>
            <w:pPr>
              <w:spacing w:after="0"/>
              <w:rPr>
                <w:sz w:val="21"/>
                <w:szCs w:val="21"/>
                <w:color w:val="auto"/>
              </w:rPr>
            </w:pPr>
          </w:p>
        </w:tc>
        <w:tc>
          <w:tcPr>
            <w:tcW w:w="104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 of discontinued operations attributable to FNFV</w:t>
            </w:r>
          </w:p>
        </w:tc>
        <w:tc>
          <w:tcPr>
            <w:tcW w:w="3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assets of discontinued operations</w:t>
            </w:r>
          </w:p>
        </w:tc>
        <w:tc>
          <w:tcPr>
            <w:tcW w:w="3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5,219</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75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Liabilities of discontinued operations attributable to Black Knight</w:t>
            </w:r>
          </w:p>
        </w:tc>
        <w:tc>
          <w:tcPr>
            <w:tcW w:w="320" w:type="dxa"/>
            <w:vAlign w:val="bottom"/>
          </w:tcPr>
          <w:p>
            <w:pPr>
              <w:spacing w:after="0"/>
              <w:rPr>
                <w:sz w:val="21"/>
                <w:szCs w:val="21"/>
                <w:color w:val="auto"/>
              </w:rPr>
            </w:pPr>
          </w:p>
        </w:tc>
        <w:tc>
          <w:tcPr>
            <w:tcW w:w="104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of discontinued operations attributable to FNFV</w:t>
            </w:r>
          </w:p>
        </w:tc>
        <w:tc>
          <w:tcPr>
            <w:tcW w:w="3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5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Total liabilities of discontinued operations</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8"/>
                <w:szCs w:val="18"/>
                <w:b w:val="1"/>
                <w:bCs w:val="1"/>
                <w:color w:val="auto"/>
              </w:rPr>
              <w:t>Note H.</w:t>
            </w:r>
          </w:p>
        </w:tc>
        <w:tc>
          <w:tcPr>
            <w:tcW w:w="75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Other Intangible Assets</w:t>
            </w: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060" w:type="dxa"/>
            <w:vAlign w:val="bottom"/>
            <w:vMerge w:val="continue"/>
          </w:tcPr>
          <w:p>
            <w:pPr>
              <w:spacing w:after="0"/>
              <w:rPr>
                <w:sz w:val="24"/>
                <w:szCs w:val="24"/>
                <w:color w:val="auto"/>
              </w:rPr>
            </w:pPr>
          </w:p>
        </w:tc>
        <w:tc>
          <w:tcPr>
            <w:tcW w:w="7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consist of the following:</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6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860</w:t>
            </w:r>
          </w:p>
        </w:tc>
        <w:tc>
          <w:tcPr>
            <w:tcW w:w="62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Trademarks and tradenames</w:t>
            </w:r>
          </w:p>
        </w:tc>
        <w:tc>
          <w:tcPr>
            <w:tcW w:w="320" w:type="dxa"/>
            <w:vAlign w:val="bottom"/>
          </w:tcPr>
          <w:p>
            <w:pPr>
              <w:spacing w:after="0"/>
              <w:rPr>
                <w:sz w:val="21"/>
                <w:szCs w:val="21"/>
                <w:color w:val="auto"/>
              </w:rPr>
            </w:pPr>
          </w:p>
        </w:tc>
        <w:tc>
          <w:tcPr>
            <w:tcW w:w="1040" w:type="dxa"/>
            <w:vAlign w:val="bottom"/>
            <w:gridSpan w:val="2"/>
          </w:tcPr>
          <w:p>
            <w:pPr>
              <w:jc w:val="right"/>
              <w:ind w:right="19"/>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7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Amortization expense for amortizable intangible assets, which consist primarily of customer relationships and computer software, was $130 million, $110 million, and $103 million for the years ended December 31, 2017, 2016 and 2015, respectively. Estimated amortization expense for the next five years for assets owned at December 31, 2017, is $100 million in 2018, $93 million in 2019, $79 million in 2020, $64 million in 2021 and $50 million in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Note I.</w:t>
            </w:r>
          </w:p>
        </w:tc>
        <w:tc>
          <w:tcPr>
            <w:tcW w:w="8180" w:type="dxa"/>
            <w:vAlign w:val="bottom"/>
            <w:gridSpan w:val="2"/>
          </w:tcPr>
          <w:p>
            <w:pPr>
              <w:jc w:val="right"/>
              <w:ind w:right="4460"/>
              <w:spacing w:after="0"/>
              <w:rPr>
                <w:sz w:val="20"/>
                <w:szCs w:val="20"/>
                <w:color w:val="auto"/>
              </w:rPr>
            </w:pPr>
            <w:r>
              <w:rPr>
                <w:rFonts w:ascii="Arial" w:cs="Arial" w:eastAsia="Arial" w:hAnsi="Arial"/>
                <w:sz w:val="18"/>
                <w:szCs w:val="18"/>
                <w:b w:val="1"/>
                <w:bCs w:val="1"/>
                <w:color w:val="auto"/>
                <w:w w:val="90"/>
              </w:rPr>
              <w:t>Accounts Payable and Other Accrued Liabilities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80" w:type="dxa"/>
            <w:vAlign w:val="bottom"/>
            <w:gridSpan w:val="3"/>
          </w:tcPr>
          <w:p>
            <w:pPr>
              <w:ind w:left="340"/>
              <w:spacing w:after="0"/>
              <w:rPr>
                <w:sz w:val="20"/>
                <w:szCs w:val="20"/>
                <w:color w:val="auto"/>
              </w:rPr>
            </w:pPr>
            <w:r>
              <w:rPr>
                <w:rFonts w:ascii="Arial" w:cs="Arial" w:eastAsia="Arial" w:hAnsi="Arial"/>
                <w:sz w:val="18"/>
                <w:szCs w:val="18"/>
                <w:color w:val="auto"/>
              </w:rPr>
              <w:t>Accounts payable and other accrued liabilities consist of the following:</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0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8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Accrued benefits</w:t>
            </w:r>
          </w:p>
        </w:tc>
        <w:tc>
          <w:tcPr>
            <w:tcW w:w="818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Salaries and incentives</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7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recording fees and transfer taxes</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Accrued premium taxes</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Deferred revenue</w:t>
            </w:r>
          </w:p>
        </w:tc>
        <w:tc>
          <w:tcPr>
            <w:tcW w:w="7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Other accrued liabilities</w:t>
            </w: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818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bottom w:val="single" w:sz="8" w:color="CCEEFF"/>
            </w:tcBorders>
            <w:vMerge w:val="restart"/>
          </w:tcPr>
          <w:p>
            <w:pPr>
              <w:jc w:val="right"/>
              <w:ind w:right="2694"/>
              <w:spacing w:after="0"/>
              <w:rPr>
                <w:sz w:val="20"/>
                <w:szCs w:val="20"/>
                <w:color w:val="auto"/>
              </w:rPr>
            </w:pPr>
            <w:r>
              <w:rPr>
                <w:rFonts w:ascii="Arial" w:cs="Arial" w:eastAsia="Arial" w:hAnsi="Arial"/>
                <w:sz w:val="18"/>
                <w:szCs w:val="18"/>
                <w:color w:val="auto"/>
              </w:rPr>
              <w:t>74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30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120" w:type="dxa"/>
            <w:vAlign w:val="bottom"/>
          </w:tcPr>
          <w:p>
            <w:pPr>
              <w:jc w:val="center"/>
              <w:ind w:left="133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78"/>
        </w:trPr>
        <w:tc>
          <w:tcPr>
            <w:tcW w:w="920" w:type="dxa"/>
            <w:vAlign w:val="bottom"/>
          </w:tcPr>
          <w:p>
            <w:pPr>
              <w:spacing w:after="0"/>
              <w:rPr>
                <w:sz w:val="24"/>
                <w:szCs w:val="24"/>
                <w:color w:val="auto"/>
              </w:rPr>
            </w:pPr>
          </w:p>
        </w:tc>
        <w:tc>
          <w:tcPr>
            <w:tcW w:w="8120" w:type="dxa"/>
            <w:vAlign w:val="bottom"/>
          </w:tcPr>
          <w:p>
            <w:pPr>
              <w:jc w:val="center"/>
              <w:ind w:left="137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9"/>
        </w:trPr>
        <w:tc>
          <w:tcPr>
            <w:tcW w:w="92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8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9"/>
        </w:trPr>
        <w:tc>
          <w:tcPr>
            <w:tcW w:w="9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6"/>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74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291</w:t>
            </w:r>
          </w:p>
        </w:tc>
      </w:tr>
      <w:tr>
        <w:trPr>
          <w:trHeight w:val="27"/>
        </w:trPr>
        <w:tc>
          <w:tcPr>
            <w:tcW w:w="904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3"/>
              </w:rPr>
              <w:t>Revolving Credit Facility, unsecured, unused portion of $500 at December 31, 2017, due April 2022 with interest payable</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monthly at LIBOR + 1.40% (2.76% at December 31, 2017)</w:t>
            </w:r>
          </w:p>
        </w:tc>
        <w:tc>
          <w:tcPr>
            <w:tcW w:w="740" w:type="dxa"/>
            <w:vAlign w:val="bottom"/>
          </w:tcPr>
          <w:p>
            <w:pPr>
              <w:spacing w:after="0"/>
              <w:rPr>
                <w:sz w:val="20"/>
                <w:szCs w:val="20"/>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w w:val="86"/>
              </w:rPr>
              <w:t>295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37"/>
        </w:trPr>
        <w:tc>
          <w:tcPr>
            <w:tcW w:w="9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6"/>
              </w:rPr>
              <w:t>759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987</w:t>
            </w:r>
          </w:p>
        </w:tc>
      </w:tr>
      <w:tr>
        <w:trPr>
          <w:trHeight w:val="27"/>
        </w:trPr>
        <w:tc>
          <w:tcPr>
            <w:tcW w:w="9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December 31, 2017, the estimated fair value of our long-term debt was approximately $940 million, or $173 million higher than its carrying value, excluding $8 million of net unamortized debt issuance costs and premium/discount. The fair value of our unsecured notes payable was $638 million as of December 31, 2017. The fair values of our unsecured notes payable are based on established market prices for the securities on December 31, 2017 and are considered Level 2 financial liabilities. The carrying value of the Revolving Credit Facility approximates fair value at December 31, 2017, as it is a variable rate instrument with a short reset period (monthly) which reflects current market rates. The Revolving Credit Facility is considered a Level 2 financial liability.</w:t>
      </w:r>
    </w:p>
    <w:p>
      <w:pPr>
        <w:spacing w:after="0" w:line="8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Revolving Credit Facility was amended (the "Restated Credit Agreement") to extend the term for 5 years, from a maturity date of July 15, 2018 to April 27, 2022. Revolving loans under the credit facility generally bear interest at a variable rate based on either (i) the base rate (which is the highest of (a) 0.5% in excess of the federal funds rate, (b) the Administrative Agent's “prime rate”, or (c) the sum of 1% plus one-month LIBOR) plus a margin of between 10 and 60 basis points depending on the senior unsecured long-term debt ratings of FNF or (ii) LIBOR plus a margin of between 110 and 160 basis points depending on the senior unsecured long-term debt ratings of the Company. Based on our current Moody’s and Standard &amp; Poor’s senior unsecured long-term debt ratings of Baa3/BBB, respectively, the applicable margin for revolving loans subject to LIBOR is 140 basis points. In addition, we pay a commitment fee of between 15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As of December 31, 2017, there is $295 million outstanding, net of $5 million in unamortized debt issuance costs, and $500 million of remaining borrowing capacity under the Revolving Credit Facility.</w:t>
      </w:r>
    </w:p>
    <w:p>
      <w:pPr>
        <w:spacing w:after="0" w:line="7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The 5.50% notes will pay interest semi-annually on the 1st of March and September, beginning March 1, 2013.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9" w:name="page80"/>
    <w:bookmarkEnd w:id="7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payment when due or (ii) the occurrence of an event which results in such debt being due and payable prior to its scheduled maturity.</w:t>
      </w:r>
    </w:p>
    <w:p>
      <w:pPr>
        <w:spacing w:after="0" w:line="198"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August 2, 2011, we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 During the year ended December 31, 2017, we repurchased Notes with aggregate principal of $230 million for $549 million.</w:t>
      </w: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Gross principal maturities of notes payable at December 31, 2017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2018</w:t>
            </w:r>
          </w:p>
        </w:tc>
        <w:tc>
          <w:tcPr>
            <w:tcW w:w="9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10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40" w:type="dxa"/>
            <w:vAlign w:val="bottom"/>
          </w:tcPr>
          <w:p>
            <w:pPr>
              <w:ind w:left="40"/>
              <w:spacing w:after="0"/>
              <w:rPr>
                <w:sz w:val="20"/>
                <w:szCs w:val="20"/>
                <w:color w:val="auto"/>
              </w:rPr>
            </w:pPr>
            <w:r>
              <w:rPr>
                <w:rFonts w:ascii="Arial" w:cs="Arial" w:eastAsia="Arial" w:hAnsi="Arial"/>
                <w:sz w:val="18"/>
                <w:szCs w:val="18"/>
                <w:color w:val="auto"/>
              </w:rPr>
              <w:t>2020</w:t>
            </w:r>
          </w:p>
        </w:tc>
        <w:tc>
          <w:tcPr>
            <w:tcW w:w="9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0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40" w:type="dxa"/>
            <w:vAlign w:val="bottom"/>
          </w:tcPr>
          <w:p>
            <w:pPr>
              <w:ind w:left="40"/>
              <w:spacing w:after="0"/>
              <w:rPr>
                <w:sz w:val="20"/>
                <w:szCs w:val="20"/>
                <w:color w:val="auto"/>
              </w:rPr>
            </w:pPr>
            <w:r>
              <w:rPr>
                <w:rFonts w:ascii="Arial" w:cs="Arial" w:eastAsia="Arial" w:hAnsi="Arial"/>
                <w:sz w:val="18"/>
                <w:szCs w:val="18"/>
                <w:color w:val="auto"/>
              </w:rPr>
              <w:t>2022</w:t>
            </w:r>
          </w:p>
        </w:tc>
        <w:tc>
          <w:tcPr>
            <w:tcW w:w="9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10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9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04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767</w:t>
            </w:r>
          </w:p>
        </w:tc>
      </w:tr>
      <w:tr>
        <w:trPr>
          <w:trHeight w:val="27"/>
        </w:trPr>
        <w:tc>
          <w:tcPr>
            <w:tcW w:w="1040" w:type="dxa"/>
            <w:vAlign w:val="bottom"/>
          </w:tcPr>
          <w:p>
            <w:pPr>
              <w:spacing w:after="0"/>
              <w:rPr>
                <w:sz w:val="2"/>
                <w:szCs w:val="2"/>
                <w:color w:val="auto"/>
              </w:rPr>
            </w:pPr>
          </w:p>
        </w:tc>
        <w:tc>
          <w:tcPr>
            <w:tcW w:w="9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104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13"/>
        </w:trPr>
        <w:tc>
          <w:tcPr>
            <w:tcW w:w="1040" w:type="dxa"/>
            <w:vAlign w:val="bottom"/>
          </w:tcPr>
          <w:p>
            <w:pPr>
              <w:spacing w:after="0"/>
              <w:rPr>
                <w:sz w:val="20"/>
                <w:szCs w:val="20"/>
                <w:color w:val="auto"/>
              </w:rPr>
            </w:pPr>
            <w:r>
              <w:rPr>
                <w:rFonts w:ascii="Arial" w:cs="Arial" w:eastAsia="Arial" w:hAnsi="Arial"/>
                <w:sz w:val="18"/>
                <w:szCs w:val="18"/>
                <w:b w:val="1"/>
                <w:bCs w:val="1"/>
                <w:color w:val="auto"/>
              </w:rPr>
              <w:t>Note K.</w:t>
            </w:r>
          </w:p>
        </w:tc>
        <w:tc>
          <w:tcPr>
            <w:tcW w:w="9680" w:type="dxa"/>
            <w:vAlign w:val="bottom"/>
            <w:gridSpan w:val="2"/>
          </w:tcPr>
          <w:p>
            <w:pPr>
              <w:jc w:val="right"/>
              <w:ind w:right="8270"/>
              <w:spacing w:after="0"/>
              <w:rPr>
                <w:sz w:val="20"/>
                <w:szCs w:val="20"/>
                <w:color w:val="auto"/>
              </w:rPr>
            </w:pPr>
            <w:r>
              <w:rPr>
                <w:rFonts w:ascii="Arial" w:cs="Arial" w:eastAsia="Arial" w:hAnsi="Arial"/>
                <w:sz w:val="18"/>
                <w:szCs w:val="18"/>
                <w:b w:val="1"/>
                <w:bCs w:val="1"/>
                <w:color w:val="auto"/>
              </w:rPr>
              <w:t>Income Taxes</w:t>
            </w:r>
          </w:p>
        </w:tc>
        <w:tc>
          <w:tcPr>
            <w:tcW w:w="700" w:type="dxa"/>
            <w:vAlign w:val="bottom"/>
          </w:tcPr>
          <w:p>
            <w:pPr>
              <w:spacing w:after="0"/>
              <w:rPr>
                <w:sz w:val="24"/>
                <w:szCs w:val="24"/>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on continuing operations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40" w:type="dxa"/>
            <w:vAlign w:val="bottom"/>
          </w:tcPr>
          <w:p>
            <w:pPr>
              <w:spacing w:after="0"/>
              <w:rPr>
                <w:sz w:val="22"/>
                <w:szCs w:val="22"/>
                <w:color w:val="auto"/>
              </w:rPr>
            </w:pPr>
          </w:p>
        </w:tc>
        <w:tc>
          <w:tcPr>
            <w:tcW w:w="5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36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Deferred</w:t>
            </w:r>
          </w:p>
        </w:tc>
        <w:tc>
          <w:tcPr>
            <w:tcW w:w="46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5"/>
              </w:rPr>
              <w:t>(241)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4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1894"/>
              <w:spacing w:after="0"/>
              <w:rPr>
                <w:sz w:val="20"/>
                <w:szCs w:val="20"/>
                <w:color w:val="auto"/>
              </w:rPr>
            </w:pPr>
            <w:r>
              <w:rPr>
                <w:rFonts w:ascii="Arial" w:cs="Arial" w:eastAsia="Arial" w:hAnsi="Arial"/>
                <w:sz w:val="18"/>
                <w:szCs w:val="18"/>
                <w:color w:val="auto"/>
              </w:rPr>
              <w:t>76</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0" w:name="page81"/>
    <w:bookmarkEnd w:id="8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income tax expense (benefit) was allocated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expense attributable to net earnings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Other comprehensive earnings (loss):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(loss) on investments and other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780" w:type="dxa"/>
            <w:vAlign w:val="bottom"/>
            <w:gridSpan w:val="2"/>
          </w:tcPr>
          <w:p>
            <w:pPr>
              <w:ind w:left="280"/>
              <w:spacing w:after="0"/>
              <w:rPr>
                <w:sz w:val="20"/>
                <w:szCs w:val="20"/>
                <w:color w:val="auto"/>
              </w:rPr>
            </w:pPr>
            <w:r>
              <w:rPr>
                <w:rFonts w:ascii="Arial" w:cs="Arial" w:eastAsia="Arial" w:hAnsi="Arial"/>
                <w:sz w:val="18"/>
                <w:szCs w:val="18"/>
                <w:color w:val="auto"/>
              </w:rPr>
              <w:t>Unrealized gain (loss) on foreign currency translation and cash flow hedging</w:t>
            </w:r>
          </w:p>
        </w:tc>
        <w:tc>
          <w:tcPr>
            <w:tcW w:w="1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Minimum pension liability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 income tax expense (benefit) allocated to other comprehensive earnings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Additional paid-in capital, stock-based compensation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4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Deductible dividends paid to FNF 401(k) plan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Tax exempt interest income</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Tax Credits</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Consolidated Partnerships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Tax reform</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 net</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748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3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27.2 %</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36.4 %</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at December 31, 2017 and 2016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2016</w:t>
            </w:r>
          </w:p>
        </w:tc>
      </w:tr>
      <w:tr>
        <w:trPr>
          <w:trHeight w:val="196"/>
        </w:trPr>
        <w:tc>
          <w:tcPr>
            <w:tcW w:w="9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7"/>
                <w:szCs w:val="17"/>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Insurance reserve discounting</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gross deferred tax asset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plant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Amortization of goodwill and intangible assets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Insurance reserve discounting</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57"/>
        </w:trPr>
        <w:tc>
          <w:tcPr>
            <w:tcW w:w="9020" w:type="dxa"/>
            <w:vAlign w:val="bottom"/>
          </w:tcPr>
          <w:p>
            <w:pPr>
              <w:ind w:left="280"/>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net deferred tax liability was $169 million and $370 million at December 31, 2017, and 2016, respectively. Deferred tax liability incurred a one-time reduction of $93 million which was primarily a result of the decrease in the corporate tax rate from 35% to 21% associated with the enactment of the Tax Cuts and Jobs Act of 2017 ("Tax Reform"). The significant changes in the deferred taxes are as follows: The increase in the deferred tax asset for employee benefit accruals is a $71 million increase in deferred compensation related to a change in accounting method offset by a $38 million decrease driven by Tax Reform. The deferred tax liability for insurance reserve discounting decreased by $119 million largely due to the redomestication of certain of our insurance underwriters in 2017, offset by an increase of $15 million attributable to Tax Reform. The deferred tax liability for title plant decreased by $30 million primarily due to Tax Reform</w:t>
      </w:r>
      <w:r>
        <w:rPr>
          <w:rFonts w:ascii="Arial" w:cs="Arial" w:eastAsia="Arial" w:hAnsi="Arial"/>
          <w:sz w:val="18"/>
          <w:szCs w:val="18"/>
          <w:color w:val="FF0000"/>
        </w:rPr>
        <w:t>.</w:t>
      </w:r>
      <w:r>
        <w:rPr>
          <w:rFonts w:ascii="Arial" w:cs="Arial" w:eastAsia="Arial" w:hAnsi="Arial"/>
          <w:sz w:val="18"/>
          <w:szCs w:val="18"/>
          <w:color w:val="auto"/>
        </w:rPr>
        <w:t xml:space="preserve"> The deferred tax liability relating to partnerships decreased by $19 million primarily due to an increase of $23 million related to ServiceLink activity offset by a $42 million decrease driven by Tax Reform. The deferred tax liability on amortization decreased by $61 million primarily due to Tax Reform. The decrease in the deferred tax asset on net operating losses of $13 million is primarily attributable to usage of assets in the current year and Tax Reform.</w:t>
      </w:r>
    </w:p>
    <w:p>
      <w:pPr>
        <w:spacing w:after="0" w:line="6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had a valuation allowance of $22 million and $10 million at December 31, 2017 and 2016, respectively. The increase in the valuation allowance is primarily attributable to Tax Reform which decreased the ability to use credit carryovers before they expire in future years.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 Staff Accounting Bulletin No. 118 ("SAB 118"), has provided guidance for companies that have not completed their accounting for the income tax effects of the Tax Reform in the period of enactment, allowing for a measurement period of up to one year after the enactment date to finalize the recording of the related tax impacts. As of December 31, 2017, we have not completed our accounting for the tax effects of the enactment of the Tax Reform, however, we have made a reasonable estimate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2" w:name="page83"/>
    <w:bookmarkEnd w:id="8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 the effects on our deferred tax balances. In other cases, we have not been able to make a reasonable estimate and will continue to analyze the Tax Reform in order to finalize any related impacts within the measurement period.</w:t>
      </w:r>
    </w:p>
    <w:p>
      <w:pPr>
        <w:spacing w:after="0" w:line="3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2017, we have net operating losses on a pretax basis of $36 million available to carryforward and offset future federal taxable income. The net operating losses are US federal net operating losses arising from acquisitions made since 2008, including CINC and are subject to an annual Internal Revenue Code Section 382 limitation. These losses will begin to expire in year 2021 and we fully anticipate utilizing these losses prior to expiration with the exception of $3 million of gross net operating losses that are offset by a $1 million valuation allowance.</w:t>
      </w:r>
    </w:p>
    <w:p>
      <w:pPr>
        <w:spacing w:after="0" w:line="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2017 and 2016, we had $40 million and $41 million of tax credits, respectively. The credits primarily consist of general business credits from acquisitions in the Restaurant Group. We anticipate that these credits will be utilized prior to expiration after a valuation allowance of $21 million on the general business credits.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tax benefit of $21 million associated with the exercise of employee stock options and the vesting of restricted stock grants was allocated to equity for the year ended December 31, 2015. For the years ended December 31, 2017 and 2016 we have recorded $13 million and $17 million in income tax benefit related to the tax effects associated with the exercise of stock options and vesting of restricted stock. Our adoption of ASU 2016-09 in 2016 resulted in a change in accounting for the tax-effects of stock-based compensation. Beginning January 1, 2016, the tax-effect of the difference in grant date and vest date fair value of stock-based compensation is included in total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2540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2017 and 2016, we had approximately $11 million (including interest of less than $1 million) and $18 million (including interest of less than $1 million), respectively, of total gross unrecognized tax benefits that, if recognized, would favorably affect our income tax rate. These amounts are reported on a gross basis and do not reflect a federal tax benefit on state income taxes. We record interest and penalties related to income taxes as a component of income tax expense.</w:t>
      </w:r>
    </w:p>
    <w:p>
      <w:pPr>
        <w:spacing w:after="0" w:line="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Internal Revenue Service (“IRS”) has selected us to participate in the Compliance Assurance Program that is a real-time audit. We are currently under audit by the Internal Revenue Service for the 2016 through 2018 tax years. We file income tax returns in various foreign and US state jurisdictions.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Note L.</w:t>
            </w:r>
          </w:p>
        </w:tc>
        <w:tc>
          <w:tcPr>
            <w:tcW w:w="6340" w:type="dxa"/>
            <w:vAlign w:val="bottom"/>
          </w:tcPr>
          <w:p>
            <w:pPr>
              <w:ind w:left="60"/>
              <w:spacing w:after="0"/>
              <w:rPr>
                <w:sz w:val="20"/>
                <w:szCs w:val="20"/>
                <w:color w:val="auto"/>
              </w:rPr>
            </w:pPr>
            <w:r>
              <w:rPr>
                <w:rFonts w:ascii="Arial" w:cs="Arial" w:eastAsia="Arial" w:hAnsi="Arial"/>
                <w:sz w:val="18"/>
                <w:szCs w:val="18"/>
                <w:b w:val="1"/>
                <w:bCs w:val="1"/>
                <w:color w:val="auto"/>
              </w:rPr>
              <w:t>Summary of Reserve for Claim Losses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A summary of the reserve for claim losses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2"/>
        </w:trPr>
        <w:tc>
          <w:tcPr>
            <w:tcW w:w="12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r>
      <w:tr>
        <w:trPr>
          <w:trHeight w:val="264"/>
        </w:trPr>
        <w:tc>
          <w:tcPr>
            <w:tcW w:w="124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r>
      <w:tr>
        <w:trPr>
          <w:trHeight w:val="196"/>
        </w:trPr>
        <w:tc>
          <w:tcPr>
            <w:tcW w:w="12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(Dollars 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1,621</w:t>
            </w:r>
          </w:p>
        </w:tc>
      </w:tr>
      <w:tr>
        <w:trPr>
          <w:trHeight w:val="243"/>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Change in reinsurance recoverable</w:t>
            </w: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7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224</w:t>
            </w:r>
          </w:p>
        </w:tc>
      </w:tr>
      <w:tr>
        <w:trPr>
          <w:trHeight w:val="27"/>
        </w:trPr>
        <w:tc>
          <w:tcPr>
            <w:tcW w:w="1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6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w:t>
            </w:r>
          </w:p>
        </w:tc>
      </w:tr>
      <w:tr>
        <w:trPr>
          <w:trHeight w:val="237"/>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title claim loss provision</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246</w:t>
            </w:r>
          </w:p>
        </w:tc>
      </w:tr>
      <w:tr>
        <w:trPr>
          <w:trHeight w:val="27"/>
        </w:trPr>
        <w:tc>
          <w:tcPr>
            <w:tcW w:w="7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280"/>
              <w:spacing w:after="0"/>
              <w:rPr>
                <w:sz w:val="20"/>
                <w:szCs w:val="20"/>
                <w:color w:val="auto"/>
              </w:rPr>
            </w:pPr>
            <w:r>
              <w:rPr>
                <w:rFonts w:ascii="Arial" w:cs="Arial" w:eastAsia="Arial" w:hAnsi="Arial"/>
                <w:sz w:val="18"/>
                <w:szCs w:val="18"/>
                <w:color w:val="auto"/>
                <w:w w:val="93"/>
              </w:rPr>
              <w:t>Current year</w:t>
            </w:r>
          </w:p>
        </w:tc>
        <w:tc>
          <w:tcPr>
            <w:tcW w:w="6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w:t>
            </w:r>
          </w:p>
        </w:tc>
      </w:tr>
      <w:tr>
        <w:trPr>
          <w:trHeight w:val="27"/>
        </w:trPr>
        <w:tc>
          <w:tcPr>
            <w:tcW w:w="12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6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w:t>
            </w:r>
          </w:p>
        </w:tc>
      </w:tr>
      <w:tr>
        <w:trPr>
          <w:trHeight w:val="237"/>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(285)</w:t>
            </w:r>
          </w:p>
        </w:tc>
      </w:tr>
      <w:tr>
        <w:trPr>
          <w:trHeight w:val="27"/>
        </w:trPr>
        <w:tc>
          <w:tcPr>
            <w:tcW w:w="75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1,583</w:t>
            </w:r>
          </w:p>
        </w:tc>
      </w:tr>
      <w:tr>
        <w:trPr>
          <w:trHeight w:val="20"/>
        </w:trPr>
        <w:tc>
          <w:tcPr>
            <w:tcW w:w="75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7580" w:type="dxa"/>
            <w:vAlign w:val="bottom"/>
            <w:gridSpan w:val="2"/>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2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quarter ended December 31, 2017, we reduced the current quarter provision for claims losses to 4.5%. During the quarter ended December 31, 2016, we released excess title reserves of $97 million in addition to reducing the provision for claims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3" w:name="page84"/>
    <w:bookmarkEnd w:id="8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losses for the quarter to 5.0%. In response to favorable development on recent year claims, the average provision rate has decreased in each of the years ended 2015, 2016, and 2017.</w:t>
      </w:r>
    </w:p>
    <w:p>
      <w:pPr>
        <w:spacing w:after="0" w:line="3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our recorded reserves may fall outside a reasonable range of our actuary's central estimate, which may require additional reserve adjustments in future periods.</w:t>
      </w: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Contingencies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$2 million and $68 million as of December 31, 2017 and 2016, respectively. During the quarter ended March 31, 2017, ServiceLink paid $65 million to settle all remaining obligations to complete the document execution review under the 2011 LPS consent order with certain banking agencies. Details of the consent order and the terms of the settlement are set forth in Note M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 our Annual Report for the year ended December 31, 2016. On January 12, 2018, the banking agencies entered an Order terminating the 2011 LPS consent order, having found ServiceLink attained full compliance.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Generally Accepted Accounting Principles and industry practice. These balances amounted to $15.4 billion at December 31, 2017. As a result of holding these customers’ assets in escrow, we have ongoing programs for realizing economic benefits during the year through favorable borrowing and vendor arrangements with various banks. There were no investments or loans outstanding as of December 31, 2017 and 2016 related to these arrangements.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10280" w:type="dxa"/>
            <w:vAlign w:val="bottom"/>
          </w:tcPr>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1028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59"/>
        </w:trPr>
        <w:tc>
          <w:tcPr>
            <w:tcW w:w="10280" w:type="dxa"/>
            <w:vAlign w:val="bottom"/>
          </w:tcPr>
          <w:p>
            <w:pPr>
              <w:spacing w:after="0"/>
              <w:rPr>
                <w:sz w:val="20"/>
                <w:szCs w:val="20"/>
                <w:color w:val="auto"/>
              </w:rPr>
            </w:pPr>
            <w:r>
              <w:rPr>
                <w:rFonts w:ascii="Arial" w:cs="Arial" w:eastAsia="Arial" w:hAnsi="Arial"/>
                <w:sz w:val="18"/>
                <w:szCs w:val="18"/>
                <w:i w:val="1"/>
                <w:iCs w:val="1"/>
                <w:color w:val="auto"/>
              </w:rPr>
              <w:t>Operating Leases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10280" w:type="dxa"/>
            <w:vAlign w:val="bottom"/>
          </w:tcPr>
          <w:p>
            <w:pPr>
              <w:ind w:left="30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10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0"/>
        </w:trPr>
        <w:tc>
          <w:tcPr>
            <w:tcW w:w="10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Rent expense incurred under operating leases during the years ended December 31, 2017, 2016 and 2015 was $144 million, $128 million, and $122 million, respectively. Rent expense in 2017, 2016, and 2015 includes abandoned lease charges related to office closures of $1 million.</w:t>
      </w:r>
    </w:p>
    <w:p>
      <w:pPr>
        <w:spacing w:after="0" w:line="38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Regulation and Equity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2017, the combined statutory unearned premium reserve required and reported for our title insurers was $1,400 million. In addition to statutory unearned premium reserves, each of our insurers maintains reserves for known claims and surplus funds for policyholder protection and business operations.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2017, $1,700 million of our net assets are restricted from dividend payments without prior approval from the Departments of Insurance. During 2018, our title insurers can pay or make distributions to us of approximately $363 million, without prior approval.</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$1,389 million and $1,469 million as of December 31, 2017 and 2016, respectively. The combined statutory net earnings of our title insurance subsidiaries were $434 million, $541 million, and $381 million for the years ended December 31, 2017, 2016, and 2015, respectively.</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8"/>
          <w:szCs w:val="18"/>
          <w:i w:val="1"/>
          <w:iCs w:val="1"/>
          <w:color w:val="auto"/>
        </w:rPr>
        <w:t>) Accounting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5" w:name="page86"/>
    <w:bookmarkEnd w:id="8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Practices and Procedures </w:t>
      </w:r>
      <w:r>
        <w:rPr>
          <w:rFonts w:ascii="Arial" w:cs="Arial" w:eastAsia="Arial" w:hAnsi="Arial"/>
          <w:sz w:val="16"/>
          <w:szCs w:val="16"/>
          <w:color w:val="auto"/>
        </w:rPr>
        <w:t>manual (“NAIC SAP”) has been adopted as a component of prescribed or permitted practices by each of the states that regulate us.</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2017 and 2016, respectively, was lower by approximately $28 million and $207 million than if we had reported such amounts in accordance with NAIC SAP. The decrease at December 31, 2017 from 2016 is primarily attributable to the Redomestication.</w:t>
      </w:r>
    </w:p>
    <w:p>
      <w:pPr>
        <w:spacing w:after="0" w:line="2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2017.</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worth. Minimum net worth requirements for each underwritten title company is less than $1 million. These companies were in compliance with their respective minimum net worth requirements at December 31, 2017.</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20, 2015, our Board of Directors approved a three-year stock repurchase program under which we can purchase up to 25 million shares of our FNF Group common stock through July 30, 2018. We may make repurchases from time to time in the open market, in block purchases or in privately negotiated transactions, depending on market conditions and other factors. Since the original commencement of the plan, we have repurchased a total of 10,589,000 FNF common shares for $372 million, or an average of $35.10 per share, and there are 14,411,000 shares available to be repurchased under this program.</w:t>
      </w:r>
    </w:p>
    <w:p>
      <w:pPr>
        <w:spacing w:after="0" w:line="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three-year period ended December 31, 2017, our eligible employees could voluntarily participate in employee stock purchase plans (“ESPPs”) sponsored by us and our subsidiaries. Pursuant to the ESPPs, employees may contribute an amount between 3% and 15% of their base salary and certain commissions. We contribute varying amounts as specified in the ESPPs.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contributed $23 million, $20 million, and $18 million to the ESPPs in the years ended December 31, 2017, 2016, and 2015, respectively, in accordance with the employer’s matching contribution.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three-year period ended December 31, 2017, we have offered our employees the opportunity to participate in our 401(k) profit sharing plans (the “401(k) Plan”), qualified voluntary contributory savings plans which are available to substantially all of our employees. Eligible employees may contribute up to 40% of their pretax annual compensation, up to the amount allowed pursuant to the Internal Revenue Code. We make an employer match on the 401(k) Plan of $0.375 on each $1.00 contributed up to the first 6% of eligible earnings contributed to the 401(k) Plan by employees. The employer match for the years ended December 31, 2017, 2016 and 2015 was $26 million, $26 million and $23 million, respectively, that was credited based on the participant's individual investment elections in the FNF 401(k) Plan.</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Omnibus Incentive Plan</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2005, we established the FNT 2005 Omnibus Incentive Plan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2017, there were 1,839,061 shares of restricted stock and 8,529,427 stock options outstanding under this plan. Awards granted are approved by the Compensation Committee of the Board of Directors. Options vest over a 3 year period and have a contractual life of 7 years. The exercise price for options granted equals the market price of the underlying stock on the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grant date. Stock option grants vest according to certain time based and operating performance criteria. Option exercises by participants are settled on the open market.</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stock option transactions under the Omnibus Plan for 2015, 2016, and 2017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Options</w:t>
            </w:r>
          </w:p>
        </w:tc>
        <w:tc>
          <w:tcPr>
            <w:tcW w:w="120" w:type="dxa"/>
            <w:vAlign w:val="bottom"/>
            <w:vMerge w:val="restart"/>
          </w:tcPr>
          <w:p>
            <w:pPr>
              <w:spacing w:after="0"/>
              <w:rPr>
                <w:sz w:val="14"/>
                <w:szCs w:val="1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Weighted 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9,393,211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5,173,802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1,886,320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(1,966,937)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9,300,509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5,256,426</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(1,846,153)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Pr>
          <w:p>
            <w:pPr>
              <w:jc w:val="right"/>
              <w:spacing w:after="0"/>
              <w:rPr>
                <w:sz w:val="20"/>
                <w:szCs w:val="20"/>
                <w:color w:val="auto"/>
              </w:rPr>
            </w:pPr>
            <w:r>
              <w:rPr>
                <w:rFonts w:ascii="Arial" w:cs="Arial" w:eastAsia="Arial" w:hAnsi="Arial"/>
                <w:sz w:val="18"/>
                <w:szCs w:val="18"/>
                <w:color w:val="auto"/>
              </w:rPr>
              <w:t>(7,673)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7,481,683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5,821,592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Options issued as make-whole adjustment for BK Distribution</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2,375,111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(1,313,061)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Pr>
          <w:p>
            <w:pPr>
              <w:jc w:val="right"/>
              <w:spacing w:after="0"/>
              <w:rPr>
                <w:sz w:val="20"/>
                <w:szCs w:val="20"/>
                <w:color w:val="auto"/>
              </w:rPr>
            </w:pPr>
            <w:r>
              <w:rPr>
                <w:rFonts w:ascii="Arial" w:cs="Arial" w:eastAsia="Arial" w:hAnsi="Arial"/>
                <w:sz w:val="18"/>
                <w:szCs w:val="18"/>
                <w:color w:val="auto"/>
              </w:rPr>
              <w:t>(14,306)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8,529,427</w:t>
            </w: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7,648,837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20" w:type="dxa"/>
            <w:vAlign w:val="bottom"/>
            <w:gridSpan w:val="2"/>
          </w:tcPr>
          <w:p>
            <w:pPr>
              <w:ind w:left="340"/>
              <w:spacing w:after="0"/>
              <w:rPr>
                <w:sz w:val="20"/>
                <w:szCs w:val="20"/>
                <w:color w:val="auto"/>
              </w:rPr>
            </w:pPr>
            <w:r>
              <w:rPr>
                <w:rFonts w:ascii="Arial" w:cs="Arial" w:eastAsia="Arial" w:hAnsi="Arial"/>
                <w:sz w:val="18"/>
                <w:szCs w:val="18"/>
                <w:color w:val="auto"/>
                <w:w w:val="91"/>
              </w:rPr>
              <w:t>FNF restricted stock transactions under the Omnibus Plan in 2015, 2016, and 2017 are as follows: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2014</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1,770,781</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(982,762)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7"/>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2015</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1,391,874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803,292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(720,227)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237"/>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Balance, December 31, 2016</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1,471,673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Restricted stock issued as make-whole adjustment for BK Distribution</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545,676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7"/>
        </w:trPr>
        <w:tc>
          <w:tcPr>
            <w:tcW w:w="75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43"/>
        </w:trPr>
        <w:tc>
          <w:tcPr>
            <w:tcW w:w="7520" w:type="dxa"/>
            <w:vAlign w:val="bottom"/>
            <w:gridSpan w:val="2"/>
          </w:tcPr>
          <w:p>
            <w:pPr>
              <w:ind w:left="280"/>
              <w:spacing w:after="0"/>
              <w:rPr>
                <w:sz w:val="20"/>
                <w:szCs w:val="20"/>
                <w:color w:val="auto"/>
              </w:rPr>
            </w:pPr>
            <w:r>
              <w:rPr>
                <w:rFonts w:ascii="Arial" w:cs="Arial" w:eastAsia="Arial" w:hAnsi="Arial"/>
                <w:sz w:val="18"/>
                <w:szCs w:val="18"/>
                <w:color w:val="auto"/>
              </w:rPr>
              <w:t>Vested</w:t>
            </w: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(995,873)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7"/>
        </w:trPr>
        <w:tc>
          <w:tcPr>
            <w:tcW w:w="75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1,839,061</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7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Range of</w:t>
            </w:r>
          </w:p>
        </w:tc>
        <w:tc>
          <w:tcPr>
            <w:tcW w:w="1280" w:type="dxa"/>
            <w:vAlign w:val="bottom"/>
          </w:tcPr>
          <w:p>
            <w:pPr>
              <w:jc w:val="right"/>
              <w:ind w:right="276"/>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60" w:type="dxa"/>
            <w:vAlign w:val="bottom"/>
          </w:tcPr>
          <w:p>
            <w:pPr>
              <w:spacing w:after="0"/>
              <w:rPr>
                <w:sz w:val="23"/>
                <w:szCs w:val="2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Intrinsic</w:t>
            </w:r>
          </w:p>
        </w:tc>
        <w:tc>
          <w:tcPr>
            <w:tcW w:w="1240" w:type="dxa"/>
            <w:vAlign w:val="bottom"/>
          </w:tcPr>
          <w:p>
            <w:pPr>
              <w:jc w:val="right"/>
              <w:ind w:right="256"/>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23"/>
                <w:szCs w:val="23"/>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Intrinsic</w:t>
            </w:r>
          </w:p>
        </w:tc>
      </w:tr>
      <w:tr>
        <w:trPr>
          <w:trHeight w:val="246"/>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Exercise Prices</w:t>
            </w:r>
          </w:p>
        </w:tc>
        <w:tc>
          <w:tcPr>
            <w:tcW w:w="1280" w:type="dxa"/>
            <w:vAlign w:val="bottom"/>
          </w:tcPr>
          <w:p>
            <w:pPr>
              <w:jc w:val="right"/>
              <w:ind w:right="336"/>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240" w:type="dxa"/>
            <w:vAlign w:val="bottom"/>
          </w:tcPr>
          <w:p>
            <w:pPr>
              <w:jc w:val="right"/>
              <w:ind w:right="316"/>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86"/>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(In years)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(In years)</w:t>
            </w: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8"/>
              <w:spacing w:after="0"/>
              <w:rPr>
                <w:sz w:val="20"/>
                <w:szCs w:val="20"/>
                <w:color w:val="auto"/>
              </w:rPr>
            </w:pPr>
            <w:r>
              <w:rPr>
                <w:rFonts w:ascii="Arial" w:cs="Arial" w:eastAsia="Arial" w:hAnsi="Arial"/>
                <w:sz w:val="13"/>
                <w:szCs w:val="13"/>
                <w:b w:val="1"/>
                <w:bCs w:val="1"/>
                <w:color w:val="auto"/>
                <w:w w:val="90"/>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$0.00 — $14.38</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662,763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662,763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$14.39 — $17.76</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4,070,183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4,070,183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87</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$17.77 — $21.84</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1,342,007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1,342,007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$21.85 — $25.34</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13,648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4,549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$25.35 — $25.53</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2,422,627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1,569,335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25.53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$25.54 — $26.99</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18,199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8,529,427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7,648,837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The total fair value of restricted stock awards granted in the years ended December 31, 2017, 2016 and 2015 was $31 million,$29 million, and $21 million, respectively. The total fair value of restricted stock awards which vested in the years ended December 31, 2017, 2016 and 2015 was $38 million, $25 million, and $35 million, respectively. Option awards are measured at fair value on the grant date using the Black Scholes Option Pricing Model. The intrinsic value of options exercised in the years ended December 31, 2017, 2016 and 2015 was $25 million, $46 million, and $47 million, respectively. Net earnings attributable to FNF Shareholders reflects stock-based compensation expense amounts of $44 million for the year ended December 31, 2017, $58 million for the year ended December 31, 2016, and $56 million for the year ended December 31, 2015, which are included in personnel costs in the reported financial results of each period.</w:t>
      </w:r>
    </w:p>
    <w:p>
      <w:pPr>
        <w:spacing w:after="0" w:line="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2017, the total unrecognized compensation cost related to non-vested stock option grants and restricted stock grants is $56 million, which is expected to be recognized in pre-tax income over a weighted average period of 1.65 years.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Plans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2000, FNF merged with Chicago Title Corporation ("Chicago Title"). In connection with the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 retirement plans, the measurement date is December 31.</w:t>
      </w:r>
    </w:p>
    <w:p>
      <w:pPr>
        <w:spacing w:after="0" w:line="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net pension liability included in Accounts payable and other accrued liabilities as of December 31, 2017, and 2016 was $4 million and $11 million, respectively. The discount rate used to determine the benefit obligation as of the years ended December 31, 2017 and 2016 was 3.34% and 3.54%, respectively. As of the years ended December 31, 2017 and 2016 the projected benefit obligation was $166 million and $168 million, respectively, and the fair value of plan assets was $162 million and $157 million, respectively. The net periodic expense included in the results of operations relating to these plans was $5 million, $6 million, and $8 million for the years ended December 31, 2017, 2016, and 2015, respectively.</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Postretirement and Other Nonqualified Employee Benefit Plans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assumed certain health care and life insurance benefits for retired Chicago Title employees in connection with the FNF merger with Chicago Title. Beginning on January 1, 2001, these benefits were offered to all employees who met specific eligibility requirements. Additionally, in connection with the acquisition of LandAmerica Financial Group's two principal title insurance underwriters, Commonwealth Land Title Insurance Company and Lawyers Title Insurance Corporation, as well as United Capital Title Insurance Company (collectively,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8" w:name="page89"/>
    <w:bookmarkEnd w:id="8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$13 million at December 31, 2017 and $14 million at December 31, 2016. The net costs relating to these plans were immaterial for the years ended December 31, 2017, 2016, and 2015.</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Supplementary Cash Flow Information</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during the year:</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w w:val="96"/>
              </w:rPr>
              <w:t>Interest</w:t>
            </w:r>
          </w:p>
        </w:tc>
        <w:tc>
          <w:tcPr>
            <w:tcW w:w="73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20" w:type="dxa"/>
            <w:vAlign w:val="bottom"/>
          </w:tcPr>
          <w:p>
            <w:pPr>
              <w:spacing w:after="0"/>
              <w:rPr>
                <w:sz w:val="2"/>
                <w:szCs w:val="2"/>
                <w:color w:val="auto"/>
              </w:rPr>
            </w:pPr>
          </w:p>
        </w:tc>
        <w:tc>
          <w:tcPr>
            <w:tcW w:w="8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r>
      <w:tr>
        <w:trPr>
          <w:trHeight w:val="243"/>
        </w:trPr>
        <w:tc>
          <w:tcPr>
            <w:tcW w:w="20" w:type="dxa"/>
            <w:vAlign w:val="bottom"/>
          </w:tcPr>
          <w:p>
            <w:pPr>
              <w:spacing w:after="0"/>
              <w:rPr>
                <w:sz w:val="21"/>
                <w:szCs w:val="21"/>
                <w:color w:val="auto"/>
              </w:rPr>
            </w:pPr>
          </w:p>
        </w:tc>
        <w:tc>
          <w:tcPr>
            <w:tcW w:w="81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0" w:type="dxa"/>
            <w:vAlign w:val="bottom"/>
          </w:tcPr>
          <w:p>
            <w:pPr>
              <w:spacing w:after="0"/>
              <w:rPr>
                <w:sz w:val="21"/>
                <w:szCs w:val="21"/>
                <w:color w:val="auto"/>
              </w:rPr>
            </w:pPr>
          </w:p>
        </w:tc>
        <w:tc>
          <w:tcPr>
            <w:tcW w:w="8100" w:type="dxa"/>
            <w:vAlign w:val="bottom"/>
            <w:gridSpan w:val="2"/>
          </w:tcPr>
          <w:p>
            <w:pPr>
              <w:ind w:left="26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8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gridSpan w:val="2"/>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Liabilities assumed in connection with acquisitions (1):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100" w:type="dxa"/>
            <w:vAlign w:val="bottom"/>
            <w:gridSpan w:val="2"/>
          </w:tcPr>
          <w:p>
            <w:pPr>
              <w:ind w:left="360"/>
              <w:spacing w:after="0"/>
              <w:rPr>
                <w:sz w:val="20"/>
                <w:szCs w:val="20"/>
                <w:color w:val="auto"/>
              </w:rPr>
            </w:pPr>
            <w:r>
              <w:rPr>
                <w:rFonts w:ascii="Arial" w:cs="Arial" w:eastAsia="Arial" w:hAnsi="Arial"/>
                <w:sz w:val="18"/>
                <w:szCs w:val="18"/>
                <w:color w:val="auto"/>
              </w:rPr>
              <w:t>Fair value of net assets acquired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155</w:t>
            </w:r>
          </w:p>
        </w:tc>
      </w:tr>
      <w:tr>
        <w:trPr>
          <w:trHeight w:val="27"/>
        </w:trPr>
        <w:tc>
          <w:tcPr>
            <w:tcW w:w="20" w:type="dxa"/>
            <w:vAlign w:val="bottom"/>
          </w:tcPr>
          <w:p>
            <w:pPr>
              <w:spacing w:after="0"/>
              <w:rPr>
                <w:sz w:val="2"/>
                <w:szCs w:val="2"/>
                <w:color w:val="auto"/>
              </w:rPr>
            </w:pPr>
          </w:p>
        </w:tc>
        <w:tc>
          <w:tcPr>
            <w:tcW w:w="8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Less: Total purchase price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37"/>
        </w:trPr>
        <w:tc>
          <w:tcPr>
            <w:tcW w:w="20" w:type="dxa"/>
            <w:vAlign w:val="bottom"/>
          </w:tcPr>
          <w:p>
            <w:pPr>
              <w:spacing w:after="0"/>
              <w:rPr>
                <w:sz w:val="20"/>
                <w:szCs w:val="20"/>
                <w:color w:val="auto"/>
              </w:rPr>
            </w:pPr>
          </w:p>
        </w:tc>
        <w:tc>
          <w:tcPr>
            <w:tcW w:w="8100" w:type="dxa"/>
            <w:vAlign w:val="bottom"/>
            <w:gridSpan w:val="2"/>
          </w:tcPr>
          <w:p>
            <w:pPr>
              <w:ind w:left="360"/>
              <w:spacing w:after="0"/>
              <w:rPr>
                <w:sz w:val="20"/>
                <w:szCs w:val="20"/>
                <w:color w:val="auto"/>
              </w:rPr>
            </w:pPr>
            <w:r>
              <w:rPr>
                <w:rFonts w:ascii="Arial" w:cs="Arial" w:eastAsia="Arial" w:hAnsi="Arial"/>
                <w:sz w:val="18"/>
                <w:szCs w:val="18"/>
                <w:color w:val="auto"/>
              </w:rPr>
              <w:t>Liabilities and noncontrolling interests assumed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20" w:type="dxa"/>
            <w:vAlign w:val="bottom"/>
          </w:tcPr>
          <w:p>
            <w:pPr>
              <w:spacing w:after="0"/>
              <w:rPr>
                <w:sz w:val="2"/>
                <w:szCs w:val="2"/>
                <w:color w:val="auto"/>
              </w:rPr>
            </w:pPr>
          </w:p>
        </w:tc>
        <w:tc>
          <w:tcPr>
            <w:tcW w:w="8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Change in treasury stock purchases payable in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2"/>
        </w:trPr>
        <w:tc>
          <w:tcPr>
            <w:tcW w:w="20" w:type="dxa"/>
            <w:vAlign w:val="bottom"/>
          </w:tcPr>
          <w:p>
            <w:pPr>
              <w:spacing w:after="0"/>
              <w:rPr>
                <w:sz w:val="17"/>
                <w:szCs w:val="17"/>
                <w:color w:val="auto"/>
              </w:rPr>
            </w:pPr>
          </w:p>
        </w:tc>
        <w:tc>
          <w:tcPr>
            <w:tcW w:w="8100" w:type="dxa"/>
            <w:vAlign w:val="bottom"/>
            <w:gridSpan w:val="2"/>
          </w:tcPr>
          <w:p>
            <w:pPr>
              <w:spacing w:after="0" w:line="201" w:lineRule="exact"/>
              <w:rPr>
                <w:sz w:val="20"/>
                <w:szCs w:val="20"/>
                <w:color w:val="auto"/>
              </w:rPr>
            </w:pPr>
            <w:r>
              <w:rPr>
                <w:rFonts w:ascii="Arial" w:cs="Arial" w:eastAsia="Arial" w:hAnsi="Arial"/>
                <w:sz w:val="18"/>
                <w:szCs w:val="18"/>
                <w:color w:val="auto"/>
              </w:rPr>
              <w:t>_____________________________________</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9260" w:type="dxa"/>
            <w:vAlign w:val="bottom"/>
            <w:gridSpan w:val="6"/>
          </w:tcPr>
          <w:p>
            <w:pPr>
              <w:spacing w:after="0"/>
              <w:rPr>
                <w:sz w:val="20"/>
                <w:szCs w:val="20"/>
                <w:color w:val="auto"/>
              </w:rPr>
            </w:pPr>
            <w:r>
              <w:rPr>
                <w:rFonts w:ascii="Arial" w:cs="Arial" w:eastAsia="Arial" w:hAnsi="Arial"/>
                <w:sz w:val="18"/>
                <w:szCs w:val="18"/>
                <w:color w:val="auto"/>
                <w:w w:val="91"/>
              </w:rPr>
              <w:t xml:space="preserve">(1) See Note B </w:t>
            </w:r>
            <w:r>
              <w:rPr>
                <w:rFonts w:ascii="Arial" w:cs="Arial" w:eastAsia="Arial" w:hAnsi="Arial"/>
                <w:sz w:val="18"/>
                <w:szCs w:val="18"/>
                <w:i w:val="1"/>
                <w:iCs w:val="1"/>
                <w:color w:val="auto"/>
                <w:w w:val="91"/>
              </w:rPr>
              <w:t>Acquisitions</w:t>
            </w:r>
            <w:r>
              <w:rPr>
                <w:rFonts w:ascii="Arial" w:cs="Arial" w:eastAsia="Arial" w:hAnsi="Arial"/>
                <w:sz w:val="18"/>
                <w:szCs w:val="18"/>
                <w:color w:val="auto"/>
                <w:w w:val="91"/>
              </w:rPr>
              <w:t xml:space="preserve"> for further discussion of assets and liabilities acquired in business combinations in the current year.</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Note Q.</w:t>
            </w:r>
          </w:p>
        </w:tc>
        <w:tc>
          <w:tcPr>
            <w:tcW w:w="7340" w:type="dxa"/>
            <w:vAlign w:val="bottom"/>
          </w:tcPr>
          <w:p>
            <w:pPr>
              <w:ind w:left="80"/>
              <w:spacing w:after="0"/>
              <w:rPr>
                <w:sz w:val="20"/>
                <w:szCs w:val="20"/>
                <w:color w:val="auto"/>
              </w:rPr>
            </w:pPr>
            <w:r>
              <w:rPr>
                <w:rFonts w:ascii="Arial" w:cs="Arial" w:eastAsia="Arial" w:hAnsi="Arial"/>
                <w:sz w:val="18"/>
                <w:szCs w:val="18"/>
                <w:b w:val="1"/>
                <w:bCs w:val="1"/>
                <w:color w:val="auto"/>
              </w:rPr>
              <w:t>Financial Instruments with Off-Balance Sheet Risk and Concentration of Risk</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Arial" w:cs="Arial" w:eastAsia="Arial" w:hAnsi="Arial"/>
                <w:sz w:val="18"/>
                <w:szCs w:val="18"/>
                <w:i w:val="1"/>
                <w:iCs w:val="1"/>
                <w:color w:val="auto"/>
              </w:rPr>
              <w:t>Title</w:t>
            </w:r>
          </w:p>
        </w:tc>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7"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significant amount of title insurance premiums in California, Texas, Florida and New York. Title insurance premiums as a percentage of the total title insurance premiums written from those four states are detailed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Texas</w:t>
            </w: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short-term investments, and trade receivables.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3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R.</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September 29, 2017, we completed the BK Distribution. As a result, Black Knight is no longer a reportable segment and the historical results of Black Knight are presented as discontinued operations for all periods presented and are excluded from the following tables. Refer to Note G </w:t>
      </w:r>
      <w:r>
        <w:rPr>
          <w:rFonts w:ascii="Arial" w:cs="Arial" w:eastAsia="Arial" w:hAnsi="Arial"/>
          <w:sz w:val="18"/>
          <w:szCs w:val="18"/>
          <w:i w:val="1"/>
          <w:iCs w:val="1"/>
          <w:color w:val="auto"/>
        </w:rPr>
        <w:t>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for further discussion of the results of Black Knight.</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On November 17, 2017, we completed the FNFV Split-off. As a result, FNFV is no longer a reportable segment and the historical results of FNFV are presented as discontinued operations for all periods presented and are excluded from the following tables. Refer to Note G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discussion of the results of FNFV.</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There are certain intercompany corporate related arrangements between our various businesses. The effects of these arrangements including intercompany notes and related interest and any other non-operational intercompany revenues and expenses have been eliminated in the segment presentations below.</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180" w:type="dxa"/>
            <w:vAlign w:val="bottom"/>
          </w:tcPr>
          <w:p>
            <w:pPr>
              <w:spacing w:after="0"/>
              <w:rPr>
                <w:sz w:val="13"/>
                <w:szCs w:val="13"/>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w w:val="96"/>
              </w:rPr>
              <w:t>Total FNF</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4,893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2,181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2,637</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7,530</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(loss),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7,211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7,663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864</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235</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629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691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639</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9,151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2,746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90" w:name="page91"/>
    <w:bookmarkEnd w:id="9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180" w:type="dxa"/>
            <w:vAlign w:val="bottom"/>
          </w:tcPr>
          <w:p>
            <w:pPr>
              <w:spacing w:after="0"/>
              <w:rPr>
                <w:sz w:val="13"/>
                <w:szCs w:val="13"/>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w w:val="96"/>
              </w:rPr>
              <w:t>Total FNF</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4,723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2,128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2,416</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6,851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7,139</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(loss),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6,978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7,257</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955</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347</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608</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652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622</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8,756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14,521</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2,555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180" w:type="dxa"/>
            <w:vAlign w:val="bottom"/>
          </w:tcPr>
          <w:p>
            <w:pPr>
              <w:spacing w:after="0"/>
              <w:rPr>
                <w:sz w:val="13"/>
                <w:szCs w:val="13"/>
                <w:color w:val="auto"/>
              </w:rPr>
            </w:pPr>
          </w:p>
        </w:tc>
        <w:tc>
          <w:tcPr>
            <w:tcW w:w="8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w w:val="96"/>
              </w:rPr>
              <w:t>Total FNF</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4,286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2,005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2,246</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6,291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6,532</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(loss),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6,428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6,664</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(loss)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770</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274</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(loss)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496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537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501</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14,043</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2,348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recordings and reconveyances,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jc w:val="both"/>
        <w:ind w:left="660" w:hanging="409"/>
        <w:spacing w:after="0" w:line="279"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This segment consists of the operations of the parent holding company, our various real estate brokerage businesses, and CINC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other real estate technology subsidiaries. This segment also includes certain other unallocated corporate overhead expenses and eliminations of revenues and expenses between it and our Title segment. This segment also includes the assets of discontinued operations, Black Knight and FNFV, as of December 31, 2016 and 2015. Refer to Note G. </w:t>
      </w:r>
      <w:r>
        <w:rPr>
          <w:rFonts w:ascii="Arial" w:cs="Arial" w:eastAsia="Arial" w:hAnsi="Arial"/>
          <w:sz w:val="17"/>
          <w:szCs w:val="17"/>
          <w:i w:val="1"/>
          <w:iCs w:val="1"/>
          <w:color w:val="auto"/>
        </w:rPr>
        <w:t>Discontinued Operations</w:t>
      </w:r>
      <w:r>
        <w:rPr>
          <w:rFonts w:ascii="Arial" w:cs="Arial" w:eastAsia="Arial" w:hAnsi="Arial"/>
          <w:sz w:val="17"/>
          <w:szCs w:val="17"/>
          <w:color w:val="auto"/>
        </w:rPr>
        <w:t xml:space="preserve"> for further information.</w:t>
      </w:r>
    </w:p>
    <w:p>
      <w:pPr>
        <w:sectPr>
          <w:pgSz w:w="11900" w:h="16838" w:orient="portrait"/>
          <w:cols w:equalWidth="0" w:num="1">
            <w:col w:w="11420"/>
          </w:cols>
          <w:pgMar w:left="240" w:top="121"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1" w:right="239" w:bottom="1440" w:gutter="0" w:footer="0" w:header="0"/>
          <w:type w:val="continuous"/>
        </w:sectPr>
      </w:pPr>
    </w:p>
    <w:bookmarkStart w:id="91" w:name="page92"/>
    <w:bookmarkEnd w:id="9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5"/>
          <w:szCs w:val="15"/>
          <w:b w:val="1"/>
          <w:bCs w:val="1"/>
          <w:color w:val="auto"/>
        </w:rPr>
        <w:t>Recent Accounting Pronouncements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whether goods and services are separately identifiable and thus accounted for as separate performance obligations. ASU 2016-12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(Topic 606): Narrow-Scope Improvements and Practical Expedients </w:t>
      </w:r>
      <w:r>
        <w:rPr>
          <w:rFonts w:ascii="Arial" w:cs="Arial" w:eastAsia="Arial" w:hAnsi="Arial"/>
          <w:sz w:val="17"/>
          <w:szCs w:val="17"/>
          <w:color w:val="auto"/>
        </w:rPr>
        <w:t>was issued by the FASB in May 2016 to clarify certain terms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aforementioned updates and to add practical expedients for contracts at various stages of completion. ASU 2016-20, </w:t>
      </w:r>
      <w:r>
        <w:rPr>
          <w:rFonts w:ascii="Arial" w:cs="Arial" w:eastAsia="Arial" w:hAnsi="Arial"/>
          <w:sz w:val="17"/>
          <w:szCs w:val="17"/>
          <w:i w:val="1"/>
          <w:iCs w:val="1"/>
          <w:color w:val="auto"/>
        </w:rPr>
        <w:t>Technical Corrections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606, Revenue from Contracts with Customers</w:t>
      </w:r>
      <w:r>
        <w:rPr>
          <w:rFonts w:ascii="Arial" w:cs="Arial" w:eastAsia="Arial" w:hAnsi="Arial"/>
          <w:sz w:val="17"/>
          <w:szCs w:val="17"/>
          <w:color w:val="auto"/>
        </w:rPr>
        <w:t>, was issued by the FASB in December 2016 which includes thirteen technical</w:t>
      </w:r>
      <w:r>
        <w:rPr>
          <w:rFonts w:ascii="Arial" w:cs="Arial" w:eastAsia="Arial" w:hAnsi="Arial"/>
          <w:sz w:val="17"/>
          <w:szCs w:val="17"/>
          <w:i w:val="1"/>
          <w:iCs w:val="1"/>
          <w:color w:val="auto"/>
        </w:rPr>
        <w:t xml:space="preserve"> </w:t>
      </w:r>
      <w:r>
        <w:rPr>
          <w:rFonts w:ascii="Arial" w:cs="Arial" w:eastAsia="Arial" w:hAnsi="Arial"/>
          <w:sz w:val="17"/>
          <w:szCs w:val="17"/>
          <w:color w:val="auto"/>
        </w:rPr>
        <w:t>corrections and improvements affecting narrow aspects of the guidance issued in ASU 2014-09.</w:t>
      </w:r>
    </w:p>
    <w:p>
      <w:pPr>
        <w:spacing w:after="0" w:line="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our analysis of the impact of the standards and have concluded that these standards will not have a material impact on our accounting or reporting.</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Upon issuance of ASU 2015-14, the effective date of ASU 2014-09 was deferred to annual and interim periods beginning on or after December 15, 2017. We will adopt the guidance on January 1, 2018. Either of the following transition methods is permitted: (i) a full retrospective approach reflecting the application of the new standard in each prior reporting period, or (ii) a modified retrospective approach with a cumulative-effect adjustment to the opening balance of retained earnings in the year the new standard is first applied. We plan to transition to this new guidance using the modified retrospective approach.</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 We have completed our evaluation of the effects this new guidance will have on our consolidated financial statements and related disclosures and have determined that the ASU will result in: (1) reclassification of our unrealized gains and losses on our equity and preferred securities available for sale currently included in accumulated other comprehensive income to beginning retained earnings as of January 1, 2018 and (2) changes in fair value of our equity and preferred securities available for sale subsequent to January 1, 2018 to be included in our earnings from continuing operations. As of December 31, 2017, we held equity and preferred securities available for sale with combined net unrealized gains (net of losses) of $164 million and $12 million, respectively. Including the associated effects of deferred taxes, based on the net of tax balances as of December 31, 2017, we expect to reclassify a total of approximately $109 million from Accumulated other comprehensive income to beginning Retained earnings as of January 1, 2018.</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 lessees are required to recognize a right-of-use asset and a lease liability for all operating leases at each reporting date based on the present value of the remaining minimum rental payments that were tracked and disclosed under previous GAAP. We are still evaluating the totality of the effects this new guidance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2" w:name="page93"/>
    <w:bookmarkEnd w:id="9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will have on our business process and systems, consolidated financial statements, related disclosures. We have identified a vendor with software suited to track and account for leases under the new standard. We have not concluded on the anticipated financial statement effects of adoption. We plan to adopt this standard on January 1, 2019. We are currently evaluating the impact of the adoption of this standard on our consolidated financial statements.</w:t>
      </w:r>
    </w:p>
    <w:p>
      <w:pPr>
        <w:spacing w:after="0" w:line="3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debt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currently evaluating the effect this new guidance will have on our consolidated financial statements and related disclosures and have not yet concluded on its effects. We do not plan to early adopt the standard.</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The amendments in this ASU introduce clarifications to the presentation of certain cash receipts and cash payments in the statement of cash flows. The primary updates include additions and clarifications of the classification of cash flows related to certain debt repayment activities, contingent consideration payments related to business combinations, proceeds from insurance policies, distributions from equity method investees, and cash flows related to securitized receivables.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will adopt this ASU on January 1, 2018 and based on our preliminary analysis, we do not expect the adoption of this ASU to have a material impact on our resulting operating, investing, or financing cash flows.</w:t>
      </w:r>
    </w:p>
    <w:p>
      <w:pPr>
        <w:spacing w:after="0" w:line="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The amendments in this ASU require that a statement of cash flows explain the change during the period in the total of cash, cash equivalents, and amounts generally described as restricted cash or restricted cash equivalents. GAAP currently does not include specific guidance on the cash flow classification and presentation of changes in restricted cash. The Company currently excludes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Early adoption of this ASU is permitted, including in interim periods. The ASU requires retrospective application to all prior periods presented upon adoption. We will adopt this ASU on January 1, 2018. Based on our preliminary analysis, we expect the adoption of this ASU to result in the movement of the change in our cash pledged against secured trust deposits from operating activities to the net change in cash, the change in investments pledged against secured trust deposits from operating to investing activities, and the change in secured trust deposits from operating to financing activities.</w:t>
      </w:r>
    </w:p>
    <w:p>
      <w:pPr>
        <w:spacing w:after="0" w:line="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to assist companies with evaluating whether transactions should be accounted for as acquisitions of assets or businesses. The new guidance requires a company to evaluate if substantially all of the fair value of the gross assets acquired (or disposed of) is concentrated in a single identifiable asset or a group of similar identifiable assets; if so, the set of assets and activities is not a business. The guidance also requires a business to include at least one substantive process and narrows the definition of outputs by more closely aligning it with how outputs are described in the guidance for revenue from contracts with customers. The new standard is effective for fiscal years, and interim periods within those fiscal years, beginning after December 15, 2017, with early adoption permitted. The guidance should be applied prospectively to any transactions occurring within the period of adoption. We will adopt this ASU on January 1, 2018. Based on our historical acquisition activity, we do not expect this to have a material impact on our ongoing accounting or financial reporting.</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are currently evaluating the effect this new guidance will have on our consolidated financial statements and related disclosures and have not yet concluded on its effects.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Purchased Callable Debt Securities</w:t>
      </w:r>
      <w:r>
        <w:rPr>
          <w:rFonts w:ascii="Arial" w:cs="Arial" w:eastAsia="Arial" w:hAnsi="Arial"/>
          <w:sz w:val="18"/>
          <w:szCs w:val="18"/>
          <w:color w:val="auto"/>
        </w:rPr>
        <w:t>. The amendments in this ASU shortens the amortization period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3" w:name="page94"/>
    <w:bookmarkEnd w:id="9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premium on certain purchased callable debt securities to the earliest call date. The new guidance does not change the accounting for purchased callable debt securities held at a discount. This update is effective for annual periods beginning after December 15, 2018, including interim periods within those fiscal years. Early adoption of this ASU is permitted, including in interim periods. We early adopted the standard as of January 1, 2017. The adoption of this standard did not have a material impact on our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2" w:lineRule="exact"/>
        <w:rPr>
          <w:sz w:val="20"/>
          <w:szCs w:val="20"/>
          <w:color w:val="auto"/>
        </w:rPr>
      </w:pPr>
    </w:p>
    <w:p>
      <w:pPr>
        <w:ind w:firstLine="8"/>
        <w:spacing w:after="0" w:line="261"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as appropriate to allow timely decisions regarding required disclosure.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2017 that have materially affected, or are reasonably likely to materially affect, our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7"/>
          <w:szCs w:val="17"/>
          <w:i w:val="1"/>
          <w:iCs w:val="1"/>
          <w:color w:val="auto"/>
        </w:rPr>
        <w:t xml:space="preserve">Internal Control-Integrated Framework (2013) </w:t>
      </w:r>
      <w:r>
        <w:rPr>
          <w:rFonts w:ascii="Arial" w:cs="Arial" w:eastAsia="Arial" w:hAnsi="Arial"/>
          <w:sz w:val="17"/>
          <w:szCs w:val="17"/>
          <w:color w:val="auto"/>
        </w:rPr>
        <w:t>issued by the Committee of Sponsoring Organizations of the Treadway Commission (COSO). Based on our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under this framework, our management concluded that our internal control over financial reporting was effective as of December 31, 2017. The effectiveness of our internal control over financial reporting as of December 31, 2017 has been audited by Ernst &amp; Young LLP, an independent registered public accounting firm, as stated in their report which is included herein.</w:t>
      </w:r>
    </w:p>
    <w:p>
      <w:pPr>
        <w:spacing w:after="0" w:line="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Within 120 days after the close of our fiscal year, we intend to file with the Securities and Exchange Commission the matters required by these items.</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240" w:top="125" w:right="5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94" w:lineRule="exact"/>
        <w:rPr>
          <w:sz w:val="20"/>
          <w:szCs w:val="20"/>
          <w:color w:val="auto"/>
        </w:rPr>
      </w:pPr>
    </w:p>
    <w:p>
      <w:pPr>
        <w:ind w:firstLine="332"/>
        <w:spacing w:after="0" w:line="277" w:lineRule="auto"/>
        <w:tabs>
          <w:tab w:leader="none" w:pos="5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60" w:type="dxa"/>
            <w:vAlign w:val="bottom"/>
            <w:gridSpan w:val="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 on Effectiveness of Internal Control over Financial Reporting</w:t>
              </w:r>
            </w:hyperlink>
          </w:p>
        </w:tc>
        <w:tc>
          <w:tcPr>
            <w:tcW w:w="260" w:type="dxa"/>
            <w:vAlign w:val="bottom"/>
            <w:gridSpan w:val="2"/>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50"/>
        </w:trPr>
        <w:tc>
          <w:tcPr>
            <w:tcW w:w="8680" w:type="dxa"/>
            <w:vAlign w:val="bottom"/>
            <w:tcBorders>
              <w:top w:val="single" w:sz="8" w:color="0000EE"/>
            </w:tcBorders>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 on Financial Statements</w:t>
              </w:r>
            </w:hyperlink>
          </w:p>
        </w:tc>
        <w:tc>
          <w:tcPr>
            <w:tcW w:w="2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46</w:t>
              </w:r>
            </w:hyperlink>
          </w:p>
        </w:tc>
      </w:tr>
      <w:tr>
        <w:trPr>
          <w:trHeight w:val="250"/>
        </w:trPr>
        <w:tc>
          <w:tcPr>
            <w:tcW w:w="5980" w:type="dxa"/>
            <w:vAlign w:val="bottom"/>
            <w:tcBorders>
              <w:top w:val="single" w:sz="8" w:color="0000EE"/>
            </w:tcBorders>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Consolidated Balance Sheets as of December 31, 2017 and 2016</w:t>
              </w:r>
            </w:hyperlink>
          </w:p>
        </w:tc>
        <w:tc>
          <w:tcPr>
            <w:tcW w:w="5080" w:type="dxa"/>
            <w:vAlign w:val="bottom"/>
            <w:gridSpan w:val="6"/>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7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Consolidated Statements of Earnings for the years ended December 31, 2017, 2016 and 2015</w:t>
              </w:r>
            </w:hyperlink>
          </w:p>
        </w:tc>
        <w:tc>
          <w:tcPr>
            <w:tcW w:w="4360" w:type="dxa"/>
            <w:vAlign w:val="bottom"/>
            <w:gridSpan w:val="4"/>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49</w:t>
              </w:r>
            </w:hyperlink>
          </w:p>
        </w:tc>
      </w:tr>
      <w:tr>
        <w:trPr>
          <w:trHeight w:val="250"/>
        </w:trPr>
        <w:tc>
          <w:tcPr>
            <w:tcW w:w="7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Comprehensive Earnings for the years ended December 31, 2017, 2016 and 2015</w:t>
              </w:r>
            </w:hyperlink>
          </w:p>
        </w:tc>
        <w:tc>
          <w:tcPr>
            <w:tcW w:w="31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r>
      <w:tr>
        <w:trPr>
          <w:trHeight w:val="250"/>
        </w:trPr>
        <w:tc>
          <w:tcPr>
            <w:tcW w:w="65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Equity for the years ended December 31, 2017, 2016 and 2015</w:t>
              </w:r>
            </w:hyperlink>
          </w:p>
        </w:tc>
        <w:tc>
          <w:tcPr>
            <w:tcW w:w="4520" w:type="dxa"/>
            <w:vAlign w:val="bottom"/>
            <w:gridSpan w:val="5"/>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51</w:t>
              </w:r>
            </w:hyperlink>
          </w:p>
        </w:tc>
      </w:tr>
      <w:tr>
        <w:trPr>
          <w:trHeight w:val="250"/>
        </w:trPr>
        <w:tc>
          <w:tcPr>
            <w:tcW w:w="1106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 for the years ended December 31, 2017, 2016 and 2015</w:t>
              </w:r>
            </w:hyperlink>
          </w:p>
        </w:tc>
        <w:tc>
          <w:tcPr>
            <w:tcW w:w="260" w:type="dxa"/>
            <w:vAlign w:val="bottom"/>
            <w:gridSpan w:val="2"/>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50"/>
        </w:trPr>
        <w:tc>
          <w:tcPr>
            <w:tcW w:w="6900" w:type="dxa"/>
            <w:vAlign w:val="bottom"/>
            <w:tcBorders>
              <w:top w:val="single" w:sz="8" w:color="0000EE"/>
            </w:tcBorders>
            <w:gridSpan w:val="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41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79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5"/>
        </w:trPr>
        <w:tc>
          <w:tcPr>
            <w:tcW w:w="11060" w:type="dxa"/>
            <w:vAlign w:val="bottom"/>
            <w:gridSpan w:val="9"/>
          </w:tcPr>
          <w:p>
            <w:pPr>
              <w:ind w:left="300"/>
              <w:spacing w:after="0"/>
              <w:rPr>
                <w:sz w:val="20"/>
                <w:szCs w:val="20"/>
                <w:color w:val="auto"/>
              </w:rPr>
            </w:pPr>
            <w:r>
              <w:rPr>
                <w:rFonts w:ascii="Arial" w:cs="Arial" w:eastAsia="Arial" w:hAnsi="Arial"/>
                <w:sz w:val="18"/>
                <w:szCs w:val="18"/>
                <w:color w:val="auto"/>
                <w:w w:val="95"/>
              </w:rPr>
              <w:t xml:space="preserve">(a) (2) </w:t>
            </w:r>
            <w:r>
              <w:rPr>
                <w:rFonts w:ascii="Arial" w:cs="Arial" w:eastAsia="Arial" w:hAnsi="Arial"/>
                <w:sz w:val="18"/>
                <w:szCs w:val="18"/>
                <w:i w:val="1"/>
                <w:iCs w:val="1"/>
                <w:color w:val="auto"/>
                <w:w w:val="95"/>
              </w:rPr>
              <w:t>Financial Statement Schedules.</w:t>
            </w:r>
            <w:r>
              <w:rPr>
                <w:rFonts w:ascii="Arial" w:cs="Arial" w:eastAsia="Arial" w:hAnsi="Arial"/>
                <w:sz w:val="18"/>
                <w:szCs w:val="18"/>
                <w:color w:val="auto"/>
                <w:w w:val="95"/>
              </w:rPr>
              <w:t xml:space="preserve">  The following is a list of financial statement schedules filed as part of this annual report on Form 10-K:</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1106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II: </w:t>
            </w:r>
            <w:r>
              <w:rPr>
                <w:rFonts w:ascii="Arial" w:cs="Arial" w:eastAsia="Arial" w:hAnsi="Arial"/>
                <w:sz w:val="18"/>
                <w:szCs w:val="18"/>
                <w:color w:val="auto"/>
              </w:rPr>
              <w:t>Fidelity National Financial, Inc. (Parent Company Financial Statements)</w:t>
            </w:r>
          </w:p>
        </w:tc>
        <w:tc>
          <w:tcPr>
            <w:tcW w:w="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2">
              <w:r>
                <w:rPr>
                  <w:rFonts w:ascii="Arial" w:cs="Arial" w:eastAsia="Arial" w:hAnsi="Arial"/>
                  <w:sz w:val="18"/>
                  <w:szCs w:val="18"/>
                  <w:color w:val="0000EE"/>
                  <w:w w:val="79"/>
                </w:rPr>
                <w:t>98</w:t>
              </w:r>
            </w:hyperlink>
          </w:p>
        </w:tc>
      </w:tr>
      <w:tr>
        <w:trPr>
          <w:trHeight w:val="250"/>
        </w:trPr>
        <w:tc>
          <w:tcPr>
            <w:tcW w:w="1106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V: </w:t>
            </w:r>
            <w:r>
              <w:rPr>
                <w:rFonts w:ascii="Arial" w:cs="Arial" w:eastAsia="Arial" w:hAnsi="Arial"/>
                <w:sz w:val="18"/>
                <w:szCs w:val="18"/>
                <w:color w:val="auto"/>
              </w:rPr>
              <w:t>Valuation and Qualifying Accounts</w:t>
            </w:r>
          </w:p>
        </w:tc>
        <w:tc>
          <w:tcPr>
            <w:tcW w:w="26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06">
              <w:r>
                <w:rPr>
                  <w:rFonts w:ascii="Arial" w:cs="Arial" w:eastAsia="Arial" w:hAnsi="Arial"/>
                  <w:sz w:val="18"/>
                  <w:szCs w:val="18"/>
                  <w:color w:val="0000EE"/>
                  <w:w w:val="79"/>
                </w:rPr>
                <w:t>102</w:t>
              </w:r>
            </w:hyperlink>
          </w:p>
        </w:tc>
      </w:tr>
    </w:tbl>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The following exhibits are incorporated by reference or are set forth on pages to this Form 10-K:</w:t>
      </w:r>
    </w:p>
    <w:p>
      <w:pPr>
        <w:spacing w:after="0" w:line="25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380" w:type="dxa"/>
            <w:vAlign w:val="bottom"/>
            <w:gridSpan w:val="19"/>
            <w:vMerge w:val="restart"/>
          </w:tcPr>
          <w:p>
            <w:pPr>
              <w:ind w:left="1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380" w:type="dxa"/>
            <w:vAlign w:val="bottom"/>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40" w:type="dxa"/>
            <w:vAlign w:val="bottom"/>
          </w:tcPr>
          <w:p>
            <w:pPr>
              <w:spacing w:after="0"/>
              <w:rPr>
                <w:sz w:val="24"/>
                <w:szCs w:val="24"/>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89"/>
              </w:rPr>
            </w:pPr>
            <w:hyperlink r:id="rId22">
              <w:r>
                <w:rPr>
                  <w:rFonts w:ascii="Arial" w:cs="Arial" w:eastAsia="Arial" w:hAnsi="Arial"/>
                  <w:sz w:val="18"/>
                  <w:szCs w:val="18"/>
                  <w:color w:val="0000FF"/>
                  <w:w w:val="89"/>
                </w:rPr>
                <w:t>Securities Exchange and Distribution Agreement between Old FNF and the Registrant, dated as of June 25, 2006, as amended and restated as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September 18, 2006 (incorporated by reference to Annex A to the Registrant’s Schedule 14C filed on September 19, 2006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8"/>
              </w:rPr>
            </w:pPr>
            <w:hyperlink r:id="rId23">
              <w:r>
                <w:rPr>
                  <w:rFonts w:ascii="Arial" w:cs="Arial" w:eastAsia="Arial" w:hAnsi="Arial"/>
                  <w:sz w:val="18"/>
                  <w:szCs w:val="18"/>
                  <w:color w:val="0000FF"/>
                  <w:w w:val="98"/>
                </w:rPr>
                <w:t>Agreement and Plan of Merger, dated as of May 28, 2013, among Fidelity National Financial, Inc., Lion Merger Sub, Inc. and Lender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5"/>
          </w:tcPr>
          <w:p>
            <w:pPr>
              <w:spacing w:after="0" w:line="196" w:lineRule="exact"/>
              <w:rPr>
                <w:rFonts w:ascii="Arial" w:cs="Arial" w:eastAsia="Arial" w:hAnsi="Arial"/>
                <w:sz w:val="18"/>
                <w:szCs w:val="18"/>
                <w:color w:val="0000FF"/>
                <w:w w:val="93"/>
              </w:rPr>
            </w:pPr>
            <w:hyperlink r:id="rId23">
              <w:r>
                <w:rPr>
                  <w:rFonts w:ascii="Arial" w:cs="Arial" w:eastAsia="Arial" w:hAnsi="Arial"/>
                  <w:sz w:val="18"/>
                  <w:szCs w:val="18"/>
                  <w:color w:val="0000FF"/>
                  <w:w w:val="93"/>
                </w:rPr>
                <w:t>Processing Services, Inc. (incorporated by reference to Exhibit 2.1 to Fidelity National Financial, Inc.’s Current Report on Form 8-K, filed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May 28, 2013)</w:t>
              </w:r>
            </w:hyperlink>
          </w:p>
        </w:tc>
        <w:tc>
          <w:tcPr>
            <w:tcW w:w="93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Reorganization Agreement, dated as of June 8, 2017, by and among Fidelity National Financial, Inc., Black Knight Holdings, Inc., and New</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9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BKH Corp. (incorporated by reference to Exhibit 2.1 to the Registrant’s Current Report on Form 8-K filed on June 9, 2017)</w:t>
              </w:r>
            </w:hyperlink>
          </w:p>
        </w:tc>
        <w:tc>
          <w:tcPr>
            <w:tcW w:w="15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240" w:type="dxa"/>
            <w:vAlign w:val="bottom"/>
          </w:tcPr>
          <w:p>
            <w:pPr>
              <w:spacing w:after="0"/>
              <w:rPr>
                <w:sz w:val="24"/>
                <w:szCs w:val="24"/>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6"/>
              </w:rPr>
            </w:pPr>
            <w:hyperlink r:id="rId25">
              <w:r>
                <w:rPr>
                  <w:rFonts w:ascii="Arial" w:cs="Arial" w:eastAsia="Arial" w:hAnsi="Arial"/>
                  <w:sz w:val="18"/>
                  <w:szCs w:val="18"/>
                  <w:color w:val="0000FF"/>
                  <w:w w:val="96"/>
                </w:rPr>
                <w:t>Agreement and Plan of Merger, dated as of June 8, 2017, by and among Fidelity National Financial, Inc., New BKH Corp., Black Knight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5"/>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Financial Services, Inc., Black Knight Holdco Corp., New BKH Merger Sub, Inc., and BKFS Merger Sub, Inc.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Exhibit 2.2 to the Registrant’s Current Report on Form 8-K filed on June 9, 2017)</w:t>
              </w:r>
            </w:hyperlink>
          </w:p>
        </w:tc>
        <w:tc>
          <w:tcPr>
            <w:tcW w:w="0" w:type="dxa"/>
            <w:vAlign w:val="bottom"/>
          </w:tcPr>
          <w:p>
            <w:pPr>
              <w:spacing w:after="0"/>
              <w:rPr>
                <w:sz w:val="1"/>
                <w:szCs w:val="1"/>
                <w:color w:val="auto"/>
              </w:rPr>
            </w:pPr>
          </w:p>
        </w:tc>
      </w:tr>
      <w:tr>
        <w:trPr>
          <w:trHeight w:val="20"/>
        </w:trPr>
        <w:tc>
          <w:tcPr>
            <w:tcW w:w="500" w:type="dxa"/>
            <w:vAlign w:val="bottom"/>
            <w:vMerge w:val="restart"/>
          </w:tcPr>
          <w:p>
            <w:pPr>
              <w:jc w:val="center"/>
              <w:spacing w:after="0"/>
              <w:rPr>
                <w:sz w:val="20"/>
                <w:szCs w:val="20"/>
                <w:color w:val="auto"/>
              </w:rPr>
            </w:pPr>
            <w:r>
              <w:rPr>
                <w:rFonts w:ascii="Arial" w:cs="Arial" w:eastAsia="Arial" w:hAnsi="Arial"/>
                <w:sz w:val="18"/>
                <w:szCs w:val="18"/>
                <w:color w:val="auto"/>
                <w:w w:val="87"/>
              </w:rPr>
              <w:t>2.5</w:t>
            </w: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40" w:type="dxa"/>
            <w:vAlign w:val="bottom"/>
            <w:tcBorders>
              <w:bottom w:val="single" w:sz="8" w:color="0000FF"/>
            </w:tcBorders>
            <w:gridSpan w:val="23"/>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Reorganization Agreement, dated as of November 17, 2017, by and between Fidelity National Financial, Inc. and Cannae Holdings, Inc.</w:t>
              </w:r>
            </w:hyperlink>
          </w:p>
        </w:tc>
        <w:tc>
          <w:tcPr>
            <w:tcW w:w="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(incorporated by reference to Exhibit 2.1 to the Registrant’s Current Report on Form 8-K filed on November 20, 2017)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40" w:type="dxa"/>
            <w:vAlign w:val="bottom"/>
          </w:tcPr>
          <w:p>
            <w:pPr>
              <w:spacing w:after="0"/>
              <w:rPr>
                <w:sz w:val="24"/>
                <w:szCs w:val="24"/>
                <w:color w:val="auto"/>
              </w:rPr>
            </w:pPr>
          </w:p>
        </w:tc>
        <w:tc>
          <w:tcPr>
            <w:tcW w:w="10400" w:type="dxa"/>
            <w:vAlign w:val="bottom"/>
            <w:gridSpan w:val="25"/>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Fourth 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4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8-K filed on June 30, 2014)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40" w:type="dxa"/>
            <w:vAlign w:val="bottom"/>
          </w:tcPr>
          <w:p>
            <w:pPr>
              <w:spacing w:after="0"/>
              <w:rPr>
                <w:sz w:val="21"/>
                <w:szCs w:val="21"/>
                <w:color w:val="auto"/>
              </w:rPr>
            </w:pPr>
          </w:p>
        </w:tc>
        <w:tc>
          <w:tcPr>
            <w:tcW w:w="9820" w:type="dxa"/>
            <w:vAlign w:val="bottom"/>
            <w:tcBorders>
              <w:bottom w:val="single" w:sz="8" w:color="0000FF"/>
            </w:tcBorders>
            <w:gridSpan w:val="22"/>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Fourth Amended and Restated Bylaws of Fidelity National Financial, Inc., February 1, 2017 (incorporated by reference to Exhibit 3.1 to</w:t>
              </w:r>
            </w:hyperlink>
          </w:p>
        </w:tc>
        <w:tc>
          <w:tcPr>
            <w:tcW w:w="5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3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Fidelity National Financial, Inc.’s Current Report on Form 8-K, dated February 2, 2017)</w:t>
              </w:r>
            </w:hyperlink>
          </w:p>
        </w:tc>
        <w:tc>
          <w:tcPr>
            <w:tcW w:w="4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Indenture between the Registrant and The Bank of New York Trust Company, N.A., dated December 8, 2005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Exhibit 4.1 to the Registrant’s Annual Report on Form 10-K for the year ended December 31, 2005)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9"/>
              </w:rPr>
            </w:pPr>
            <w:hyperlink r:id="rId30">
              <w:r>
                <w:rPr>
                  <w:rFonts w:ascii="Arial" w:cs="Arial" w:eastAsia="Arial" w:hAnsi="Arial"/>
                  <w:sz w:val="18"/>
                  <w:szCs w:val="18"/>
                  <w:color w:val="0000FF"/>
                  <w:w w:val="99"/>
                </w:rPr>
                <w:t>First Supplemental Indenture between the Registrant and the Bank of New York Trust Company, N.A., dated as of January 6, 2006</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(incorporated by reference to Exhibit 4.1 to the Registrant’s Current Report on Form 8-K filed on January 24, 2006)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7"/>
              </w:rPr>
            </w:pPr>
            <w:hyperlink r:id="rId31">
              <w:r>
                <w:rPr>
                  <w:rFonts w:ascii="Arial" w:cs="Arial" w:eastAsia="Arial" w:hAnsi="Arial"/>
                  <w:sz w:val="18"/>
                  <w:szCs w:val="18"/>
                  <w:color w:val="0000FF"/>
                  <w:w w:val="97"/>
                </w:rPr>
                <w:t>Second Supplemental Indenture, dated May 5, 2010, between the Registrant and The Bank of New York Mellon Trust Company, N.A.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(incorporated by reference to Exhibit 4.1 to the Registrant's Current Report on Form 8-K filed on May 5, 2010)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Third Supplemental Indenture, dated as of June 30, 2014, between the Registrant and The Bank of New York Mellon Trust Company, N.A.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1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(incorporated by reference to Exhibit 4.1 to the Registrant's Current Report on Form 8-K filed on June 30, 2014)</w:t>
              </w:r>
            </w:hyperlink>
          </w:p>
        </w:tc>
        <w:tc>
          <w:tcPr>
            <w:tcW w:w="2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7"/>
              </w:rPr>
            </w:pPr>
            <w:hyperlink r:id="rId33">
              <w:r>
                <w:rPr>
                  <w:rFonts w:ascii="Arial" w:cs="Arial" w:eastAsia="Arial" w:hAnsi="Arial"/>
                  <w:sz w:val="18"/>
                  <w:szCs w:val="18"/>
                  <w:color w:val="0000FF"/>
                  <w:w w:val="97"/>
                </w:rPr>
                <w:t>Form of Subordinated Indenture between the Registrant and the Bank of New York Trust Company, N.A.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Exhibit 4.2 (A) to the Registrant’s Registration Statement on Form S-3 filed on November 14, 2007)</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Form of 4.25% Convertible Senior Note due August 2018 (incorporated by reference to Exhibit 4.5 to the Registrant's Current Report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8-K filed on August 2, 2011)</w:t>
              </w:r>
            </w:hyperlink>
          </w:p>
        </w:tc>
        <w:tc>
          <w:tcPr>
            <w:tcW w:w="83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 xml:space="preserve">Specimen certificate for shares of the Registrant’s FNF Group common stock, par value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0.0001 per Share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Registrant’s Registration Statement on Form S-4/A filed on May 5, 2014)</w:t>
              </w:r>
            </w:hyperlink>
          </w:p>
        </w:tc>
        <w:tc>
          <w:tcPr>
            <w:tcW w:w="4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Fourth Amended and Restated Credit Agreement, dated as of April 27, 2017, by and among Fidelity National Financial, Inc., a Delaware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corporation, as the borrower, Bank of America, N.A., as administrative agent, the other agents party thereto and the financial institutions party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thereto as lenders (incorporated by reference to Exhibit 10.2 to the Registrant's Current Report on Form 8-K filed on May 2, 2017)</w:t>
              </w:r>
            </w:hyperlink>
          </w:p>
        </w:tc>
        <w:tc>
          <w:tcPr>
            <w:tcW w:w="10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Amended and Restated Fidelity National Financial, Inc. 2005 Omnibus Incentive Plan (incorporated by reference to Annex A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Schedule 14A filed on April 29, 2016)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Fidelity National Financial, Inc. 2013 Employee Stock Purchase Plan (incorporated by reference to Annex D to the Registrant’s Schedule 14A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filed on May 9, 2014)(1)</w:t>
              </w:r>
            </w:hyperlink>
          </w:p>
        </w:tc>
        <w:tc>
          <w:tcPr>
            <w:tcW w:w="86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Fidelity National Financial, Inc. Annual Incentive Plan (incorporated by reference to Annex B to the Registrant's Schedule 14A filed on April</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9">
              <w:r>
                <w:rPr>
                  <w:rFonts w:ascii="Arial" w:cs="Arial" w:eastAsia="Arial" w:hAnsi="Arial"/>
                  <w:sz w:val="18"/>
                  <w:szCs w:val="18"/>
                  <w:color w:val="0000FF"/>
                  <w:w w:val="89"/>
                </w:rPr>
                <w:t>29, 2016) (1)</w:t>
              </w:r>
            </w:hyperlink>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Fidelity National Financial, Inc. Deferred Compensation Plan, as amended and restated, effective January 1, 2009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Exhibit 10.18 to the Registrant’s Annual Report on Form 10-K for the year ended December 31, 2008) (1)</w:t>
              </w:r>
            </w:hyperlink>
          </w:p>
        </w:tc>
        <w:tc>
          <w:tcPr>
            <w:tcW w:w="2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5"/>
          </w:tcPr>
          <w:p>
            <w:pPr>
              <w:spacing w:after="0"/>
              <w:rPr>
                <w:rFonts w:ascii="Arial" w:cs="Arial" w:eastAsia="Arial" w:hAnsi="Arial"/>
                <w:sz w:val="18"/>
                <w:szCs w:val="18"/>
                <w:color w:val="0000FF"/>
                <w:w w:val="96"/>
              </w:rPr>
            </w:pPr>
            <w:hyperlink r:id="rId41">
              <w:r>
                <w:rPr>
                  <w:rFonts w:ascii="Arial" w:cs="Arial" w:eastAsia="Arial" w:hAnsi="Arial"/>
                  <w:sz w:val="18"/>
                  <w:szCs w:val="18"/>
                  <w:color w:val="0000FF"/>
                  <w:w w:val="96"/>
                </w:rPr>
                <w:t>Form of Notice of FNF Group Restricted Stock Grant and FNF Group Restricted Stock Award Agreement under Amended and Restated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5"/>
          </w:tcPr>
          <w:p>
            <w:pPr>
              <w:spacing w:after="0" w:line="196" w:lineRule="exact"/>
              <w:rPr>
                <w:rFonts w:ascii="Arial" w:cs="Arial" w:eastAsia="Arial" w:hAnsi="Arial"/>
                <w:sz w:val="18"/>
                <w:szCs w:val="18"/>
                <w:color w:val="0000FF"/>
                <w:w w:val="95"/>
              </w:rPr>
            </w:pPr>
            <w:hyperlink r:id="rId41">
              <w:r>
                <w:rPr>
                  <w:rFonts w:ascii="Arial" w:cs="Arial" w:eastAsia="Arial" w:hAnsi="Arial"/>
                  <w:sz w:val="18"/>
                  <w:szCs w:val="18"/>
                  <w:color w:val="0000FF"/>
                  <w:w w:val="95"/>
                </w:rPr>
                <w:t>Fidelity National Financial, Inc. 2005 Omnibus Incentive Plan for October 2015 Awards (1) (incorporated by reference to Exhibit 10.11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5"/>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Registrant's Annual Report on Form 10-K for the year ended December 31, 2015)</w:t>
              </w:r>
            </w:hyperlink>
          </w:p>
        </w:tc>
        <w:tc>
          <w:tcPr>
            <w:tcW w:w="0" w:type="dxa"/>
            <w:vAlign w:val="bottom"/>
          </w:tcPr>
          <w:p>
            <w:pPr>
              <w:spacing w:after="0"/>
              <w:rPr>
                <w:sz w:val="1"/>
                <w:szCs w:val="1"/>
                <w:color w:val="auto"/>
              </w:rPr>
            </w:pPr>
          </w:p>
        </w:tc>
      </w:tr>
      <w:tr>
        <w:trPr>
          <w:trHeight w:val="507"/>
        </w:trPr>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60" w:type="dxa"/>
            <w:vAlign w:val="bottom"/>
            <w:tcBorders>
              <w:top w:val="single" w:sz="8" w:color="0000FF"/>
            </w:tcBorders>
            <w:gridSpan w:val="8"/>
          </w:tcPr>
          <w:p>
            <w:pPr>
              <w:ind w:left="4660"/>
              <w:spacing w:after="0"/>
              <w:rPr>
                <w:sz w:val="20"/>
                <w:szCs w:val="20"/>
                <w:color w:val="auto"/>
              </w:rPr>
            </w:pPr>
            <w:r>
              <w:rPr>
                <w:rFonts w:ascii="Arial" w:cs="Arial" w:eastAsia="Arial" w:hAnsi="Arial"/>
                <w:sz w:val="18"/>
                <w:szCs w:val="18"/>
                <w:color w:val="auto"/>
              </w:rPr>
              <w:t>94</w:t>
            </w:r>
          </w:p>
        </w:tc>
        <w:tc>
          <w:tcPr>
            <w:tcW w:w="3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760" w:type="dxa"/>
            <w:vAlign w:val="bottom"/>
            <w:gridSpan w:val="14"/>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1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76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40" w:type="dxa"/>
            <w:vAlign w:val="bottom"/>
          </w:tcPr>
          <w:p>
            <w:pPr>
              <w:spacing w:after="0"/>
              <w:rPr>
                <w:sz w:val="19"/>
                <w:szCs w:val="19"/>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Form of Notice of FNF Group Stock Option Award and FNF Group Stock Option Award Agreement under Amended and Restated Fidelity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0"/>
          </w:tcPr>
          <w:p>
            <w:pPr>
              <w:spacing w:after="0" w:line="196" w:lineRule="exact"/>
              <w:rPr>
                <w:rFonts w:ascii="Arial" w:cs="Arial" w:eastAsia="Arial" w:hAnsi="Arial"/>
                <w:sz w:val="18"/>
                <w:szCs w:val="18"/>
                <w:color w:val="0000FF"/>
                <w:w w:val="95"/>
              </w:rPr>
            </w:pPr>
            <w:hyperlink r:id="rId42">
              <w:r>
                <w:rPr>
                  <w:rFonts w:ascii="Arial" w:cs="Arial" w:eastAsia="Arial" w:hAnsi="Arial"/>
                  <w:sz w:val="18"/>
                  <w:szCs w:val="18"/>
                  <w:color w:val="0000FF"/>
                  <w:w w:val="95"/>
                </w:rPr>
                <w:t>National Financial, Inc. 2005 Omnibus Incentive Plan for October 2015 Awards (incorporated by reference to Exhibit 10.12 to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Annual Report on Form 10-K for the year ended December 31, 2015)(1)</w:t>
              </w:r>
            </w:hyperlink>
          </w:p>
        </w:tc>
        <w:tc>
          <w:tcPr>
            <w:tcW w:w="51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5"/>
              </w:rPr>
            </w:pPr>
            <w:hyperlink r:id="rId43">
              <w:r>
                <w:rPr>
                  <w:rFonts w:ascii="Arial" w:cs="Arial" w:eastAsia="Arial" w:hAnsi="Arial"/>
                  <w:sz w:val="18"/>
                  <w:szCs w:val="18"/>
                  <w:color w:val="0000FF"/>
                  <w:w w:val="95"/>
                </w:rPr>
                <w:t>Form of Notice of Stock Option Award and Stock Option Award Agreement under Amended and Restated Fidelity National Financial,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0"/>
          </w:tcPr>
          <w:p>
            <w:pPr>
              <w:spacing w:after="0" w:line="196" w:lineRule="exact"/>
              <w:rPr>
                <w:rFonts w:ascii="Arial" w:cs="Arial" w:eastAsia="Arial" w:hAnsi="Arial"/>
                <w:sz w:val="18"/>
                <w:szCs w:val="18"/>
                <w:color w:val="0000FF"/>
                <w:w w:val="94"/>
              </w:rPr>
            </w:pPr>
            <w:hyperlink r:id="rId43">
              <w:r>
                <w:rPr>
                  <w:rFonts w:ascii="Arial" w:cs="Arial" w:eastAsia="Arial" w:hAnsi="Arial"/>
                  <w:sz w:val="18"/>
                  <w:szCs w:val="18"/>
                  <w:color w:val="0000FF"/>
                  <w:w w:val="94"/>
                </w:rPr>
                <w:t>2005 Omnibus Incentive Plan for November 2013 Awards (incorporated by reference to Exhibit 10.12 to the Registrant’s Annual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8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Form 10-K for the year ended December 31, 2013)(1)</w:t>
              </w:r>
            </w:hyperlink>
          </w:p>
        </w:tc>
        <w:tc>
          <w:tcPr>
            <w:tcW w:w="6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Form of Notice of Stock Option Grant and Stock Option Award Agreement under Amended and Restated Fidelity National Financial, Inc. 2005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0"/>
          </w:tcPr>
          <w:p>
            <w:pPr>
              <w:spacing w:after="0" w:line="196"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Omnibus Incentive Plan (incorporated by reference to Exhibit 10.10 to the Registrant's Annual Report on Form 10-K for the year ended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December 31, 2012)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5"/>
              </w:rPr>
            </w:pPr>
            <w:hyperlink r:id="rId45">
              <w:r>
                <w:rPr>
                  <w:rFonts w:ascii="Arial" w:cs="Arial" w:eastAsia="Arial" w:hAnsi="Arial"/>
                  <w:sz w:val="18"/>
                  <w:szCs w:val="18"/>
                  <w:color w:val="0000FF"/>
                  <w:w w:val="95"/>
                </w:rPr>
                <w:t>Tax Disaffiliation Agreement by and among Old FNF, the Registrant and FIS, dated as of October 23, 2006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Exhibit 99.1 to Old FNF’s Form 8-K, filed on October 27, 2006)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Cross-Indemnity Agreement by and between the Registrant and FIS, dated as of October 23, 2006 (incorporated by reference to Exhibit 99.2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Old FNF’s Form 8-K, filed on October 27, 2006)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Amended and Restated Employment Agreement between the Registrant and Anthony J. Park, effective as of October 10, 2008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reference to Exhibit 10.11 to Registrant’s Annual Report on Form 10-K for the year ended December 31, 2008)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Amendment effective February 4, 2010 to Amended and Restated Employment Agreement between the Registrant and Anthony J. Park,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effective as of October 10, 2008 (incorporated by reference to Exhibit 10.13 to the Registrant's Annual Report on Form 10-K for the year ended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December 31, 2009)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80" w:type="dxa"/>
            <w:vAlign w:val="bottom"/>
            <w:gridSpan w:val="7"/>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5"/>
              </w:rPr>
            </w:pPr>
            <w:hyperlink r:id="rId48">
              <w:r>
                <w:rPr>
                  <w:rFonts w:ascii="Arial" w:cs="Arial" w:eastAsia="Arial" w:hAnsi="Arial"/>
                  <w:sz w:val="18"/>
                  <w:szCs w:val="18"/>
                  <w:color w:val="0000FF"/>
                  <w:w w:val="95"/>
                </w:rPr>
                <w:t>Amendment effective as of July 1, 2012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(incorporated by reference to Exhibit 10.1 to the Registrant’s Quarterly Report on Form 10-Q for the quarter ended June 30, 2012)(1)</w:t>
              </w:r>
            </w:hyperlink>
          </w:p>
        </w:tc>
        <w:tc>
          <w:tcPr>
            <w:tcW w:w="8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Amendment effective as of January 1, 2012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w w:val="97"/>
              </w:rPr>
            </w:pPr>
            <w:hyperlink r:id="rId49">
              <w:r>
                <w:rPr>
                  <w:rFonts w:ascii="Arial" w:cs="Arial" w:eastAsia="Arial" w:hAnsi="Arial"/>
                  <w:sz w:val="18"/>
                  <w:szCs w:val="18"/>
                  <w:color w:val="0000FF"/>
                  <w:w w:val="97"/>
                </w:rPr>
                <w:t>(incorporated by reference to Exhibit 10.16 to the Registrant’s Annual Report on Form 10-K for the year ended December 31, 2011)(1)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6"/>
              </w:rPr>
            </w:pPr>
            <w:hyperlink r:id="rId50">
              <w:r>
                <w:rPr>
                  <w:rFonts w:ascii="Arial" w:cs="Arial" w:eastAsia="Arial" w:hAnsi="Arial"/>
                  <w:sz w:val="18"/>
                  <w:szCs w:val="18"/>
                  <w:color w:val="0000FF"/>
                  <w:w w:val="96"/>
                </w:rPr>
                <w:t>Amendment effective February 4, 2010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(incorporated by reference to Exhibit 10.15 to the Registrant’s Annual Report on Form 10-K for the year ended December 31, 2009)</w:t>
              </w:r>
            </w:hyperlink>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240" w:type="dxa"/>
            <w:vAlign w:val="bottom"/>
          </w:tcPr>
          <w:p>
            <w:pPr>
              <w:spacing w:after="0"/>
              <w:rPr>
                <w:sz w:val="21"/>
                <w:szCs w:val="21"/>
                <w:color w:val="auto"/>
              </w:rPr>
            </w:pPr>
          </w:p>
        </w:tc>
        <w:tc>
          <w:tcPr>
            <w:tcW w:w="8640" w:type="dxa"/>
            <w:vAlign w:val="bottom"/>
            <w:tcBorders>
              <w:top w:val="single" w:sz="8" w:color="0000FF"/>
              <w:bottom w:val="single" w:sz="8" w:color="0000FF"/>
            </w:tcBorders>
            <w:gridSpan w:val="13"/>
          </w:tcPr>
          <w:p>
            <w:pPr>
              <w:ind w:left="20"/>
              <w:spacing w:after="0"/>
              <w:rPr>
                <w:rFonts w:ascii="Arial" w:cs="Arial" w:eastAsia="Arial" w:hAnsi="Arial"/>
                <w:sz w:val="18"/>
                <w:szCs w:val="18"/>
                <w:color w:val="0000FF"/>
                <w:w w:val="90"/>
              </w:rPr>
            </w:pPr>
            <w:hyperlink w:anchor="page107">
              <w:r>
                <w:rPr>
                  <w:rFonts w:ascii="Arial" w:cs="Arial" w:eastAsia="Arial" w:hAnsi="Arial"/>
                  <w:sz w:val="18"/>
                  <w:szCs w:val="18"/>
                  <w:color w:val="0000FF"/>
                  <w:w w:val="90"/>
                </w:rPr>
                <w:t>Amended and Restated Employment Agreement between the Registrant and Brent B. Bickett, effective July 2, 2008 (1)</w:t>
              </w:r>
            </w:hyperlink>
          </w:p>
        </w:tc>
        <w:tc>
          <w:tcPr>
            <w:tcW w:w="880" w:type="dxa"/>
            <w:vAlign w:val="bottom"/>
            <w:tcBorders>
              <w:top w:val="single" w:sz="8" w:color="0000FF"/>
            </w:tcBorders>
            <w:gridSpan w:val="3"/>
          </w:tcPr>
          <w:p>
            <w:pPr>
              <w:spacing w:after="0"/>
              <w:rPr>
                <w:sz w:val="21"/>
                <w:szCs w:val="21"/>
                <w:color w:val="auto"/>
              </w:rPr>
            </w:pPr>
          </w:p>
        </w:tc>
        <w:tc>
          <w:tcPr>
            <w:tcW w:w="8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Director Services Agreement between Fidelity National Financial, Inc. and William P. Foley, II (incorporated by reference to Exhibit 10.27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Registrant's Annual Report on Form 10-K for the year ended December 31, 2015)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80" w:type="dxa"/>
            <w:vAlign w:val="bottom"/>
            <w:gridSpan w:val="7"/>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8"/>
              </w:rPr>
            </w:pPr>
            <w:hyperlink r:id="rId52">
              <w:r>
                <w:rPr>
                  <w:rFonts w:ascii="Arial" w:cs="Arial" w:eastAsia="Arial" w:hAnsi="Arial"/>
                  <w:sz w:val="18"/>
                  <w:szCs w:val="18"/>
                  <w:color w:val="0000FF"/>
                  <w:w w:val="98"/>
                </w:rPr>
                <w:t>Amended and Restated Employment Agreement between the Registrant and Raymond R. Quirk, effective as of October 10, 2008 (1)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(incorporated by reference to Exhibit 10.16 to Registrant’s Annual Report on Form 10-K for the year ended December 31, 2008)</w:t>
              </w:r>
            </w:hyperlink>
          </w:p>
        </w:tc>
        <w:tc>
          <w:tcPr>
            <w:tcW w:w="1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3"/>
              </w:rPr>
            </w:pPr>
            <w:hyperlink r:id="rId53">
              <w:r>
                <w:rPr>
                  <w:rFonts w:ascii="Arial" w:cs="Arial" w:eastAsia="Arial" w:hAnsi="Arial"/>
                  <w:sz w:val="18"/>
                  <w:szCs w:val="18"/>
                  <w:color w:val="0000FF"/>
                  <w:w w:val="93"/>
                </w:rPr>
                <w:t>Amendment effective February 4, 2010 to Amended and Restated Employment Agreement between the Registrant and Raymond R. Quirk,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effective as of October 10, 2008 (incorporated by reference to Exhibit 10.21 to the Registrant's Annual Report on Form 10-K for the year ended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December 31, 2009)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0"/>
              </w:rPr>
            </w:pPr>
            <w:hyperlink r:id="rId54">
              <w:r>
                <w:rPr>
                  <w:rFonts w:ascii="Arial" w:cs="Arial" w:eastAsia="Arial" w:hAnsi="Arial"/>
                  <w:sz w:val="18"/>
                  <w:szCs w:val="18"/>
                  <w:color w:val="0000FF"/>
                  <w:w w:val="90"/>
                </w:rPr>
                <w:t>Amended and Restated Employment Agreement between the Registrant and Michael L. Gravelle, effective as of January 30, 2013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by reference to Exhibit 10.22 to the Registrant's Annual Report on Form 10-K for the year ended December 31, 2012)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360" w:type="dxa"/>
            <w:vAlign w:val="bottom"/>
            <w:gridSpan w:val="8"/>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Amendment No. 2 to Amended and Restated Employment Agreement between the Registrant and Michael L. Gravelle, effective as of March 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2015 (incorporated by reference to Exhibit 10.2 to the Registrant’s Quarterly Report on Form 10-Q for the quarter ended March 31, 2015)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360" w:type="dxa"/>
            <w:vAlign w:val="bottom"/>
            <w:gridSpan w:val="8"/>
            <w:shd w:val="clear" w:color="auto" w:fill="0000FF"/>
          </w:tcPr>
          <w:p>
            <w:pPr>
              <w:spacing w:after="0" w:line="20" w:lineRule="exact"/>
              <w:rPr>
                <w:sz w:val="1"/>
                <w:szCs w:val="1"/>
                <w:color w:val="auto"/>
              </w:rPr>
            </w:pPr>
          </w:p>
        </w:tc>
        <w:tc>
          <w:tcPr>
            <w:tcW w:w="2960" w:type="dxa"/>
            <w:vAlign w:val="bottom"/>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Amended and Restated Employment Agreement between the Registrant and Peter T. Sadowski, effective as of February 4, 2010 (incorporated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by reference to Exhibit 10.26 to the Registrant's Annual Report on Form 10-K for the year ended December 31, 2012)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360" w:type="dxa"/>
            <w:vAlign w:val="bottom"/>
            <w:gridSpan w:val="8"/>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ServiceLink Holdings, LLC 2013 Management Incentive Plan (incorporated by reference to Exhibit 10.2 to the Registrant’s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Form 8-K filed on January 15, 2014)(1)</w:t>
              </w:r>
            </w:hyperlink>
          </w:p>
        </w:tc>
        <w:tc>
          <w:tcPr>
            <w:tcW w:w="7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5"/>
              </w:rPr>
            </w:pPr>
            <w:hyperlink r:id="rId58">
              <w:r>
                <w:rPr>
                  <w:rFonts w:ascii="Arial" w:cs="Arial" w:eastAsia="Arial" w:hAnsi="Arial"/>
                  <w:sz w:val="18"/>
                  <w:szCs w:val="18"/>
                  <w:color w:val="0000FF"/>
                  <w:w w:val="95"/>
                </w:rPr>
                <w:t>Form of ServiceLink Holdings, LLC Unit Grant Agreement (incorporated by reference to Exhibit 10.4 to the Registrant's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Form 8-K filed on January 15, 2014)(1)</w:t>
              </w:r>
            </w:hyperlink>
          </w:p>
        </w:tc>
        <w:tc>
          <w:tcPr>
            <w:tcW w:w="75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ServiceLink Holdings, LLC Incentive Plan (incorporated by reference to Exhibit 10.6 to the to the Registrant’s Current Report on Form 8-K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filed on January 15, 2014)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240" w:type="dxa"/>
            <w:vAlign w:val="bottom"/>
          </w:tcPr>
          <w:p>
            <w:pPr>
              <w:spacing w:after="0"/>
              <w:rPr>
                <w:sz w:val="21"/>
                <w:szCs w:val="21"/>
                <w:color w:val="auto"/>
              </w:rPr>
            </w:pPr>
          </w:p>
        </w:tc>
        <w:tc>
          <w:tcPr>
            <w:tcW w:w="10400" w:type="dxa"/>
            <w:vAlign w:val="bottom"/>
            <w:tcBorders>
              <w:bottom w:val="single" w:sz="8" w:color="0000FF"/>
            </w:tcBorders>
            <w:gridSpan w:val="20"/>
          </w:tcPr>
          <w:p>
            <w:pPr>
              <w:spacing w:after="0"/>
              <w:rPr>
                <w:rFonts w:ascii="Arial" w:cs="Arial" w:eastAsia="Arial" w:hAnsi="Arial"/>
                <w:sz w:val="18"/>
                <w:szCs w:val="18"/>
                <w:color w:val="0000FF"/>
                <w:w w:val="91"/>
              </w:rPr>
            </w:pPr>
            <w:hyperlink r:id="rId60">
              <w:r>
                <w:rPr>
                  <w:rFonts w:ascii="Arial" w:cs="Arial" w:eastAsia="Arial" w:hAnsi="Arial"/>
                  <w:sz w:val="18"/>
                  <w:szCs w:val="18"/>
                  <w:color w:val="0000FF"/>
                  <w:w w:val="91"/>
                </w:rPr>
                <w:t>Amendment effective May 3, 2016 to Director Services Agreement between the Registrant and William P. Foley II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20"/>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Exhibit 10.1 to Registrant's Quarterly Report on Form 10-Q for the quarter ended June 30, 2016) (1)</w:t>
              </w:r>
            </w:hyperlink>
          </w:p>
        </w:tc>
        <w:tc>
          <w:tcPr>
            <w:tcW w:w="0" w:type="dxa"/>
            <w:vAlign w:val="bottom"/>
          </w:tcPr>
          <w:p>
            <w:pPr>
              <w:spacing w:after="0"/>
              <w:rPr>
                <w:sz w:val="1"/>
                <w:szCs w:val="1"/>
                <w:color w:val="auto"/>
              </w:rPr>
            </w:pPr>
          </w:p>
        </w:tc>
      </w:tr>
      <w:tr>
        <w:trPr>
          <w:trHeight w:val="723"/>
        </w:trPr>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20" w:type="dxa"/>
            <w:vAlign w:val="bottom"/>
            <w:tcBorders>
              <w:top w:val="single" w:sz="8" w:color="0000FF"/>
            </w:tcBorders>
            <w:gridSpan w:val="8"/>
          </w:tcPr>
          <w:p>
            <w:pPr>
              <w:ind w:left="4660"/>
              <w:spacing w:after="0"/>
              <w:rPr>
                <w:sz w:val="20"/>
                <w:szCs w:val="20"/>
                <w:color w:val="auto"/>
              </w:rPr>
            </w:pPr>
            <w:r>
              <w:rPr>
                <w:rFonts w:ascii="Arial" w:cs="Arial" w:eastAsia="Arial" w:hAnsi="Arial"/>
                <w:sz w:val="18"/>
                <w:szCs w:val="18"/>
                <w:color w:val="auto"/>
              </w:rPr>
              <w:t>95</w:t>
            </w:r>
          </w:p>
        </w:tc>
        <w:tc>
          <w:tcPr>
            <w:tcW w:w="3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6"/>
              </w:rPr>
              <w:t>Description</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40" w:type="dxa"/>
            <w:vAlign w:val="bottom"/>
            <w:gridSpan w:val="2"/>
          </w:tcPr>
          <w:p>
            <w:pPr>
              <w:spacing w:after="0" w:line="125" w:lineRule="exact"/>
              <w:rPr>
                <w:sz w:val="20"/>
                <w:szCs w:val="20"/>
                <w:color w:val="auto"/>
              </w:rPr>
            </w:pPr>
            <w:r>
              <w:rPr>
                <w:rFonts w:ascii="Arial" w:cs="Arial" w:eastAsia="Arial" w:hAnsi="Arial"/>
                <w:sz w:val="14"/>
                <w:szCs w:val="14"/>
                <w:b w:val="1"/>
                <w:bCs w:val="1"/>
                <w:color w:val="auto"/>
              </w:rPr>
              <w:t>Number</w:t>
            </w: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80" w:type="dxa"/>
            <w:vAlign w:val="bottom"/>
            <w:tcBorders>
              <w:bottom w:val="single" w:sz="8" w:color="auto"/>
            </w:tcBorders>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240" w:type="dxa"/>
            <w:vAlign w:val="bottom"/>
          </w:tcPr>
          <w:p>
            <w:pPr>
              <w:spacing w:after="0"/>
              <w:rPr>
                <w:sz w:val="18"/>
                <w:szCs w:val="18"/>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7"/>
              </w:rPr>
            </w:pPr>
            <w:hyperlink r:id="rId61">
              <w:r>
                <w:rPr>
                  <w:rFonts w:ascii="Arial" w:cs="Arial" w:eastAsia="Arial" w:hAnsi="Arial"/>
                  <w:sz w:val="18"/>
                  <w:szCs w:val="18"/>
                  <w:color w:val="0000FF"/>
                  <w:w w:val="97"/>
                </w:rPr>
                <w:t>Amendment effective May 3, 2016 to Amended and Restated Employment Agreement between the Registrant and Raymond R. Quirk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(incorporated by reference to Exhibit 10.2 to the Registrant's Quarterly Report on Form 10-Q for the quarter ended June 30, 2016) (1)</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9"/>
              </w:rPr>
            </w:pPr>
            <w:hyperlink r:id="rId62">
              <w:r>
                <w:rPr>
                  <w:rFonts w:ascii="Arial" w:cs="Arial" w:eastAsia="Arial" w:hAnsi="Arial"/>
                  <w:sz w:val="18"/>
                  <w:szCs w:val="18"/>
                  <w:color w:val="0000FF"/>
                  <w:w w:val="99"/>
                </w:rPr>
                <w:t>Amendment effective May 3, 2016 to Amended and Restated Employment Agreement between the Registrant and Brent B. Bickett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(incorporated by reference to Exhibit 10.3 to the Registrant's Quarterly Report on Form 10-Q for the quarter ended June 30, 2016) (1)</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9"/>
              </w:rPr>
            </w:pPr>
            <w:hyperlink r:id="rId63">
              <w:r>
                <w:rPr>
                  <w:rFonts w:ascii="Arial" w:cs="Arial" w:eastAsia="Arial" w:hAnsi="Arial"/>
                  <w:sz w:val="18"/>
                  <w:szCs w:val="18"/>
                  <w:color w:val="0000FF"/>
                  <w:w w:val="99"/>
                </w:rPr>
                <w:t>Amendment effective May 3, 2016 to Amended and Restated Employment Agreement between the Registrant and Anthony J. Park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(incorporated by reference to Exhibit 10.4 to the Registrant's Quarterly Report on Form 10-Q for the quarter ended June 30, 2016) (1)</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7"/>
              </w:rPr>
            </w:pPr>
            <w:hyperlink r:id="rId64">
              <w:r>
                <w:rPr>
                  <w:rFonts w:ascii="Arial" w:cs="Arial" w:eastAsia="Arial" w:hAnsi="Arial"/>
                  <w:sz w:val="18"/>
                  <w:szCs w:val="18"/>
                  <w:color w:val="0000FF"/>
                  <w:w w:val="97"/>
                </w:rPr>
                <w:t>Amendment effective May 3, 2016 to Amended and Restated Employment Agreement between the Registrant and Michael L. Gravelle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2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(incorporated by reference to Exhibit 10.5 to the Registrant's Quarterly Report on Form 10-Q for the quarter ended June 30, 2016) (1)</w:t>
              </w:r>
            </w:hyperlink>
          </w:p>
        </w:tc>
        <w:tc>
          <w:tcPr>
            <w:tcW w:w="7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7"/>
              </w:rPr>
            </w:pPr>
            <w:hyperlink r:id="rId65">
              <w:r>
                <w:rPr>
                  <w:rFonts w:ascii="Arial" w:cs="Arial" w:eastAsia="Arial" w:hAnsi="Arial"/>
                  <w:sz w:val="18"/>
                  <w:szCs w:val="18"/>
                  <w:color w:val="0000FF"/>
                  <w:w w:val="97"/>
                </w:rPr>
                <w:t>Amendment effective May 3, 2016 to Amended and Restated Employment Agreement between the Registrant and Peter T. Sadowski</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(incorporated by reference to Exhibit 10.6 to the Registrant's Quarterly Report on Form 10-Q for the quarter ended June 30, 2016) (1)</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Employment Agreement between the Registrant and Michael Nolan effective March 2, 2016 (incorporated by reference to Exhibit 10.7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Registrant's Quarterly Report on Form 10-Q for the quarter ended June 30, 2016) (1)</w:t>
              </w:r>
            </w:hyperlink>
          </w:p>
        </w:tc>
        <w:tc>
          <w:tcPr>
            <w:tcW w:w="4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Amendment effective May 3, 2016 to Employment Agreement between the Registrant and Michael Nolan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17"/>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8</w:t>
              </w:r>
              <w:r>
                <w:rPr>
                  <w:rFonts w:ascii="Arial" w:cs="Arial" w:eastAsia="Arial" w:hAnsi="Arial"/>
                  <w:sz w:val="18"/>
                  <w:szCs w:val="18"/>
                  <w:color w:val="0000FF"/>
                </w:rPr>
                <w:t xml:space="preserve"> to the Registrant's Quarterly Report on Form 10-Q for the quarter ended June 30, 2016)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3"/>
              </w:rPr>
            </w:pPr>
            <w:hyperlink r:id="rId68">
              <w:r>
                <w:rPr>
                  <w:rFonts w:ascii="Arial" w:cs="Arial" w:eastAsia="Arial" w:hAnsi="Arial"/>
                  <w:sz w:val="18"/>
                  <w:szCs w:val="18"/>
                  <w:color w:val="0000FF"/>
                  <w:w w:val="93"/>
                </w:rPr>
                <w:t>Employment Agreement between the Registrant and Roger Jewkes effective March 3, 2016 (incorporated by reference to Exhibit 10.9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Registrant's Quarterly Report on Form 10-Q for the quarter ended June 30, 2016) (1)</w:t>
              </w:r>
            </w:hyperlink>
          </w:p>
        </w:tc>
        <w:tc>
          <w:tcPr>
            <w:tcW w:w="4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Amendment effective May 3, 2016 to Employment Agreement between the Registrant and Roger Jewkes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10</w:t>
              </w:r>
              <w:r>
                <w:rPr>
                  <w:rFonts w:ascii="Arial" w:cs="Arial" w:eastAsia="Arial" w:hAnsi="Arial"/>
                  <w:sz w:val="18"/>
                  <w:szCs w:val="18"/>
                  <w:color w:val="0000FF"/>
                  <w:w w:val="90"/>
                </w:rPr>
                <w:t xml:space="preserve"> to the Registrant's Quarterly Report on Form 10-Q for the quarter ended June 30, 2016) (1)</w:t>
              </w:r>
            </w:hyperlink>
          </w:p>
        </w:tc>
        <w:tc>
          <w:tcPr>
            <w:tcW w:w="3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Form of Notice of FNF Group Restricted Stock Grant and FNF Group Restricted Stock Award Agreement (Time-Based) under Amended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Restated Fidelity National Financial, Inc. 2005 Omnibus Incentive Plan for March 2016 Awards (incorporated by reference to Exhibit 10.58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gridSpan w:val="17"/>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the Registrant's Annual Report on Form 10-K for the year ended December 31, 2016) (1)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6"/>
              </w:rPr>
            </w:pPr>
            <w:hyperlink r:id="rId71">
              <w:r>
                <w:rPr>
                  <w:rFonts w:ascii="Arial" w:cs="Arial" w:eastAsia="Arial" w:hAnsi="Arial"/>
                  <w:sz w:val="18"/>
                  <w:szCs w:val="18"/>
                  <w:color w:val="0000FF"/>
                  <w:w w:val="96"/>
                </w:rPr>
                <w:t>Form of Notice of FNF Group Restricted Stock Grant and FNF Group Restricted Stock Award Agreement under Amended and Restated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Fidelity National Financial, Inc. 2005 Omnibus Incentive Plan for December 2016 Awards (incorporated by reference to Exhibit 10.59 to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Registrant's Annual Report on Form 10-K for the year ended December 31, 2016)(1)</w:t>
              </w:r>
            </w:hyperlink>
          </w:p>
        </w:tc>
        <w:tc>
          <w:tcPr>
            <w:tcW w:w="4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6"/>
              </w:rPr>
            </w:pPr>
            <w:hyperlink w:anchor="page117">
              <w:r>
                <w:rPr>
                  <w:rFonts w:ascii="Arial" w:cs="Arial" w:eastAsia="Arial" w:hAnsi="Arial"/>
                  <w:sz w:val="18"/>
                  <w:szCs w:val="18"/>
                  <w:color w:val="0000FF"/>
                  <w:w w:val="96"/>
                </w:rPr>
                <w:t>Form of Notice of FNF Group Restricted Stock Grant and FNF Group Restricted Stock Award Agreement under Amended and Restated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w:anchor="page117">
              <w:r>
                <w:rPr>
                  <w:rFonts w:ascii="Arial" w:cs="Arial" w:eastAsia="Arial" w:hAnsi="Arial"/>
                  <w:sz w:val="18"/>
                  <w:szCs w:val="18"/>
                  <w:color w:val="0000FF"/>
                  <w:w w:val="92"/>
                </w:rPr>
                <w:t>Fidelity National Financial, Inc. 2005 Omnibus Incentive Plan for October 2017 Awards (1)</w:t>
              </w:r>
            </w:hyperlink>
          </w:p>
        </w:tc>
        <w:tc>
          <w:tcPr>
            <w:tcW w:w="37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8"/>
              </w:rPr>
            </w:pPr>
            <w:hyperlink r:id="rId72">
              <w:r>
                <w:rPr>
                  <w:rFonts w:ascii="Arial" w:cs="Arial" w:eastAsia="Arial" w:hAnsi="Arial"/>
                  <w:sz w:val="18"/>
                  <w:szCs w:val="18"/>
                  <w:color w:val="0000FF"/>
                  <w:w w:val="98"/>
                </w:rPr>
                <w:t>Tax Matters Agreement, dated as of November 17, 2017, by and between Fidelity National Financial, Inc. and Cannae Holdings, Inc.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(incorporated by reference to Exhibit 10.1 to the Registrant's Current Report on Form 8-K filed on November 20, 2017)</w:t>
              </w:r>
            </w:hyperlink>
          </w:p>
        </w:tc>
        <w:tc>
          <w:tcPr>
            <w:tcW w:w="17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240" w:type="dxa"/>
            <w:vAlign w:val="bottom"/>
          </w:tcPr>
          <w:p>
            <w:pPr>
              <w:spacing w:after="0"/>
              <w:rPr>
                <w:sz w:val="21"/>
                <w:szCs w:val="21"/>
                <w:color w:val="auto"/>
              </w:rPr>
            </w:pPr>
          </w:p>
        </w:tc>
        <w:tc>
          <w:tcPr>
            <w:tcW w:w="21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22">
              <w:r>
                <w:rPr>
                  <w:rFonts w:ascii="Arial" w:cs="Arial" w:eastAsia="Arial" w:hAnsi="Arial"/>
                  <w:sz w:val="18"/>
                  <w:szCs w:val="18"/>
                  <w:color w:val="0000FF"/>
                  <w:w w:val="89"/>
                </w:rPr>
                <w:t>Subsidiaries of the Registrant</w:t>
              </w:r>
            </w:hyperlink>
          </w:p>
        </w:tc>
        <w:tc>
          <w:tcPr>
            <w:tcW w:w="828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1"/>
                <w:szCs w:val="21"/>
                <w:color w:val="auto"/>
              </w:rPr>
            </w:pPr>
          </w:p>
        </w:tc>
        <w:tc>
          <w:tcPr>
            <w:tcW w:w="10400" w:type="dxa"/>
            <w:vAlign w:val="bottom"/>
            <w:gridSpan w:val="17"/>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Consent of Ernst &amp; Young LLP, Independent Registered Public Accounting Firm</w:t>
              </w:r>
            </w:hyperlink>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23.2</w:t>
            </w:r>
          </w:p>
        </w:tc>
        <w:tc>
          <w:tcPr>
            <w:tcW w:w="240" w:type="dxa"/>
            <w:vAlign w:val="bottom"/>
          </w:tcPr>
          <w:p>
            <w:pPr>
              <w:spacing w:after="0"/>
              <w:rPr>
                <w:sz w:val="21"/>
                <w:szCs w:val="21"/>
                <w:color w:val="auto"/>
              </w:rPr>
            </w:pPr>
          </w:p>
        </w:tc>
        <w:tc>
          <w:tcPr>
            <w:tcW w:w="5820" w:type="dxa"/>
            <w:vAlign w:val="bottom"/>
            <w:tcBorders>
              <w:top w:val="single" w:sz="8" w:color="0000FF"/>
            </w:tcBorders>
            <w:gridSpan w:val="6"/>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Consent of KPMG LLP, Independent Registered Public Accounting Firm</w:t>
              </w:r>
            </w:hyperlink>
          </w:p>
        </w:tc>
        <w:tc>
          <w:tcPr>
            <w:tcW w:w="458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320" w:type="dxa"/>
            <w:vAlign w:val="bottom"/>
            <w:gridSpan w:val="3"/>
            <w:shd w:val="clear" w:color="auto" w:fill="0000FF"/>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1"/>
                <w:szCs w:val="21"/>
                <w:color w:val="auto"/>
              </w:rPr>
            </w:pPr>
          </w:p>
        </w:tc>
        <w:tc>
          <w:tcPr>
            <w:tcW w:w="718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125">
              <w:r>
                <w:rPr>
                  <w:rFonts w:ascii="Arial" w:cs="Arial" w:eastAsia="Arial" w:hAnsi="Arial"/>
                  <w:sz w:val="18"/>
                  <w:szCs w:val="18"/>
                  <w:color w:val="0000FF"/>
                  <w:w w:val="91"/>
                </w:rPr>
                <w:t>Certification of Chief Executive Officer pursuant to Section 302 of the Sarbanes-Oxley Act of 2002</w:t>
              </w:r>
            </w:hyperlink>
          </w:p>
        </w:tc>
        <w:tc>
          <w:tcPr>
            <w:tcW w:w="32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1"/>
                <w:szCs w:val="21"/>
                <w:color w:val="auto"/>
              </w:rPr>
            </w:pPr>
          </w:p>
        </w:tc>
        <w:tc>
          <w:tcPr>
            <w:tcW w:w="10400" w:type="dxa"/>
            <w:vAlign w:val="bottom"/>
            <w:gridSpan w:val="17"/>
          </w:tcPr>
          <w:p>
            <w:pPr>
              <w:spacing w:after="0"/>
              <w:rPr>
                <w:rFonts w:ascii="Arial" w:cs="Arial" w:eastAsia="Arial" w:hAnsi="Arial"/>
                <w:sz w:val="18"/>
                <w:szCs w:val="18"/>
                <w:color w:val="0000FF"/>
              </w:rPr>
            </w:pPr>
            <w:hyperlink w:anchor="page126">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180" w:type="dxa"/>
            <w:vAlign w:val="bottom"/>
            <w:gridSpan w:val="11"/>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3"/>
              </w:rPr>
            </w:pPr>
            <w:hyperlink w:anchor="page127">
              <w:r>
                <w:rPr>
                  <w:rFonts w:ascii="Arial" w:cs="Arial" w:eastAsia="Arial" w:hAnsi="Arial"/>
                  <w:sz w:val="18"/>
                  <w:szCs w:val="18"/>
                  <w:color w:val="0000FF"/>
                  <w:w w:val="93"/>
                </w:rPr>
                <w:t>Certification by Chief Executive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127">
              <w:r>
                <w:rPr>
                  <w:rFonts w:ascii="Arial" w:cs="Arial" w:eastAsia="Arial" w:hAnsi="Arial"/>
                  <w:sz w:val="18"/>
                  <w:szCs w:val="18"/>
                  <w:color w:val="0000FF"/>
                  <w:w w:val="87"/>
                </w:rPr>
                <w:t>Section 1350</w:t>
              </w:r>
            </w:hyperlink>
          </w:p>
        </w:tc>
        <w:tc>
          <w:tcPr>
            <w:tcW w:w="94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240" w:type="dxa"/>
            <w:vAlign w:val="bottom"/>
          </w:tcPr>
          <w:p>
            <w:pPr>
              <w:spacing w:after="0"/>
              <w:rPr>
                <w:sz w:val="21"/>
                <w:szCs w:val="21"/>
                <w:color w:val="auto"/>
              </w:rPr>
            </w:pPr>
          </w:p>
        </w:tc>
        <w:tc>
          <w:tcPr>
            <w:tcW w:w="1040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128">
              <w:r>
                <w:rPr>
                  <w:rFonts w:ascii="Arial" w:cs="Arial" w:eastAsia="Arial" w:hAnsi="Arial"/>
                  <w:sz w:val="18"/>
                  <w:szCs w:val="18"/>
                  <w:color w:val="0000FF"/>
                  <w:w w:val="94"/>
                </w:rPr>
                <w:t>Certification by Chief Financial Officer of Periodic Financial Reports pursuant to Section 906 of the Sarbanes-Oxley Act of 2002, 18 U.S.C.</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128">
              <w:r>
                <w:rPr>
                  <w:rFonts w:ascii="Arial" w:cs="Arial" w:eastAsia="Arial" w:hAnsi="Arial"/>
                  <w:sz w:val="18"/>
                  <w:szCs w:val="18"/>
                  <w:color w:val="0000FF"/>
                  <w:w w:val="87"/>
                </w:rPr>
                <w:t>Section 1350</w:t>
              </w:r>
            </w:hyperlink>
          </w:p>
        </w:tc>
        <w:tc>
          <w:tcPr>
            <w:tcW w:w="94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960" w:hanging="628"/>
        <w:spacing w:after="0" w:line="259" w:lineRule="auto"/>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Annual Report on Form 10-K for the year ended December 31, 2017, formatted in Extensible Business Reporting Language (XBRL): (i) the Consolidated Balance Sheets, (ii) the Consolidated Statements of Earnings, (iii) the Consolidated Statements of Comprehensive Earnings, (iv) the Consolidated Statements of Stockholders' Equity, (v) the Consolidated Statements of Cash Flows, and (vi) the Notes to Consolidated Financial Statements.</w:t>
      </w:r>
    </w:p>
    <w:p>
      <w:pPr>
        <w:spacing w:after="0" w:line="213"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management or compensatory plan or arrangement required to be filed as an exhibit to this report pursuant to Item 15(c) of Form 10-K</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125" w:right="2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32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3755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 and 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2018</w:t>
      </w:r>
    </w:p>
    <w:p>
      <w:pPr>
        <w:spacing w:after="0" w:line="266" w:lineRule="exact"/>
        <w:rPr>
          <w:sz w:val="20"/>
          <w:szCs w:val="20"/>
          <w:color w:val="auto"/>
        </w:rPr>
      </w:pPr>
    </w:p>
    <w:p>
      <w:pPr>
        <w:ind w:left="40" w:right="68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60" w:type="dxa"/>
            <w:vAlign w:val="bottom"/>
          </w:tcPr>
          <w:p>
            <w:pPr>
              <w:spacing w:after="0"/>
              <w:rPr>
                <w:sz w:val="14"/>
                <w:szCs w:val="14"/>
                <w:color w:val="auto"/>
              </w:rPr>
            </w:pPr>
          </w:p>
        </w:tc>
        <w:tc>
          <w:tcPr>
            <w:tcW w:w="5140" w:type="dxa"/>
            <w:vAlign w:val="bottom"/>
            <w:gridSpan w:val="3"/>
          </w:tcPr>
          <w:p>
            <w:pPr>
              <w:jc w:val="center"/>
              <w:ind w:left="291"/>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gridSpan w:val="3"/>
          </w:tcPr>
          <w:p>
            <w:pPr>
              <w:jc w:val="center"/>
              <w:ind w:left="67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Raymond R. Quirk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Raymond R. Quirk</w:t>
            </w:r>
          </w:p>
        </w:tc>
        <w:tc>
          <w:tcPr>
            <w:tcW w:w="5140" w:type="dxa"/>
            <w:vAlign w:val="bottom"/>
            <w:gridSpan w:val="3"/>
          </w:tcPr>
          <w:p>
            <w:pPr>
              <w:jc w:val="center"/>
              <w:ind w:left="271"/>
              <w:spacing w:after="0"/>
              <w:rPr>
                <w:sz w:val="20"/>
                <w:szCs w:val="20"/>
                <w:color w:val="auto"/>
              </w:rPr>
            </w:pPr>
            <w:r>
              <w:rPr>
                <w:rFonts w:ascii="Arial" w:cs="Arial" w:eastAsia="Arial" w:hAnsi="Arial"/>
                <w:sz w:val="18"/>
                <w:szCs w:val="18"/>
                <w:color w:val="auto"/>
                <w:w w:val="94"/>
              </w:rPr>
              <w:t>(Principal Executive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Anthony J. Park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4"/>
              </w:rPr>
              <w:t>Chief Financial Officer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Anthony J. Park</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3"/>
              </w:rPr>
              <w:t>(Principal Financial and Accounting Officer)</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1"/>
              </w:rPr>
              <w:t>Director and Chairman of the Board</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Douglas K. Ammerman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/s/ Willie D. Davis</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6"/>
              </w:rPr>
              <w:t>Willie D. Davis</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Thomas M. Hagerty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6"/>
              </w:rPr>
              <w:t>/s/ Janet E. Kerr</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9"/>
              </w:rPr>
              <w:t>Janet E. Kerr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Daniel D. (Ron) Lane</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Richard N. Massey</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Heather H. Murren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Heather H. Murren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John D. Rood</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John D. Rood</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Peter O. Shea, Jr.</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Cary H. Thompson</w:t>
            </w:r>
          </w:p>
        </w:tc>
        <w:tc>
          <w:tcPr>
            <w:tcW w:w="5140" w:type="dxa"/>
            <w:vAlign w:val="bottom"/>
            <w:gridSpan w:val="3"/>
          </w:tcPr>
          <w:p>
            <w:pPr>
              <w:jc w:val="center"/>
              <w:ind w:left="291"/>
              <w:spacing w:after="0"/>
              <w:rPr>
                <w:sz w:val="20"/>
                <w:szCs w:val="20"/>
                <w:color w:val="auto"/>
              </w:rPr>
            </w:pPr>
            <w:r>
              <w:rPr>
                <w:rFonts w:ascii="Arial" w:cs="Arial" w:eastAsia="Arial" w:hAnsi="Arial"/>
                <w:sz w:val="18"/>
                <w:szCs w:val="18"/>
                <w:color w:val="auto"/>
                <w:w w:val="95"/>
              </w:rPr>
              <w:t>Director</w:t>
            </w:r>
          </w:p>
        </w:tc>
        <w:tc>
          <w:tcPr>
            <w:tcW w:w="2100" w:type="dxa"/>
            <w:vAlign w:val="bottom"/>
            <w:gridSpan w:val="3"/>
          </w:tcPr>
          <w:p>
            <w:pPr>
              <w:jc w:val="center"/>
              <w:ind w:left="671"/>
              <w:spacing w:after="0"/>
              <w:rPr>
                <w:sz w:val="20"/>
                <w:szCs w:val="20"/>
                <w:color w:val="auto"/>
              </w:rPr>
            </w:pPr>
            <w:r>
              <w:rPr>
                <w:rFonts w:ascii="Arial" w:cs="Arial" w:eastAsia="Arial" w:hAnsi="Arial"/>
                <w:sz w:val="18"/>
                <w:szCs w:val="18"/>
                <w:color w:val="auto"/>
                <w:w w:val="91"/>
              </w:rPr>
              <w:t>February 23, 2018</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8660" w:type="dxa"/>
            <w:vAlign w:val="bottom"/>
          </w:tcPr>
          <w:p>
            <w:pPr>
              <w:jc w:val="center"/>
              <w:ind w:left="2706"/>
              <w:spacing w:after="0"/>
              <w:rPr>
                <w:sz w:val="20"/>
                <w:szCs w:val="20"/>
                <w:color w:val="auto"/>
              </w:rPr>
            </w:pPr>
            <w:r>
              <w:rPr>
                <w:rFonts w:ascii="Arial" w:cs="Arial" w:eastAsia="Arial" w:hAnsi="Arial"/>
                <w:sz w:val="18"/>
                <w:szCs w:val="18"/>
                <w:b w:val="1"/>
                <w:bCs w:val="1"/>
                <w:color w:val="auto"/>
              </w:rPr>
              <w:t>FIDELITY NATIONAL FINANCIAL, INC.</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1"/>
              </w:rPr>
              <w:t>(Parent Company)</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8"/>
              </w:rPr>
              <w:t>BALANCE SHEETS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2"/>
        </w:trPr>
        <w:tc>
          <w:tcPr>
            <w:tcW w:w="8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86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22"/>
                <w:szCs w:val="22"/>
                <w:color w:val="auto"/>
              </w:rPr>
            </w:pPr>
          </w:p>
        </w:tc>
      </w:tr>
      <w:tr>
        <w:trPr>
          <w:trHeight w:val="190"/>
        </w:trPr>
        <w:tc>
          <w:tcPr>
            <w:tcW w:w="8660" w:type="dxa"/>
            <w:vAlign w:val="bottom"/>
          </w:tcPr>
          <w:p>
            <w:pPr>
              <w:spacing w:after="0"/>
              <w:rPr>
                <w:sz w:val="16"/>
                <w:szCs w:val="16"/>
                <w:color w:val="auto"/>
              </w:rPr>
            </w:pPr>
          </w:p>
        </w:tc>
        <w:tc>
          <w:tcPr>
            <w:tcW w:w="2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(In millions, except share data)</w:t>
            </w:r>
          </w:p>
        </w:tc>
      </w:tr>
      <w:tr>
        <w:trPr>
          <w:trHeight w:val="209"/>
        </w:trPr>
        <w:tc>
          <w:tcPr>
            <w:tcW w:w="8660" w:type="dxa"/>
            <w:vAlign w:val="bottom"/>
          </w:tcPr>
          <w:p>
            <w:pPr>
              <w:ind w:left="5340"/>
              <w:spacing w:after="0"/>
              <w:rPr>
                <w:sz w:val="20"/>
                <w:szCs w:val="20"/>
                <w:color w:val="auto"/>
              </w:rPr>
            </w:pPr>
            <w:r>
              <w:rPr>
                <w:rFonts w:ascii="Arial" w:cs="Arial" w:eastAsia="Arial" w:hAnsi="Arial"/>
                <w:sz w:val="14"/>
                <w:szCs w:val="14"/>
                <w:b w:val="1"/>
                <w:bCs w:val="1"/>
                <w:color w:val="auto"/>
              </w:rPr>
              <w:t>ASSETS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246</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Short term investments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securities available for sale, at fair value</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Investment in unconsolidated affiliates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622</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Investments in and amounts due from subsidiaries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4,672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4,253</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22"/>
                <w:szCs w:val="22"/>
                <w:color w:val="auto"/>
              </w:rPr>
            </w:pPr>
          </w:p>
        </w:tc>
      </w:tr>
      <w:tr>
        <w:trPr>
          <w:trHeight w:val="27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discontinued subsidiaries</w:t>
            </w:r>
          </w:p>
        </w:tc>
        <w:tc>
          <w:tcPr>
            <w:tcW w:w="7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2,581</w:t>
            </w:r>
          </w:p>
        </w:tc>
        <w:tc>
          <w:tcPr>
            <w:tcW w:w="200" w:type="dxa"/>
            <w:vAlign w:val="bottom"/>
          </w:tcPr>
          <w:p>
            <w:pPr>
              <w:spacing w:after="0"/>
              <w:rPr>
                <w:sz w:val="23"/>
                <w:szCs w:val="23"/>
                <w:color w:val="auto"/>
              </w:rPr>
            </w:pPr>
          </w:p>
        </w:tc>
      </w:tr>
      <w:tr>
        <w:trPr>
          <w:trHeight w:val="283"/>
        </w:trPr>
        <w:tc>
          <w:tcPr>
            <w:tcW w:w="86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5,582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7,717</w:t>
            </w:r>
          </w:p>
        </w:tc>
        <w:tc>
          <w:tcPr>
            <w:tcW w:w="200" w:type="dxa"/>
            <w:vAlign w:val="bottom"/>
          </w:tcPr>
          <w:p>
            <w:pPr>
              <w:spacing w:after="0"/>
              <w:rPr>
                <w:sz w:val="24"/>
                <w:szCs w:val="24"/>
                <w:color w:val="auto"/>
              </w:rPr>
            </w:pPr>
          </w:p>
        </w:tc>
      </w:tr>
      <w:tr>
        <w:trPr>
          <w:trHeight w:val="156"/>
        </w:trPr>
        <w:tc>
          <w:tcPr>
            <w:tcW w:w="8660" w:type="dxa"/>
            <w:vAlign w:val="bottom"/>
            <w:shd w:val="clear" w:color="auto" w:fill="CCEEFF"/>
          </w:tcPr>
          <w:p>
            <w:pPr>
              <w:ind w:left="4700"/>
              <w:spacing w:after="0" w:line="147" w:lineRule="exact"/>
              <w:rPr>
                <w:sz w:val="20"/>
                <w:szCs w:val="20"/>
                <w:color w:val="auto"/>
              </w:rPr>
            </w:pPr>
            <w:r>
              <w:rPr>
                <w:rFonts w:ascii="Arial" w:cs="Arial" w:eastAsia="Arial" w:hAnsi="Arial"/>
                <w:sz w:val="14"/>
                <w:szCs w:val="14"/>
                <w:b w:val="1"/>
                <w:bCs w:val="1"/>
                <w:color w:val="auto"/>
              </w:rPr>
              <w:t>LIABILITIES AND EQUITY</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 and other accrued liabilities</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Income taxes payable</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629</w:t>
            </w:r>
          </w:p>
        </w:tc>
        <w:tc>
          <w:tcPr>
            <w:tcW w:w="200" w:type="dxa"/>
            <w:vAlign w:val="bottom"/>
          </w:tcPr>
          <w:p>
            <w:pPr>
              <w:spacing w:after="0"/>
              <w:rPr>
                <w:sz w:val="24"/>
                <w:szCs w:val="24"/>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Notes payable</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985</w:t>
            </w:r>
          </w:p>
        </w:tc>
        <w:tc>
          <w:tcPr>
            <w:tcW w:w="200" w:type="dxa"/>
            <w:vAlign w:val="bottom"/>
          </w:tcPr>
          <w:p>
            <w:pPr>
              <w:spacing w:after="0"/>
              <w:rPr>
                <w:sz w:val="22"/>
                <w:szCs w:val="22"/>
                <w:color w:val="auto"/>
              </w:rPr>
            </w:pPr>
          </w:p>
        </w:tc>
      </w:tr>
      <w:tr>
        <w:trPr>
          <w:trHeight w:val="256"/>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1,135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1,721</w:t>
            </w:r>
          </w:p>
        </w:tc>
        <w:tc>
          <w:tcPr>
            <w:tcW w:w="200" w:type="dxa"/>
            <w:vAlign w:val="bottom"/>
          </w:tcPr>
          <w:p>
            <w:pPr>
              <w:spacing w:after="0"/>
              <w:rPr>
                <w:sz w:val="22"/>
                <w:szCs w:val="22"/>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Equity:</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63"/>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FNF Group common stock, $0.0001 par value; authorized 487,000,000 shares as of December 31, 2017 and 2016; outstanding of 274,431,737 and</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6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272,205,261 as of December 31, 2017 and 2016, respectively; and issued of 287,718,304 and 285,041,900 as of December 31, 2017 and 2016,</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r>
      <w:tr>
        <w:trPr>
          <w:trHeight w:val="194"/>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respectively</w:t>
            </w:r>
          </w:p>
        </w:tc>
        <w:tc>
          <w:tcPr>
            <w:tcW w:w="7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r>
      <w:tr>
        <w:trPr>
          <w:trHeight w:val="157"/>
        </w:trPr>
        <w:tc>
          <w:tcPr>
            <w:tcW w:w="8660" w:type="dxa"/>
            <w:vAlign w:val="bottom"/>
          </w:tcPr>
          <w:p>
            <w:pPr>
              <w:ind w:left="40"/>
              <w:spacing w:after="0" w:line="157" w:lineRule="exact"/>
              <w:rPr>
                <w:sz w:val="20"/>
                <w:szCs w:val="20"/>
                <w:color w:val="auto"/>
              </w:rPr>
            </w:pPr>
            <w:r>
              <w:rPr>
                <w:rFonts w:ascii="Arial" w:cs="Arial" w:eastAsia="Arial" w:hAnsi="Arial"/>
                <w:sz w:val="14"/>
                <w:szCs w:val="14"/>
                <w:color w:val="auto"/>
                <w:w w:val="92"/>
              </w:rPr>
              <w:t>FNFV Group common stock, $0.0001 par value; authorized 113,000,000 shares as of December 31, 2016, outstanding of 66,416,822 as of December</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8"/>
        </w:trPr>
        <w:tc>
          <w:tcPr>
            <w:tcW w:w="8660" w:type="dxa"/>
            <w:vAlign w:val="bottom"/>
          </w:tcPr>
          <w:p>
            <w:pPr>
              <w:ind w:left="40"/>
              <w:spacing w:after="0"/>
              <w:rPr>
                <w:sz w:val="20"/>
                <w:szCs w:val="20"/>
                <w:color w:val="auto"/>
              </w:rPr>
            </w:pPr>
            <w:r>
              <w:rPr>
                <w:rFonts w:ascii="Arial" w:cs="Arial" w:eastAsia="Arial" w:hAnsi="Arial"/>
                <w:sz w:val="14"/>
                <w:szCs w:val="14"/>
                <w:color w:val="auto"/>
              </w:rPr>
              <w:t>31, 2016, and issued of 80,581,675 as of December 31, 2016, see Note G</w:t>
            </w:r>
          </w:p>
        </w:tc>
        <w:tc>
          <w:tcPr>
            <w:tcW w:w="7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4,587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4,848</w:t>
            </w:r>
          </w:p>
        </w:tc>
        <w:tc>
          <w:tcPr>
            <w:tcW w:w="200" w:type="dxa"/>
            <w:vAlign w:val="bottom"/>
          </w:tcPr>
          <w:p>
            <w:pPr>
              <w:spacing w:after="0"/>
              <w:rPr>
                <w:sz w:val="24"/>
                <w:szCs w:val="24"/>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1,784</w:t>
            </w:r>
          </w:p>
        </w:tc>
        <w:tc>
          <w:tcPr>
            <w:tcW w:w="200" w:type="dxa"/>
            <w:vAlign w:val="bottom"/>
          </w:tcPr>
          <w:p>
            <w:pPr>
              <w:spacing w:after="0"/>
              <w:rPr>
                <w:sz w:val="22"/>
                <w:szCs w:val="22"/>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24"/>
                <w:szCs w:val="24"/>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Treasury stock, 13,286,567 shares and 27,001,492 shares as of December 31, 2017 and 2016, respectively, at cost</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200" w:type="dxa"/>
            <w:vAlign w:val="bottom"/>
          </w:tcPr>
          <w:p>
            <w:pPr>
              <w:spacing w:after="0"/>
              <w:rPr>
                <w:sz w:val="22"/>
                <w:szCs w:val="22"/>
                <w:color w:val="auto"/>
              </w:rPr>
            </w:pPr>
          </w:p>
        </w:tc>
      </w:tr>
      <w:tr>
        <w:trPr>
          <w:trHeight w:val="250"/>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 of Fidelity National Financial, Inc. common shareholders</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4,447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5,996</w:t>
            </w:r>
          </w:p>
        </w:tc>
        <w:tc>
          <w:tcPr>
            <w:tcW w:w="200" w:type="dxa"/>
            <w:vAlign w:val="bottom"/>
          </w:tcPr>
          <w:p>
            <w:pPr>
              <w:spacing w:after="0"/>
              <w:rPr>
                <w:sz w:val="21"/>
                <w:szCs w:val="21"/>
                <w:color w:val="auto"/>
              </w:rPr>
            </w:pPr>
          </w:p>
        </w:tc>
      </w:tr>
      <w:tr>
        <w:trPr>
          <w:trHeight w:val="243"/>
        </w:trPr>
        <w:tc>
          <w:tcPr>
            <w:tcW w:w="866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5,582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7,717</w:t>
            </w:r>
          </w:p>
        </w:tc>
        <w:tc>
          <w:tcPr>
            <w:tcW w:w="200" w:type="dxa"/>
            <w:vAlign w:val="bottom"/>
          </w:tcPr>
          <w:p>
            <w:pPr>
              <w:spacing w:after="0"/>
              <w:rPr>
                <w:sz w:val="21"/>
                <w:szCs w:val="21"/>
                <w:color w:val="auto"/>
              </w:rPr>
            </w:pP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440" w:type="dxa"/>
            <w:vAlign w:val="bottom"/>
          </w:tcPr>
          <w:p>
            <w:pPr>
              <w:jc w:val="center"/>
              <w:ind w:left="3911"/>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440" w:type="dxa"/>
            <w:vAlign w:val="bottom"/>
          </w:tcPr>
          <w:p>
            <w:pPr>
              <w:jc w:val="center"/>
              <w:ind w:left="3891"/>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40" w:type="dxa"/>
            <w:vAlign w:val="bottom"/>
            <w:gridSpan w:val="3"/>
          </w:tcPr>
          <w:p>
            <w:pPr>
              <w:jc w:val="center"/>
              <w:ind w:left="2691"/>
              <w:spacing w:after="0"/>
              <w:rPr>
                <w:sz w:val="20"/>
                <w:szCs w:val="20"/>
                <w:color w:val="auto"/>
              </w:rPr>
            </w:pPr>
            <w:r>
              <w:rPr>
                <w:rFonts w:ascii="Arial" w:cs="Arial" w:eastAsia="Arial" w:hAnsi="Arial"/>
                <w:sz w:val="18"/>
                <w:szCs w:val="18"/>
                <w:b w:val="1"/>
                <w:bCs w:val="1"/>
                <w:color w:val="auto"/>
                <w:w w:val="99"/>
              </w:rPr>
              <w:t>STATEMENTS OF EARNINGS AND RETAINED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2"/>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7"/>
          </w:tcPr>
          <w:p>
            <w:pPr>
              <w:jc w:val="center"/>
              <w:ind w:left="492"/>
              <w:spacing w:after="0"/>
              <w:rPr>
                <w:sz w:val="20"/>
                <w:szCs w:val="20"/>
                <w:color w:val="auto"/>
              </w:rPr>
            </w:pPr>
            <w:r>
              <w:rPr>
                <w:rFonts w:ascii="Arial" w:cs="Arial" w:eastAsia="Arial" w:hAnsi="Arial"/>
                <w:sz w:val="14"/>
                <w:szCs w:val="14"/>
                <w:b w:val="1"/>
                <w:bCs w:val="1"/>
                <w:color w:val="auto"/>
                <w:w w:val="92"/>
              </w:rPr>
              <w:t>(In millions, except per share data)</w:t>
            </w:r>
          </w:p>
        </w:tc>
        <w:tc>
          <w:tcPr>
            <w:tcW w:w="84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fees and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investment income and realized gains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before income tax benefit and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Losses before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Earnings from continuing operations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527</w:t>
            </w:r>
          </w:p>
        </w:tc>
      </w:tr>
      <w:tr>
        <w:trPr>
          <w:trHeight w:val="311"/>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1,784</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1,150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Distribution of Black Knight to FNF common shareholders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Redemption of FNFV tracking stock and distribution of Cannae Holdings, Inc. common stock to</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holders of FNFV tracking stock</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Distribution of J. Alexander's to FNFV Group common shareholders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14"/>
        </w:trPr>
        <w:tc>
          <w:tcPr>
            <w:tcW w:w="8120" w:type="dxa"/>
            <w:vAlign w:val="bottom"/>
          </w:tcPr>
          <w:p>
            <w:pPr>
              <w:jc w:val="center"/>
              <w:ind w:left="3231"/>
              <w:spacing w:after="0"/>
              <w:rPr>
                <w:sz w:val="20"/>
                <w:szCs w:val="20"/>
                <w:color w:val="auto"/>
              </w:rPr>
            </w:pPr>
            <w:r>
              <w:rPr>
                <w:rFonts w:ascii="Arial" w:cs="Arial" w:eastAsia="Arial" w:hAnsi="Arial"/>
                <w:sz w:val="18"/>
                <w:szCs w:val="18"/>
                <w:b w:val="1"/>
                <w:bCs w:val="1"/>
                <w:color w:val="auto"/>
              </w:rPr>
              <w:t>FIDELITY NATIONAL FINANCIAL, INC.</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jc w:val="center"/>
              <w:ind w:left="3211"/>
              <w:spacing w:after="0"/>
              <w:rPr>
                <w:sz w:val="20"/>
                <w:szCs w:val="20"/>
                <w:color w:val="auto"/>
              </w:rPr>
            </w:pPr>
            <w:r>
              <w:rPr>
                <w:rFonts w:ascii="Arial" w:cs="Arial" w:eastAsia="Arial" w:hAnsi="Arial"/>
                <w:sz w:val="18"/>
                <w:szCs w:val="18"/>
                <w:b w:val="1"/>
                <w:bCs w:val="1"/>
                <w:color w:val="auto"/>
                <w:w w:val="91"/>
              </w:rPr>
              <w:t>(Parent Company)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4360"/>
              <w:spacing w:after="0"/>
              <w:rPr>
                <w:sz w:val="20"/>
                <w:szCs w:val="20"/>
                <w:color w:val="auto"/>
              </w:rPr>
            </w:pPr>
            <w:r>
              <w:rPr>
                <w:rFonts w:ascii="Arial" w:cs="Arial" w:eastAsia="Arial" w:hAnsi="Arial"/>
                <w:sz w:val="18"/>
                <w:szCs w:val="18"/>
                <w:b w:val="1"/>
                <w:bCs w:val="1"/>
                <w:color w:val="auto"/>
              </w:rPr>
              <w:t>STATEMENTS OF CASH FLOWS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431"/>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assets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Equity in earnings of subsidiaries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decrease (increase) in prepaid expenses and other assets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accounts payable and 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Purchases of investments available for sale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(purchases of) proceeds from short-term investment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to notes receivable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 of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Distributions from unconsolidated affiliates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investments in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service payments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portion of debt conversions paid in cash</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Purchases of treasury stock</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Payment for shares withheld for taxes and in treasury</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transferred in the Black Knight spin-off</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transferred in the FNFV split-off</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dividends from subsidiaries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Cash at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171"/>
              <w:spacing w:after="0"/>
              <w:rPr>
                <w:sz w:val="20"/>
                <w:szCs w:val="20"/>
                <w:color w:val="auto"/>
              </w:rPr>
            </w:pPr>
            <w:r>
              <w:rPr>
                <w:rFonts w:ascii="Arial" w:cs="Arial" w:eastAsia="Arial" w:hAnsi="Arial"/>
                <w:sz w:val="18"/>
                <w:szCs w:val="18"/>
                <w:color w:val="auto"/>
                <w:w w:val="88"/>
              </w:rPr>
              <w:t>See Notes to Financial Statements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120" w:type="dxa"/>
            <w:vAlign w:val="bottom"/>
          </w:tcPr>
          <w:p>
            <w:pPr>
              <w:jc w:val="center"/>
              <w:ind w:left="3211"/>
              <w:spacing w:after="0"/>
              <w:rPr>
                <w:sz w:val="20"/>
                <w:szCs w:val="20"/>
                <w:color w:val="auto"/>
              </w:rPr>
            </w:pPr>
            <w:r>
              <w:rPr>
                <w:rFonts w:ascii="Arial" w:cs="Arial" w:eastAsia="Arial" w:hAnsi="Arial"/>
                <w:sz w:val="18"/>
                <w:szCs w:val="18"/>
                <w:color w:val="auto"/>
                <w:w w:val="86"/>
              </w:rPr>
              <w:t>100</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w:t>
      </w:r>
    </w:p>
    <w:p>
      <w:pPr>
        <w:spacing w:after="0" w:line="31"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740" w:type="dxa"/>
            <w:vAlign w:val="bottom"/>
          </w:tcPr>
          <w:p>
            <w:pPr>
              <w:spacing w:after="0"/>
              <w:rPr>
                <w:sz w:val="21"/>
                <w:szCs w:val="21"/>
                <w:color w:val="auto"/>
              </w:rPr>
            </w:pPr>
          </w:p>
        </w:tc>
        <w:tc>
          <w:tcPr>
            <w:tcW w:w="40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291</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r>
      <w:tr>
        <w:trPr>
          <w:trHeight w:val="229"/>
        </w:trPr>
        <w:tc>
          <w:tcPr>
            <w:tcW w:w="9040" w:type="dxa"/>
            <w:vAlign w:val="bottom"/>
          </w:tcPr>
          <w:p>
            <w:pPr>
              <w:ind w:left="40"/>
              <w:spacing w:after="0"/>
              <w:rPr>
                <w:sz w:val="20"/>
                <w:szCs w:val="20"/>
                <w:color w:val="auto"/>
              </w:rPr>
            </w:pPr>
            <w:r>
              <w:rPr>
                <w:rFonts w:ascii="Arial" w:cs="Arial" w:eastAsia="Arial" w:hAnsi="Arial"/>
                <w:sz w:val="18"/>
                <w:szCs w:val="18"/>
                <w:color w:val="auto"/>
                <w:w w:val="93"/>
              </w:rPr>
              <w:t>Revolving Credit Facility, unsecured, unused portion of $500 at December 31, 2017, due April 2022 with interest payable</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tcPr>
          <w:p>
            <w:pPr>
              <w:ind w:left="40"/>
              <w:spacing w:after="0"/>
              <w:rPr>
                <w:sz w:val="20"/>
                <w:szCs w:val="20"/>
                <w:color w:val="auto"/>
              </w:rPr>
            </w:pPr>
            <w:r>
              <w:rPr>
                <w:rFonts w:ascii="Arial" w:cs="Arial" w:eastAsia="Arial" w:hAnsi="Arial"/>
                <w:sz w:val="18"/>
                <w:szCs w:val="18"/>
                <w:color w:val="auto"/>
              </w:rPr>
              <w:t>monthly at LIBOR + 1.40% (2.76% at December 31, 2017)</w:t>
            </w:r>
          </w:p>
        </w:tc>
        <w:tc>
          <w:tcPr>
            <w:tcW w:w="740" w:type="dxa"/>
            <w:vAlign w:val="bottom"/>
          </w:tcPr>
          <w:p>
            <w:pPr>
              <w:spacing w:after="0"/>
              <w:rPr>
                <w:sz w:val="20"/>
                <w:szCs w:val="20"/>
                <w:color w:val="auto"/>
              </w:rPr>
            </w:pPr>
          </w:p>
        </w:tc>
        <w:tc>
          <w:tcPr>
            <w:tcW w:w="400" w:type="dxa"/>
            <w:vAlign w:val="bottom"/>
          </w:tcPr>
          <w:p>
            <w:pPr>
              <w:jc w:val="right"/>
              <w:ind w:right="35"/>
              <w:spacing w:after="0"/>
              <w:rPr>
                <w:sz w:val="20"/>
                <w:szCs w:val="20"/>
                <w:color w:val="auto"/>
              </w:rPr>
            </w:pPr>
            <w:r>
              <w:rPr>
                <w:rFonts w:ascii="Arial" w:cs="Arial" w:eastAsia="Arial" w:hAnsi="Arial"/>
                <w:sz w:val="18"/>
                <w:szCs w:val="18"/>
                <w:color w:val="auto"/>
                <w:w w:val="86"/>
              </w:rPr>
              <w:t>295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9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757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2016</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190"/>
        </w:trPr>
        <w:tc>
          <w:tcPr>
            <w:tcW w:w="7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Cash paid during the year: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payments</w:t>
            </w:r>
          </w:p>
        </w:tc>
        <w:tc>
          <w:tcPr>
            <w:tcW w:w="7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w w:val="93"/>
              </w:rPr>
              <w:t>528</w:t>
            </w:r>
          </w:p>
        </w:tc>
        <w:tc>
          <w:tcPr>
            <w:tcW w:w="2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367</w:t>
            </w:r>
          </w:p>
        </w:tc>
        <w:tc>
          <w:tcPr>
            <w:tcW w:w="3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250</w:t>
            </w:r>
          </w:p>
        </w:tc>
      </w:tr>
    </w:tbl>
    <w:p>
      <w:pPr>
        <w:spacing w:after="0" w:line="90"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Cash Dividends Received</w:t>
      </w:r>
    </w:p>
    <w:p>
      <w:pPr>
        <w:spacing w:after="0" w:line="94"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We have received cash dividends from subsidiaries and affiliates of $0.8 billion, $0.4 billion, and $0.2 billion during the years ended December 31, 2017, 2016, and 2015,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Column C</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Column B</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Additions</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128"/>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Column E</w:t>
            </w:r>
          </w:p>
        </w:tc>
      </w:tr>
      <w:tr>
        <w:trPr>
          <w:trHeight w:val="258"/>
        </w:trPr>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160" w:type="dxa"/>
            <w:vAlign w:val="bottom"/>
          </w:tcPr>
          <w:p>
            <w:pPr>
              <w:spacing w:after="0"/>
              <w:rPr>
                <w:sz w:val="22"/>
                <w:szCs w:val="22"/>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Charge to</w:t>
            </w: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Balance at</w:t>
            </w:r>
          </w:p>
        </w:tc>
      </w:tr>
      <w:tr>
        <w:trPr>
          <w:trHeight w:val="242"/>
        </w:trPr>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Column A</w:t>
            </w:r>
          </w:p>
        </w:tc>
        <w:tc>
          <w:tcPr>
            <w:tcW w:w="424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21"/>
                <w:szCs w:val="21"/>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Costs and</w:t>
            </w:r>
          </w:p>
        </w:tc>
        <w:tc>
          <w:tcPr>
            <w:tcW w:w="640" w:type="dxa"/>
            <w:vAlign w:val="bottom"/>
          </w:tcPr>
          <w:p>
            <w:pPr>
              <w:spacing w:after="0"/>
              <w:rPr>
                <w:sz w:val="21"/>
                <w:szCs w:val="21"/>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21"/>
                <w:szCs w:val="21"/>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Deduction</w:t>
            </w:r>
          </w:p>
        </w:tc>
        <w:tc>
          <w:tcPr>
            <w:tcW w:w="180" w:type="dxa"/>
            <w:vAlign w:val="bottom"/>
          </w:tcPr>
          <w:p>
            <w:pPr>
              <w:spacing w:after="0"/>
              <w:rPr>
                <w:sz w:val="21"/>
                <w:szCs w:val="21"/>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End of</w:t>
            </w:r>
          </w:p>
        </w:tc>
      </w:tr>
      <w:tr>
        <w:trPr>
          <w:trHeight w:val="285"/>
        </w:trPr>
        <w:tc>
          <w:tcPr>
            <w:tcW w:w="4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Expenses</w:t>
            </w:r>
          </w:p>
        </w:tc>
        <w:tc>
          <w:tcPr>
            <w:tcW w:w="166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3"/>
              </w:rPr>
              <w:t>(Described)</w:t>
            </w:r>
          </w:p>
        </w:tc>
        <w:tc>
          <w:tcPr>
            <w:tcW w:w="240" w:type="dxa"/>
            <w:vAlign w:val="bottom"/>
          </w:tcPr>
          <w:p>
            <w:pPr>
              <w:spacing w:after="0"/>
              <w:rPr>
                <w:sz w:val="24"/>
                <w:szCs w:val="2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(Described)</w:t>
            </w:r>
          </w:p>
        </w:tc>
        <w:tc>
          <w:tcPr>
            <w:tcW w:w="180" w:type="dxa"/>
            <w:vAlign w:val="bottom"/>
          </w:tcPr>
          <w:p>
            <w:pPr>
              <w:spacing w:after="0"/>
              <w:rPr>
                <w:sz w:val="24"/>
                <w:szCs w:val="24"/>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Period</w:t>
            </w:r>
          </w:p>
        </w:tc>
      </w:tr>
      <w:tr>
        <w:trPr>
          <w:trHeight w:val="250"/>
        </w:trPr>
        <w:tc>
          <w:tcPr>
            <w:tcW w:w="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4"/>
        </w:trPr>
        <w:tc>
          <w:tcPr>
            <w:tcW w:w="40" w:type="dxa"/>
            <w:vAlign w:val="bottom"/>
          </w:tcPr>
          <w:p>
            <w:pPr>
              <w:spacing w:after="0"/>
              <w:rPr>
                <w:sz w:val="22"/>
                <w:szCs w:val="22"/>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238</w:t>
            </w:r>
          </w:p>
        </w:tc>
        <w:tc>
          <w:tcPr>
            <w:tcW w:w="64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48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1,490</w:t>
            </w:r>
          </w:p>
        </w:tc>
      </w:tr>
      <w:tr>
        <w:trPr>
          <w:trHeight w:val="290"/>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Year ended December 31, 2016:</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 for claim losses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1,487</w:t>
            </w:r>
          </w:p>
        </w:tc>
      </w:tr>
      <w:tr>
        <w:trPr>
          <w:trHeight w:val="28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64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48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1,583</w:t>
            </w:r>
          </w:p>
        </w:tc>
      </w:tr>
      <w:tr>
        <w:trPr>
          <w:trHeight w:val="230"/>
        </w:trPr>
        <w:tc>
          <w:tcPr>
            <w:tcW w:w="4800" w:type="dxa"/>
            <w:vAlign w:val="bottom"/>
            <w:gridSpan w:val="3"/>
          </w:tcPr>
          <w:p>
            <w:pPr>
              <w:jc w:val="right"/>
              <w:ind w:right="2280"/>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change in reinsurance recoverable.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payments of claim losses, net of recoupments.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10.17</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THIS AMENDED AND RESTATED EMPLOYMENT AGREEMENT (the "Agreement") is effective as of July 2, 2008 (the "Effective Date"), by and between </w:t>
      </w:r>
      <w:r>
        <w:rPr>
          <w:rFonts w:ascii="Arial" w:cs="Arial" w:eastAsia="Arial" w:hAnsi="Arial"/>
          <w:sz w:val="18"/>
          <w:szCs w:val="18"/>
          <w:b w:val="1"/>
          <w:bCs w:val="1"/>
          <w:color w:val="auto"/>
        </w:rPr>
        <w:t>FIDELITY NATIONAL FINANCIAL, INC.</w:t>
      </w:r>
      <w:r>
        <w:rPr>
          <w:rFonts w:ascii="Arial" w:cs="Arial" w:eastAsia="Arial" w:hAnsi="Arial"/>
          <w:sz w:val="18"/>
          <w:szCs w:val="18"/>
          <w:color w:val="auto"/>
        </w:rPr>
        <w:t xml:space="preserve">, a Delaware corporation (the "Company"), and </w:t>
      </w:r>
      <w:r>
        <w:rPr>
          <w:rFonts w:ascii="Arial" w:cs="Arial" w:eastAsia="Arial" w:hAnsi="Arial"/>
          <w:sz w:val="18"/>
          <w:szCs w:val="18"/>
          <w:b w:val="1"/>
          <w:bCs w:val="1"/>
          <w:color w:val="auto"/>
        </w:rPr>
        <w:t>BRENT B. BICKETT</w:t>
      </w:r>
      <w:r>
        <w:rPr>
          <w:rFonts w:ascii="Arial" w:cs="Arial" w:eastAsia="Arial" w:hAnsi="Arial"/>
          <w:sz w:val="18"/>
          <w:szCs w:val="18"/>
          <w:color w:val="auto"/>
        </w:rPr>
        <w:t xml:space="preserve"> (the "Employee"). In consideration of the mutual covenants and agreements set forth herein, the parties agree as follows:</w:t>
      </w:r>
    </w:p>
    <w:p>
      <w:pPr>
        <w:spacing w:after="0" w:line="208" w:lineRule="exact"/>
        <w:rPr>
          <w:sz w:val="20"/>
          <w:szCs w:val="20"/>
          <w:color w:val="auto"/>
        </w:rPr>
      </w:pPr>
    </w:p>
    <w:p>
      <w:pPr>
        <w:jc w:val="both"/>
        <w:ind w:firstLine="656"/>
        <w:spacing w:after="0" w:line="306" w:lineRule="auto"/>
        <w:tabs>
          <w:tab w:leader="none" w:pos="143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This Agreement amends and restates, in its entirety, the obligations of the parties under the agreement between the Company and the Employee, dated as of October 24, 2006 (the "Prior Agreement"). The purpose of this Agreement is to recognize the Employee's significant contributions to the overall financial performance and success of the Company and to provide a single, integrated document which shall provide the basis for the Employee's continued employment by the Company.</w:t>
      </w:r>
    </w:p>
    <w:p>
      <w:pPr>
        <w:spacing w:after="0" w:line="186" w:lineRule="exact"/>
        <w:rPr>
          <w:rFonts w:ascii="Arial" w:cs="Arial" w:eastAsia="Arial" w:hAnsi="Arial"/>
          <w:sz w:val="18"/>
          <w:szCs w:val="18"/>
          <w:color w:val="auto"/>
        </w:rPr>
      </w:pPr>
    </w:p>
    <w:p>
      <w:pPr>
        <w:jc w:val="both"/>
        <w:ind w:firstLine="656"/>
        <w:spacing w:after="0" w:line="322" w:lineRule="auto"/>
        <w:tabs>
          <w:tab w:leader="none" w:pos="143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Employment and Duties</w:t>
      </w:r>
      <w:r>
        <w:rPr>
          <w:rFonts w:ascii="Arial" w:cs="Arial" w:eastAsia="Arial" w:hAnsi="Arial"/>
          <w:sz w:val="17"/>
          <w:szCs w:val="17"/>
          <w:color w:val="auto"/>
        </w:rPr>
        <w:t>. Subject to the terms and conditions of this Agreement, the Company employs the Employee to serve in an executive capacity as Executive Vice President, Corporate Finance. The Employee accepts such employment and agrees to undertake and discharge the duties, functions and responsibilities commensurate with the aforesaid position and such other duties and responsibilities as may be prescribed from time to time by the Chief Executive Officer (the "CEO") or the Board of Directors of the Company (the "Board"). Except as expressly provided in Subsection 13(c), the Employee shall devote substantially all of his business time, attention and effort to the performance of his duties hereunder and shall not engage in any business, profession or occupation, for compensation or otherwise without the express written consent of the CEO, other than personal, personal investment, charitable, or civic activities or other matters that do not conflict with the Employee's duties.</w:t>
      </w:r>
    </w:p>
    <w:p>
      <w:pPr>
        <w:spacing w:after="0" w:line="176" w:lineRule="exact"/>
        <w:rPr>
          <w:rFonts w:ascii="Arial" w:cs="Arial" w:eastAsia="Arial" w:hAnsi="Arial"/>
          <w:sz w:val="17"/>
          <w:szCs w:val="17"/>
          <w:color w:val="auto"/>
        </w:rPr>
      </w:pPr>
    </w:p>
    <w:p>
      <w:pPr>
        <w:jc w:val="both"/>
        <w:ind w:firstLine="656"/>
        <w:spacing w:after="0" w:line="322" w:lineRule="auto"/>
        <w:tabs>
          <w:tab w:leader="none" w:pos="143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commence on the Effective Date and shall continue for a period of three (3) years ending on the third anniversary of the Effective Date or, if later, ending on the last day of any extension made pursuant to the next sentence, subject to prior termination as set forth in Section 8 (such term, including any extensions pursuant to the next sentence, the "Employment Term"). The Employment Term shall be extended automatically for one (1) additional year on the first anniversary of the Effective Date and for an additional year each anniversary thereafter unless and until either party gives written notice to the other not to extend the Employment Term before such extension would be effectuated. Notwithstanding any termination of the Employment Term or the Employee's employment, the Employee and the Company agree that Sections 8 through 10 shall remain in effect until all parties' obligations and benefits are satisfied thereunder.</w:t>
      </w:r>
    </w:p>
    <w:p>
      <w:pPr>
        <w:spacing w:after="0" w:line="176" w:lineRule="exact"/>
        <w:rPr>
          <w:rFonts w:ascii="Arial" w:cs="Arial" w:eastAsia="Arial" w:hAnsi="Arial"/>
          <w:sz w:val="17"/>
          <w:szCs w:val="17"/>
          <w:color w:val="auto"/>
        </w:rPr>
      </w:pPr>
    </w:p>
    <w:p>
      <w:pPr>
        <w:jc w:val="both"/>
        <w:ind w:firstLine="656"/>
        <w:spacing w:after="0" w:line="325" w:lineRule="auto"/>
        <w:tabs>
          <w:tab w:leader="none" w:pos="143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Salary</w:t>
      </w:r>
      <w:r>
        <w:rPr>
          <w:rFonts w:ascii="Arial" w:cs="Arial" w:eastAsia="Arial" w:hAnsi="Arial"/>
          <w:sz w:val="17"/>
          <w:szCs w:val="17"/>
          <w:color w:val="auto"/>
        </w:rPr>
        <w:t>. During the Employment Term, the Company shall pay the Employee an annual base salary, before deducting all applicable withholdings, of no less than $168,500 per year, payable at the time and in the manner dictated by the Company's standard payroll policies. Such minimum annual base salary may be periodically reviewed and increased (but not decreased without the Employee's express written consent) at the discretion of the Board or the Compensation Committee of the Board (the "Committee") to reflect, among other matters, cost of living increases and performance results (such annual base salary, including any increases pursuant to this Section 4, the "Annual Base Salary").</w:t>
      </w:r>
    </w:p>
    <w:p>
      <w:pPr>
        <w:spacing w:after="0" w:line="175"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Compensation and Fringe Benefits</w:t>
      </w:r>
      <w:r>
        <w:rPr>
          <w:rFonts w:ascii="Arial" w:cs="Arial" w:eastAsia="Arial" w:hAnsi="Arial"/>
          <w:sz w:val="18"/>
          <w:szCs w:val="18"/>
          <w:color w:val="auto"/>
        </w:rPr>
        <w:t>. In addition to any executive bonus, pension, deferred compensation and long-term incentive plans which the Company or an affiliate of the Company may from time to time make available to the Employee, the Employee shall be entitled to the following during the Employment Term:</w:t>
      </w:r>
    </w:p>
    <w:p>
      <w:pPr>
        <w:spacing w:after="0" w:line="154"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standard Company benefits enjoyed by the Company's other top executives as a group;</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medical and other insurance coverage (for the Employee and any covered dependents) provided by the Company to its other top executives as a group;</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supplemental disability insurance sufficient to provide two-thirds of the Employee's pre-disability Annual Base Salary;</w:t>
      </w:r>
    </w:p>
    <w:p>
      <w:pPr>
        <w:spacing w:after="0" w:line="225"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annual incentive bonus opportunity under the Company's annual incentive plan ("Annual Bonus Plan") for each calendar year included in the Employment Term, with such opportunity to be earned based upon attainment of performance objectives established by the Committee ("Annual Bonus"). The Employee's target Annual Bonus under the Annual Bonus Plan shall be no less than 150% of the Employee's Annual Base Salary (collectively, the target and maximum are referred to as the "Annual Bonus Opportunity"). The Employee's</w:t>
      </w:r>
    </w:p>
    <w:p>
      <w:pPr>
        <w:sectPr>
          <w:pgSz w:w="11900" w:h="16838" w:orient="portrait"/>
          <w:cols w:equalWidth="0" w:num="1">
            <w:col w:w="11420"/>
          </w:cols>
          <w:pgMar w:left="240" w:top="580" w:right="239" w:bottom="1440" w:gutter="0" w:footer="0" w:header="0"/>
        </w:sectPr>
      </w:pPr>
    </w:p>
    <w:bookmarkStart w:id="107" w:name="page108"/>
    <w:bookmarkEnd w:id="107"/>
    <w:p>
      <w:pPr>
        <w:jc w:val="both"/>
        <w:ind w:left="644"/>
        <w:spacing w:after="0" w:line="298" w:lineRule="auto"/>
        <w:rPr>
          <w:sz w:val="20"/>
          <w:szCs w:val="20"/>
          <w:color w:val="auto"/>
        </w:rPr>
      </w:pPr>
      <w:r>
        <w:rPr>
          <w:rFonts w:ascii="Arial" w:cs="Arial" w:eastAsia="Arial" w:hAnsi="Arial"/>
          <w:sz w:val="16"/>
          <w:szCs w:val="16"/>
          <w:color w:val="auto"/>
        </w:rPr>
        <w:t>Annual Bonus Opportunity may be periodically reviewed and increased (but not decreased without the Employee's express written consent) at the discretion of the Committee. The Annual Bonus shall be paid no later than the March 15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first following the calendar year to which the Annual Bonus relates. Unless provided otherwise herein or the Board determines otherwise, no Annual Bonus shall be paid to the Employee unless the Employee is employed by the Company, or an affiliate thereof, on the Annual Bonus payment date; and</w:t>
      </w:r>
    </w:p>
    <w:p>
      <w:pPr>
        <w:spacing w:after="0" w:line="1" w:lineRule="exact"/>
        <w:rPr>
          <w:sz w:val="20"/>
          <w:szCs w:val="20"/>
          <w:color w:val="auto"/>
        </w:rPr>
      </w:pPr>
    </w:p>
    <w:p>
      <w:pPr>
        <w:ind w:left="644" w:hanging="644"/>
        <w:spacing w:after="0"/>
        <w:tabs>
          <w:tab w:leader="none" w:pos="6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participation in the Company's equity incentive plans.</w:t>
      </w:r>
    </w:p>
    <w:p>
      <w:pPr>
        <w:spacing w:after="0" w:line="251" w:lineRule="exact"/>
        <w:rPr>
          <w:sz w:val="20"/>
          <w:szCs w:val="20"/>
          <w:color w:val="auto"/>
        </w:rPr>
      </w:pPr>
    </w:p>
    <w:p>
      <w:pPr>
        <w:jc w:val="both"/>
        <w:ind w:left="-656" w:firstLine="656"/>
        <w:spacing w:after="0" w:line="364" w:lineRule="auto"/>
        <w:tabs>
          <w:tab w:leader="none" w:pos="77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For and during each calendar year within the Employment Term, the Employee shall be entitled to reasonable paid vacation periods consistent with the Employee's position and in accordance with the Company's standard policies, or as the Board may approve. In addition, the Employee shall be entitled to such holidays consistent with the Company's standard policies or as the Board or the Committee may approve.</w:t>
      </w:r>
    </w:p>
    <w:p>
      <w:pPr>
        <w:spacing w:after="0" w:line="148" w:lineRule="exact"/>
        <w:rPr>
          <w:rFonts w:ascii="Arial" w:cs="Arial" w:eastAsia="Arial" w:hAnsi="Arial"/>
          <w:sz w:val="16"/>
          <w:szCs w:val="16"/>
          <w:color w:val="auto"/>
        </w:rPr>
      </w:pPr>
    </w:p>
    <w:p>
      <w:pPr>
        <w:jc w:val="both"/>
        <w:ind w:left="-656" w:firstLine="656"/>
        <w:spacing w:after="0" w:line="336" w:lineRule="auto"/>
        <w:tabs>
          <w:tab w:leader="none" w:pos="77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Expense Reimbursement</w:t>
      </w:r>
      <w:r>
        <w:rPr>
          <w:rFonts w:ascii="Arial" w:cs="Arial" w:eastAsia="Arial" w:hAnsi="Arial"/>
          <w:sz w:val="17"/>
          <w:szCs w:val="17"/>
          <w:color w:val="auto"/>
        </w:rPr>
        <w:t>. In addition to the compensation and benefits provided herein, the Company shall, upon receipt of appropriate documentation, reimburse the Employee each month for his reasonable travel, lodging, entertainment, promotion and other ordinary and necessary business expenses to the extent such reimbursement is permitted under the Company's expense reimbursement policy.</w:t>
      </w:r>
    </w:p>
    <w:p>
      <w:pPr>
        <w:spacing w:after="0" w:line="164" w:lineRule="exact"/>
        <w:rPr>
          <w:rFonts w:ascii="Arial" w:cs="Arial" w:eastAsia="Arial" w:hAnsi="Arial"/>
          <w:sz w:val="17"/>
          <w:szCs w:val="17"/>
          <w:color w:val="auto"/>
        </w:rPr>
      </w:pPr>
    </w:p>
    <w:p>
      <w:pPr>
        <w:jc w:val="both"/>
        <w:ind w:left="-656" w:firstLine="656"/>
        <w:spacing w:after="0" w:line="311" w:lineRule="auto"/>
        <w:tabs>
          <w:tab w:leader="none" w:pos="77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Company or the Employee may terminate the Employee's employment at any time and for any reason in accordance with Subsection 8(a) below. The Employment Term shall be deemed to have ended on the last day of the Employee's employment. The Employment Term shall terminate automatically upon the Employee's death.</w:t>
      </w:r>
    </w:p>
    <w:p>
      <w:pPr>
        <w:spacing w:after="0" w:line="154" w:lineRule="exact"/>
        <w:rPr>
          <w:sz w:val="20"/>
          <w:szCs w:val="20"/>
          <w:color w:val="auto"/>
        </w:rPr>
      </w:pPr>
    </w:p>
    <w:p>
      <w:pPr>
        <w:jc w:val="both"/>
        <w:ind w:left="644" w:hanging="644"/>
        <w:spacing w:after="0" w:line="271" w:lineRule="auto"/>
        <w:tabs>
          <w:tab w:leader="none" w:pos="64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purported termination of the Employee's employment (other than by reason of death) shall be communicated by written Notice of Termination (as defined herein) from one party to the other in accordance with the notice provisions contained in Section 25. For purposes of this Agreement, a "Notice of Termination" shall mean a notice that indicates the Date of Termination (as that term is defined in Subsection 8(b)) and, with respect to a termination due to Disability (as that term is defined in Subsection 8(e)), Cause (as that term is defined in Subsection 8(d)), or Good Reason (as that term is defined in Subsection 8(f)), sets forth in reasonable detail the facts and circumstances that are alleged to provide a basis for such termination. A Notice of Termination from the Company shall specify whether the termination is with or without Cause or due to the Employee's Disability. A Notice of Termination from the Employee shall specify whether the termination is with or without Good Reason.</w:t>
      </w:r>
    </w:p>
    <w:p>
      <w:pPr>
        <w:spacing w:after="0" w:line="178" w:lineRule="exact"/>
        <w:rPr>
          <w:rFonts w:ascii="Arial" w:cs="Arial" w:eastAsia="Arial" w:hAnsi="Arial"/>
          <w:sz w:val="17"/>
          <w:szCs w:val="17"/>
          <w:color w:val="auto"/>
        </w:rPr>
      </w:pPr>
    </w:p>
    <w:p>
      <w:pPr>
        <w:jc w:val="both"/>
        <w:ind w:left="644" w:hanging="644"/>
        <w:spacing w:after="0" w:line="226"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For purposes of this Agreement, "Date of Termination" shall mean the date specified in the Notice of Termination (but in no event shall such date be earlier than the thirtieth (30</w:t>
      </w:r>
      <w:r>
        <w:rPr>
          <w:rFonts w:ascii="Arial" w:cs="Arial" w:eastAsia="Arial" w:hAnsi="Arial"/>
          <w:sz w:val="25"/>
          <w:szCs w:val="25"/>
          <w:color w:val="auto"/>
          <w:vertAlign w:val="superscript"/>
        </w:rPr>
        <w:t>th</w:t>
      </w:r>
      <w:r>
        <w:rPr>
          <w:rFonts w:ascii="Arial" w:cs="Arial" w:eastAsia="Arial" w:hAnsi="Arial"/>
          <w:sz w:val="18"/>
          <w:szCs w:val="18"/>
          <w:color w:val="auto"/>
        </w:rPr>
        <w:t>) day following the date the Notice of Termination is given) or the date of the Employee's death.</w:t>
      </w:r>
    </w:p>
    <w:p>
      <w:pPr>
        <w:spacing w:after="0" w:line="203" w:lineRule="exact"/>
        <w:rPr>
          <w:rFonts w:ascii="Arial" w:cs="Arial" w:eastAsia="Arial" w:hAnsi="Arial"/>
          <w:sz w:val="18"/>
          <w:szCs w:val="18"/>
          <w:color w:val="auto"/>
        </w:rPr>
      </w:pPr>
    </w:p>
    <w:p>
      <w:pPr>
        <w:jc w:val="both"/>
        <w:ind w:left="644" w:hanging="644"/>
        <w:spacing w:after="0" w:line="264"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to set forth any fact or circumstance in a Notice of Termination, which fact or circumstance was not known to the party giving the Notice of Termination when the notice was given, shall not constitute a waiver of the right to assert such fact or circumstance in an attempt to enforce any right under or provision of this Agreement.</w:t>
      </w:r>
    </w:p>
    <w:p>
      <w:pPr>
        <w:spacing w:after="0" w:line="181"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For purposes of this Agreement, a termination for "Cause" means a termination by the Company based upon the Employee's: (i) persistent failure to perform duties consistent with a commercially reasonable standard of care (other than due to a physical or mental impairment or due to an action or inaction directed by the Company that would otherwise constitute Good Reason); (ii) willful neglect of duties (other than due to a physical or mental impairment or due to an action or inaction directed by the Company that would otherwise constitute Good Reason); (iii) conviction of, or pleading nolo contendere to, criminal or other illegal activities involving dishonesty; (iv) material breach of this Agreement; or (v) failure to materially cooperate with or impeding an investigation authorized by the Board. The Employee's termination for Cause shall be effective when and if a resolution is duly adopted by an affirmative vote of at least ¾ of the Board (less the Employee), stating that, in the good faith opinion of the Board, the Employee is guilty of the conduct described in the Notice of Termination and such conduct constitutes Cause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Employee shall have been given reasonable opportunity (A) to cure any act or omission that constitutes Cause if capable of cure and (B), together with counsel, during the thirty (30) day period following the receipt by the Employee of the Notice of Termination and prior to the adoption of the Board's resolution, to be heard by the Board.</w:t>
      </w:r>
    </w:p>
    <w:p>
      <w:pPr>
        <w:spacing w:after="0" w:line="179"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For purposes of this Agreement, a termination based upon "Disability" means a termination by the Company based upon the Employee's entitlement to long-term disability benefits under the Company's long-term disability plan or policy, as the case may be, as in effect on the Date of Termination.</w:t>
      </w:r>
    </w:p>
    <w:p>
      <w:pPr>
        <w:sectPr>
          <w:pgSz w:w="11900" w:h="16838" w:orient="portrait"/>
          <w:cols w:equalWidth="0" w:num="1">
            <w:col w:w="10764"/>
          </w:cols>
          <w:pgMar w:left="896" w:top="611" w:right="239" w:bottom="1440" w:gutter="0" w:footer="0" w:header="0"/>
        </w:sectPr>
      </w:pPr>
    </w:p>
    <w:bookmarkStart w:id="108" w:name="page109"/>
    <w:bookmarkEnd w:id="108"/>
    <w:p>
      <w:pPr>
        <w:ind w:left="644" w:right="20" w:hanging="644"/>
        <w:spacing w:after="0" w:line="277" w:lineRule="auto"/>
        <w:tabs>
          <w:tab w:leader="none" w:pos="64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For purposes of this Agreement, a termination for "Good Reason" means a termination by the Employee during the Employment Term based upon the occurrence (without the Employee's express written consent) of any of the following:</w:t>
      </w:r>
    </w:p>
    <w:p>
      <w:pPr>
        <w:spacing w:after="0" w:line="170" w:lineRule="exact"/>
        <w:rPr>
          <w:rFonts w:ascii="Arial" w:cs="Arial" w:eastAsia="Arial" w:hAnsi="Arial"/>
          <w:sz w:val="18"/>
          <w:szCs w:val="18"/>
          <w:color w:val="auto"/>
        </w:rPr>
      </w:pPr>
    </w:p>
    <w:p>
      <w:pPr>
        <w:ind w:left="1304" w:right="20" w:hanging="655"/>
        <w:spacing w:after="0" w:line="277" w:lineRule="auto"/>
        <w:tabs>
          <w:tab w:leader="none" w:pos="130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material diminution in the Employee's position or title, or the assignment of duties to the Employee that are materially inconsistent with the Employee's position or title;</w:t>
      </w:r>
    </w:p>
    <w:p>
      <w:pPr>
        <w:spacing w:after="0" w:line="170" w:lineRule="exact"/>
        <w:rPr>
          <w:rFonts w:ascii="Arial" w:cs="Arial" w:eastAsia="Arial" w:hAnsi="Arial"/>
          <w:sz w:val="18"/>
          <w:szCs w:val="18"/>
          <w:color w:val="auto"/>
        </w:rPr>
      </w:pPr>
    </w:p>
    <w:p>
      <w:pPr>
        <w:ind w:left="1304" w:hanging="655"/>
        <w:spacing w:after="0"/>
        <w:tabs>
          <w:tab w:leader="none" w:pos="130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material diminution in the Employee's Annual Base Salary or Annual Bonus Opportunity;</w:t>
      </w:r>
    </w:p>
    <w:p>
      <w:pPr>
        <w:spacing w:after="0" w:line="225" w:lineRule="exact"/>
        <w:rPr>
          <w:rFonts w:ascii="Arial" w:cs="Arial" w:eastAsia="Arial" w:hAnsi="Arial"/>
          <w:sz w:val="18"/>
          <w:szCs w:val="18"/>
          <w:color w:val="auto"/>
        </w:rPr>
      </w:pPr>
    </w:p>
    <w:p>
      <w:pPr>
        <w:jc w:val="both"/>
        <w:ind w:left="1304" w:hanging="655"/>
        <w:spacing w:after="0" w:line="270" w:lineRule="auto"/>
        <w:tabs>
          <w:tab w:leader="none" w:pos="1304" w:val="left"/>
        </w:tabs>
        <w:numPr>
          <w:ilvl w:val="1"/>
          <w:numId w:val="43"/>
        </w:numPr>
        <w:rPr>
          <w:rFonts w:ascii="Arial" w:cs="Arial" w:eastAsia="Arial" w:hAnsi="Arial"/>
          <w:sz w:val="17"/>
          <w:szCs w:val="17"/>
          <w:color w:val="auto"/>
        </w:rPr>
      </w:pPr>
      <w:r>
        <w:rPr>
          <w:rFonts w:ascii="Arial" w:cs="Arial" w:eastAsia="Arial" w:hAnsi="Arial"/>
          <w:sz w:val="17"/>
          <w:szCs w:val="17"/>
          <w:color w:val="auto"/>
        </w:rPr>
        <w:t>within six (6) months immediately preceding or within two (2) years immediately following a Change in Control: (A) a material adverse change in the Employee's status, authority or responsibility (</w:t>
      </w:r>
      <w:r>
        <w:rPr>
          <w:rFonts w:ascii="Arial" w:cs="Arial" w:eastAsia="Arial" w:hAnsi="Arial"/>
          <w:sz w:val="17"/>
          <w:szCs w:val="17"/>
          <w:i w:val="1"/>
          <w:iCs w:val="1"/>
          <w:color w:val="auto"/>
        </w:rPr>
        <w:t>e.g.</w:t>
      </w:r>
      <w:r>
        <w:rPr>
          <w:rFonts w:ascii="Arial" w:cs="Arial" w:eastAsia="Arial" w:hAnsi="Arial"/>
          <w:sz w:val="17"/>
          <w:szCs w:val="17"/>
          <w:color w:val="auto"/>
        </w:rPr>
        <w:t>, the Company has determined that a change in the department or functional group over which the Employee has managerial authority would constitute such a material adverse change); (B) a material adverse change in the position to whom the Employee reports (including any requirement that the Employee report to a corporate officer or employee instead of reporting directly to the CEO) or to the Employee's service relationship (or the conditions under which the Employee performs his duties) as a result of such reporting structure change, or a material diminution in the authority, duties or responsibilities of the position to whom the Employee reports; (C) a material diminution in the budget over which the Employee has managing authority; or (D) a material change in the geographic location of the Employee's principal place of employment (</w:t>
      </w:r>
      <w:r>
        <w:rPr>
          <w:rFonts w:ascii="Arial" w:cs="Arial" w:eastAsia="Arial" w:hAnsi="Arial"/>
          <w:sz w:val="17"/>
          <w:szCs w:val="17"/>
          <w:i w:val="1"/>
          <w:iCs w:val="1"/>
          <w:color w:val="auto"/>
        </w:rPr>
        <w:t>e.g.</w:t>
      </w:r>
      <w:r>
        <w:rPr>
          <w:rFonts w:ascii="Arial" w:cs="Arial" w:eastAsia="Arial" w:hAnsi="Arial"/>
          <w:sz w:val="17"/>
          <w:szCs w:val="17"/>
          <w:color w:val="auto"/>
        </w:rPr>
        <w:t>, the Company has determined that a relocation of more than thirty-five (35) miles would constitute such a material change); or</w:t>
      </w:r>
    </w:p>
    <w:p>
      <w:pPr>
        <w:spacing w:after="0" w:line="177" w:lineRule="exact"/>
        <w:rPr>
          <w:rFonts w:ascii="Arial" w:cs="Arial" w:eastAsia="Arial" w:hAnsi="Arial"/>
          <w:sz w:val="17"/>
          <w:szCs w:val="17"/>
          <w:color w:val="auto"/>
        </w:rPr>
      </w:pPr>
    </w:p>
    <w:p>
      <w:pPr>
        <w:ind w:left="1304" w:hanging="655"/>
        <w:spacing w:after="0"/>
        <w:tabs>
          <w:tab w:leader="none" w:pos="130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material breach by the Company of any of its obligations under this Agreement.</w:t>
      </w:r>
    </w:p>
    <w:p>
      <w:pPr>
        <w:spacing w:after="0" w:line="225" w:lineRule="exact"/>
        <w:rPr>
          <w:sz w:val="20"/>
          <w:szCs w:val="20"/>
          <w:color w:val="auto"/>
        </w:rPr>
      </w:pPr>
    </w:p>
    <w:p>
      <w:pPr>
        <w:jc w:val="both"/>
        <w:ind w:left="644"/>
        <w:spacing w:after="0" w:line="285" w:lineRule="auto"/>
        <w:rPr>
          <w:sz w:val="20"/>
          <w:szCs w:val="20"/>
          <w:color w:val="auto"/>
        </w:rPr>
      </w:pPr>
      <w:r>
        <w:rPr>
          <w:rFonts w:ascii="Arial" w:cs="Arial" w:eastAsia="Arial" w:hAnsi="Arial"/>
          <w:sz w:val="16"/>
          <w:szCs w:val="16"/>
          <w:color w:val="auto"/>
        </w:rPr>
        <w:t xml:space="preserve">Notwithstanding the foregoing, the Employee being placed on a paid leave for up to sixty (60) days pending a determination of whether there is a basis to terminate the Employee for Cause shall not constitute Good Reason. The Employee's continued employment shall not constitute consent to, or a waiver of rights with respect to, any act or failure to act constituting Good Reason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event described above shall constitute Good Reason unless: (1) the Employee gives Notice of Termination to the Company specifying the condition or event relied upon for such termination either: (x) within ninety (90) days of the initial existence of such event; or</w:t>
      </w:r>
    </w:p>
    <w:p>
      <w:pPr>
        <w:spacing w:after="0" w:line="2" w:lineRule="exact"/>
        <w:rPr>
          <w:sz w:val="20"/>
          <w:szCs w:val="20"/>
          <w:color w:val="auto"/>
        </w:rPr>
      </w:pPr>
    </w:p>
    <w:p>
      <w:pPr>
        <w:ind w:left="644" w:firstLine="5"/>
        <w:spacing w:after="0" w:line="323" w:lineRule="auto"/>
        <w:tabs>
          <w:tab w:leader="none" w:pos="90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case of an event predating a Change in Control, within ninety (90) days of the Change in Control; and (2) the Company fails to cure the condition or event constituting Good Reason within thirty (30) days following receipt of the Employee's Notice of Termination.</w:t>
      </w:r>
    </w:p>
    <w:p>
      <w:pPr>
        <w:spacing w:after="0" w:line="166" w:lineRule="exact"/>
        <w:rPr>
          <w:sz w:val="20"/>
          <w:szCs w:val="20"/>
          <w:color w:val="auto"/>
        </w:rPr>
      </w:pPr>
    </w:p>
    <w:p>
      <w:pPr>
        <w:ind w:left="644"/>
        <w:spacing w:after="0"/>
        <w:rPr>
          <w:sz w:val="20"/>
          <w:szCs w:val="20"/>
          <w:color w:val="auto"/>
        </w:rPr>
      </w:pPr>
      <w:r>
        <w:rPr>
          <w:rFonts w:ascii="Arial" w:cs="Arial" w:eastAsia="Arial" w:hAnsi="Arial"/>
          <w:sz w:val="18"/>
          <w:szCs w:val="18"/>
          <w:color w:val="auto"/>
        </w:rPr>
        <w:t>9.</w:t>
      </w:r>
      <w:r>
        <w:rPr>
          <w:rFonts w:ascii="Arial" w:cs="Arial" w:eastAsia="Arial" w:hAnsi="Arial"/>
          <w:sz w:val="16"/>
          <w:szCs w:val="16"/>
          <w:u w:val="single" w:color="auto"/>
          <w:color w:val="auto"/>
        </w:rPr>
        <w:t>Obligations of the Company Upon Termination</w:t>
      </w:r>
      <w:r>
        <w:rPr>
          <w:rFonts w:ascii="Arial" w:cs="Arial" w:eastAsia="Arial" w:hAnsi="Arial"/>
          <w:sz w:val="16"/>
          <w:szCs w:val="16"/>
          <w:color w:val="auto"/>
        </w:rPr>
        <w:t>.</w:t>
      </w:r>
    </w:p>
    <w:p>
      <w:pPr>
        <w:spacing w:after="0" w:line="238" w:lineRule="exact"/>
        <w:rPr>
          <w:sz w:val="20"/>
          <w:szCs w:val="20"/>
          <w:color w:val="auto"/>
        </w:rPr>
      </w:pPr>
    </w:p>
    <w:p>
      <w:pPr>
        <w:jc w:val="both"/>
        <w:ind w:left="644" w:hanging="644"/>
        <w:spacing w:after="0" w:line="264" w:lineRule="auto"/>
        <w:tabs>
          <w:tab w:leader="none" w:pos="64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a Reason Other than Cause, Death or Disability and Termination by the Employee for Good Reason</w:t>
      </w:r>
      <w:r>
        <w:rPr>
          <w:rFonts w:ascii="Arial" w:cs="Arial" w:eastAsia="Arial" w:hAnsi="Arial"/>
          <w:sz w:val="18"/>
          <w:szCs w:val="18"/>
          <w:color w:val="auto"/>
        </w:rPr>
        <w:t>. If the Employee's employment is terminated by: (1) the Company for any reason other than Cause, Death or Disability; or (2) the Employee for Good Reason:</w:t>
      </w:r>
    </w:p>
    <w:p>
      <w:pPr>
        <w:spacing w:after="0" w:line="181" w:lineRule="exact"/>
        <w:rPr>
          <w:sz w:val="20"/>
          <w:szCs w:val="20"/>
          <w:color w:val="auto"/>
        </w:rPr>
      </w:pPr>
    </w:p>
    <w:p>
      <w:pPr>
        <w:jc w:val="both"/>
        <w:ind w:left="1304" w:hanging="655"/>
        <w:spacing w:after="0" w:line="235" w:lineRule="auto"/>
        <w:tabs>
          <w:tab w:leader="none" w:pos="13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pay the Employee the following (collectively, the "Accrued Obligations"): (A) within five (5) business days after the Date of Termination, any earned but unpaid Annual Base Salary; (B) within a reasonable time following submission of all applicable documentation, any expense reimbursement payments owed to the Employee for expenses incurred prior to the Date of Termination; and (C) no later than March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year in which the Date of Termination occurs, any earned but unpaid Annual Bonus payments relating to the prior calendar year;</w:t>
      </w:r>
    </w:p>
    <w:p>
      <w:pPr>
        <w:spacing w:after="0" w:line="204" w:lineRule="exact"/>
        <w:rPr>
          <w:rFonts w:ascii="Arial" w:cs="Arial" w:eastAsia="Arial" w:hAnsi="Arial"/>
          <w:sz w:val="18"/>
          <w:szCs w:val="18"/>
          <w:color w:val="auto"/>
        </w:rPr>
      </w:pPr>
    </w:p>
    <w:p>
      <w:pPr>
        <w:jc w:val="both"/>
        <w:ind w:left="1304" w:hanging="655"/>
        <w:spacing w:after="0" w:line="239" w:lineRule="auto"/>
        <w:tabs>
          <w:tab w:leader="none" w:pos="13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pay the Employee no later than March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calendar year following the year in which the Date of Termination occurs, a prorated Annual Bonus based upon the actual Annual Bonus that would have been earned by the Employee for the year in which the Date of Termination occurs (based upon the target Annual Bonus Opportunity in the year in which the Date of Termination occurred, or the prior year if no target Annual Bonus Opportunity has yet been determined, and the actual satisfaction of the applicable performance measures, but ignoring any requirement under the Annual Bonus plan that the Employee must be employed on the payment date) multiplied by the percentage of the calendar year completed before the Date of Termination;</w:t>
      </w:r>
    </w:p>
    <w:p>
      <w:pPr>
        <w:spacing w:after="0" w:line="205" w:lineRule="exact"/>
        <w:rPr>
          <w:rFonts w:ascii="Arial" w:cs="Arial" w:eastAsia="Arial" w:hAnsi="Arial"/>
          <w:sz w:val="18"/>
          <w:szCs w:val="18"/>
          <w:color w:val="auto"/>
        </w:rPr>
      </w:pPr>
    </w:p>
    <w:p>
      <w:pPr>
        <w:ind w:left="1304" w:hanging="655"/>
        <w:spacing w:after="0" w:line="216" w:lineRule="auto"/>
        <w:tabs>
          <w:tab w:leader="none" w:pos="13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pay the Employee, no later than the sixty-fifth (65</w:t>
      </w:r>
      <w:r>
        <w:rPr>
          <w:rFonts w:ascii="Arial" w:cs="Arial" w:eastAsia="Arial" w:hAnsi="Arial"/>
          <w:sz w:val="25"/>
          <w:szCs w:val="25"/>
          <w:color w:val="auto"/>
          <w:vertAlign w:val="superscript"/>
        </w:rPr>
        <w:t>th</w:t>
      </w:r>
      <w:r>
        <w:rPr>
          <w:rFonts w:ascii="Arial" w:cs="Arial" w:eastAsia="Arial" w:hAnsi="Arial"/>
          <w:sz w:val="18"/>
          <w:szCs w:val="18"/>
          <w:color w:val="auto"/>
        </w:rPr>
        <w:t>) calendar day after the Date of Termination, a lump-sum payment equal to 200% of the sum of: (A) the Employee's Annual Base Salary</w:t>
      </w:r>
    </w:p>
    <w:p>
      <w:pPr>
        <w:sectPr>
          <w:pgSz w:w="11900" w:h="16838" w:orient="portrait"/>
          <w:cols w:equalWidth="0" w:num="1">
            <w:col w:w="10764"/>
          </w:cols>
          <w:pgMar w:left="896" w:top="800" w:right="239" w:bottom="1440" w:gutter="0" w:footer="0" w:header="0"/>
        </w:sectPr>
      </w:pPr>
    </w:p>
    <w:bookmarkStart w:id="109" w:name="page110"/>
    <w:bookmarkEnd w:id="109"/>
    <w:p>
      <w:pPr>
        <w:jc w:val="both"/>
        <w:ind w:left="1304"/>
        <w:spacing w:after="0" w:line="306" w:lineRule="auto"/>
        <w:rPr>
          <w:sz w:val="20"/>
          <w:szCs w:val="20"/>
          <w:color w:val="auto"/>
        </w:rPr>
      </w:pPr>
      <w:r>
        <w:rPr>
          <w:rFonts w:ascii="Arial" w:cs="Arial" w:eastAsia="Arial" w:hAnsi="Arial"/>
          <w:sz w:val="18"/>
          <w:szCs w:val="18"/>
          <w:color w:val="auto"/>
        </w:rPr>
        <w:t>in effect immediately prior to the Date of Termination (disregarding any reduction in Annual Base Salary to which the Employee did not expressly consent in writing); and (B) the highest Annual Bonus paid to the Employee by the Company within the three (3) years preceding his termination of employment or, if higher, the target Annual Bonus Opportunity in the year in which the Date of Termination occurs;</w:t>
      </w:r>
    </w:p>
    <w:p>
      <w:pPr>
        <w:spacing w:after="0" w:line="160" w:lineRule="exact"/>
        <w:rPr>
          <w:sz w:val="20"/>
          <w:szCs w:val="20"/>
          <w:color w:val="auto"/>
        </w:rPr>
      </w:pPr>
    </w:p>
    <w:p>
      <w:pPr>
        <w:jc w:val="both"/>
        <w:ind w:left="1304" w:hanging="655"/>
        <w:spacing w:after="0" w:line="259" w:lineRule="auto"/>
        <w:tabs>
          <w:tab w:leader="none" w:pos="13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stock option, restricted stock and other equity-based incentive awards granted by the Company that were outstanding but not vested as of the Date of Termination shall become immediately vested and/or payable, as the case may be, unless the equity incentive awards are based upon satisfaction of performance criteria (not based solely on the passage of time); in which case, they will only vest pursuant to their express terms; and</w:t>
      </w:r>
    </w:p>
    <w:p>
      <w:pPr>
        <w:spacing w:after="0" w:line="186" w:lineRule="exact"/>
        <w:rPr>
          <w:rFonts w:ascii="Arial" w:cs="Arial" w:eastAsia="Arial" w:hAnsi="Arial"/>
          <w:sz w:val="18"/>
          <w:szCs w:val="18"/>
          <w:color w:val="auto"/>
        </w:rPr>
      </w:pPr>
    </w:p>
    <w:p>
      <w:pPr>
        <w:ind w:left="1304" w:hanging="655"/>
        <w:spacing w:after="0"/>
        <w:tabs>
          <w:tab w:leader="none" w:pos="130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shall provide the Employee with certain continued welfare benefits as follows:</w:t>
      </w:r>
    </w:p>
    <w:p>
      <w:pPr>
        <w:spacing w:after="0" w:line="225" w:lineRule="exact"/>
        <w:rPr>
          <w:rFonts w:ascii="Arial" w:cs="Arial" w:eastAsia="Arial" w:hAnsi="Arial"/>
          <w:sz w:val="18"/>
          <w:szCs w:val="18"/>
          <w:color w:val="auto"/>
        </w:rPr>
      </w:pPr>
    </w:p>
    <w:p>
      <w:pPr>
        <w:jc w:val="both"/>
        <w:ind w:left="1944" w:hanging="647"/>
        <w:spacing w:after="0" w:line="271" w:lineRule="auto"/>
        <w:tabs>
          <w:tab w:leader="none" w:pos="1944" w:val="left"/>
        </w:tabs>
        <w:numPr>
          <w:ilvl w:val="2"/>
          <w:numId w:val="47"/>
        </w:numPr>
        <w:rPr>
          <w:rFonts w:ascii="Arial" w:cs="Arial" w:eastAsia="Arial" w:hAnsi="Arial"/>
          <w:sz w:val="17"/>
          <w:szCs w:val="17"/>
          <w:color w:val="auto"/>
        </w:rPr>
      </w:pPr>
      <w:r>
        <w:rPr>
          <w:rFonts w:ascii="Arial" w:cs="Arial" w:eastAsia="Arial" w:hAnsi="Arial"/>
          <w:sz w:val="17"/>
          <w:szCs w:val="17"/>
          <w:color w:val="auto"/>
        </w:rPr>
        <w:t>Any life insurance coverage provided by the Company shall terminate at the same time as life insurance coverage would normally terminate for any other employee that terminates employment with the Company, and the Employee shall have the right to convert that life insurance coverage to an individual policy under the regular rules of the Company's group policy. In addition, if the Employee is covered under or receives life insurance coverage provided by the Company on the Date of Termination, then within thirty (30) business days after the Date of Termination, the Company shall pay the Employee a lump sum cash payment equal to thirty-six (36) monthly life insurance premiums based on the monthly premiums that would be due assuming that the Employee had converted his Company life insurance coverage that was in effect on the Notice of Termination into an individual policy.</w:t>
      </w:r>
    </w:p>
    <w:p>
      <w:pPr>
        <w:spacing w:after="0" w:line="178" w:lineRule="exact"/>
        <w:rPr>
          <w:rFonts w:ascii="Arial" w:cs="Arial" w:eastAsia="Arial" w:hAnsi="Arial"/>
          <w:sz w:val="17"/>
          <w:szCs w:val="17"/>
          <w:color w:val="auto"/>
        </w:rPr>
      </w:pPr>
    </w:p>
    <w:p>
      <w:pPr>
        <w:jc w:val="both"/>
        <w:ind w:left="1944" w:hanging="647"/>
        <w:spacing w:after="0" w:line="271" w:lineRule="auto"/>
        <w:tabs>
          <w:tab w:leader="none" w:pos="1944" w:val="left"/>
        </w:tabs>
        <w:numPr>
          <w:ilvl w:val="2"/>
          <w:numId w:val="47"/>
        </w:numPr>
        <w:rPr>
          <w:rFonts w:ascii="Arial" w:cs="Arial" w:eastAsia="Arial" w:hAnsi="Arial"/>
          <w:sz w:val="17"/>
          <w:szCs w:val="17"/>
          <w:color w:val="auto"/>
        </w:rPr>
      </w:pPr>
      <w:r>
        <w:rPr>
          <w:rFonts w:ascii="Arial" w:cs="Arial" w:eastAsia="Arial" w:hAnsi="Arial"/>
          <w:sz w:val="17"/>
          <w:szCs w:val="17"/>
          <w:color w:val="auto"/>
        </w:rPr>
        <w:t>As long as the Employee pays the full monthly premiums for COBRA coverage, the Company shall provide the Employee and, as applicable, the Employee's eligible dependents with continued medical and dental coverage, on the same basis as provided to the Company's active executives and their dependents until the earlier of: (i) three (3) years after the Date of Termination; or (ii) the date the Employee is first eligible for medical and dental coverage (without pre-existing condition limitations) with a subsequent employer. In addition, within thirty (30) business days after the Date of Termination, the Company shall pay the Employee a lump sum cash payment equal to thirty-six (36) monthly medical and dental COBRA premiums based on the level of coverage in effect for the Employee (</w:t>
      </w:r>
      <w:r>
        <w:rPr>
          <w:rFonts w:ascii="Arial" w:cs="Arial" w:eastAsia="Arial" w:hAnsi="Arial"/>
          <w:sz w:val="17"/>
          <w:szCs w:val="17"/>
          <w:i w:val="1"/>
          <w:iCs w:val="1"/>
          <w:color w:val="auto"/>
        </w:rPr>
        <w:t>e.g.</w:t>
      </w:r>
      <w:r>
        <w:rPr>
          <w:rFonts w:ascii="Arial" w:cs="Arial" w:eastAsia="Arial" w:hAnsi="Arial"/>
          <w:sz w:val="17"/>
          <w:szCs w:val="17"/>
          <w:color w:val="auto"/>
        </w:rPr>
        <w:t>, employee only or family coverage) on the Date of Termination.</w:t>
      </w:r>
    </w:p>
    <w:p>
      <w:pPr>
        <w:spacing w:after="0" w:line="178" w:lineRule="exact"/>
        <w:rPr>
          <w:rFonts w:ascii="Arial" w:cs="Arial" w:eastAsia="Arial" w:hAnsi="Arial"/>
          <w:sz w:val="17"/>
          <w:szCs w:val="17"/>
          <w:color w:val="auto"/>
        </w:rPr>
      </w:pPr>
    </w:p>
    <w:p>
      <w:pPr>
        <w:jc w:val="both"/>
        <w:ind w:left="644" w:hanging="644"/>
        <w:spacing w:after="0" w:line="264"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 and by the Employee without Good Reason</w:t>
      </w:r>
      <w:r>
        <w:rPr>
          <w:rFonts w:ascii="Arial" w:cs="Arial" w:eastAsia="Arial" w:hAnsi="Arial"/>
          <w:sz w:val="18"/>
          <w:szCs w:val="18"/>
          <w:color w:val="auto"/>
        </w:rPr>
        <w:t>. If the Employee's employment is terminated (i) by the Company for Cause or (ii) by the Employee without Good Reason, the Company's only obligation under this Agreement shall be payment of any Accrued Obligations.</w:t>
      </w:r>
    </w:p>
    <w:p>
      <w:pPr>
        <w:spacing w:after="0" w:line="181" w:lineRule="exact"/>
        <w:rPr>
          <w:rFonts w:ascii="Arial" w:cs="Arial" w:eastAsia="Arial" w:hAnsi="Arial"/>
          <w:sz w:val="18"/>
          <w:szCs w:val="18"/>
          <w:color w:val="auto"/>
        </w:rPr>
      </w:pPr>
    </w:p>
    <w:p>
      <w:pPr>
        <w:jc w:val="both"/>
        <w:ind w:left="644" w:hanging="644"/>
        <w:spacing w:after="0" w:line="276" w:lineRule="auto"/>
        <w:tabs>
          <w:tab w:leader="none" w:pos="644"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Termination due to Death or Disability</w:t>
      </w:r>
      <w:r>
        <w:rPr>
          <w:rFonts w:ascii="Arial" w:cs="Arial" w:eastAsia="Arial" w:hAnsi="Arial"/>
          <w:sz w:val="17"/>
          <w:szCs w:val="17"/>
          <w:color w:val="auto"/>
        </w:rPr>
        <w:t>. If the Employee's employment is terminated due to death or Disability, the Company shall pay the Employee (or to the Employee's estate or personal representative in the case of death), within thirty (30) business days after the Date of Termination: (i) any Accrued Obligations, plus (ii) a prorated Annual Bonus based upon the target Annual Bonus opportunity in the year in which the Date of Termination occurred (or the prior year if no target Annual Bonus Opportunity has yet been determined) multiplied by the percentage of the calendar year completed before the Date of Termination.</w:t>
      </w:r>
    </w:p>
    <w:p>
      <w:pPr>
        <w:spacing w:after="0" w:line="172"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Definition of Change in Control</w:t>
      </w:r>
      <w:r>
        <w:rPr>
          <w:rFonts w:ascii="Arial" w:cs="Arial" w:eastAsia="Arial" w:hAnsi="Arial"/>
          <w:sz w:val="18"/>
          <w:szCs w:val="18"/>
          <w:color w:val="auto"/>
        </w:rPr>
        <w:t>. For purposes of this Agreement, the term "Change in Control" shall mean that the conditions set forth in any one of the following subsections shall have been satisfied:</w:t>
      </w:r>
    </w:p>
    <w:p>
      <w:pPr>
        <w:spacing w:after="0" w:line="170"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acquisition, directly or indirectly, by any "person" (within the meaning of Section 3(a)(9) of the Securities and Exchange Act of 1934, as amended (the "Exchange Act") and used in Sections 13(d) and 14(d) thereof) of "beneficial ownership" (within the meaning of Rule 13d-3 of the Exchange Act) of securities of the Company possessing more than fifty percent (50%) of the total combined voting power of all outstanding securities of the Company;</w:t>
      </w:r>
    </w:p>
    <w:p>
      <w:pPr>
        <w:spacing w:after="0" w:line="186" w:lineRule="exact"/>
        <w:rPr>
          <w:rFonts w:ascii="Arial" w:cs="Arial" w:eastAsia="Arial" w:hAnsi="Arial"/>
          <w:sz w:val="18"/>
          <w:szCs w:val="18"/>
          <w:color w:val="auto"/>
        </w:rPr>
      </w:pPr>
    </w:p>
    <w:p>
      <w:pPr>
        <w:jc w:val="both"/>
        <w:ind w:left="1304" w:hanging="655"/>
        <w:spacing w:after="0" w:line="264" w:lineRule="auto"/>
        <w:tabs>
          <w:tab w:leader="none" w:pos="13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in which the holders of the outstanding voting securities of the Company immediately prior to such merger or consolidation hold, in the aggregate, securities possessing more than fifty percent (50%) of the total</w:t>
      </w:r>
    </w:p>
    <w:p>
      <w:pPr>
        <w:sectPr>
          <w:pgSz w:w="11900" w:h="16838" w:orient="portrait"/>
          <w:cols w:equalWidth="0" w:num="1">
            <w:col w:w="10764"/>
          </w:cols>
          <w:pgMar w:left="896" w:top="611" w:right="239" w:bottom="1440" w:gutter="0" w:footer="0" w:header="0"/>
        </w:sectPr>
      </w:pPr>
    </w:p>
    <w:bookmarkStart w:id="110" w:name="page111"/>
    <w:bookmarkEnd w:id="110"/>
    <w:p>
      <w:pPr>
        <w:ind w:left="1304"/>
        <w:spacing w:after="0"/>
        <w:rPr>
          <w:sz w:val="20"/>
          <w:szCs w:val="20"/>
          <w:color w:val="auto"/>
        </w:rPr>
      </w:pPr>
      <w:r>
        <w:rPr>
          <w:rFonts w:ascii="Arial" w:cs="Arial" w:eastAsia="Arial" w:hAnsi="Arial"/>
          <w:sz w:val="16"/>
          <w:szCs w:val="16"/>
          <w:color w:val="auto"/>
        </w:rPr>
        <w:t>combined voting power of all outstanding voting securities of the surviving entity immediately after such merger or consolidation;</w:t>
      </w:r>
    </w:p>
    <w:p>
      <w:pPr>
        <w:spacing w:after="0" w:line="262" w:lineRule="exact"/>
        <w:rPr>
          <w:sz w:val="20"/>
          <w:szCs w:val="20"/>
          <w:color w:val="auto"/>
        </w:rPr>
      </w:pPr>
    </w:p>
    <w:p>
      <w:pPr>
        <w:jc w:val="both"/>
        <w:ind w:left="1304" w:hanging="655"/>
        <w:spacing w:after="0" w:line="286" w:lineRule="auto"/>
        <w:tabs>
          <w:tab w:leader="none" w:pos="1304"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reverse merger in which the Company is the surviving entity but in which securities possessing more than fifty percent (50%) of the total combined voting power of all outstanding voting securities of the Company are transferred to or acquired by a person or persons different from the persons holding those securities immediately prior to such merger;</w:t>
      </w:r>
    </w:p>
    <w:p>
      <w:pPr>
        <w:spacing w:after="0" w:line="165" w:lineRule="exact"/>
        <w:rPr>
          <w:rFonts w:ascii="Arial" w:cs="Arial" w:eastAsia="Arial" w:hAnsi="Arial"/>
          <w:sz w:val="17"/>
          <w:szCs w:val="17"/>
          <w:color w:val="auto"/>
        </w:rPr>
      </w:pPr>
    </w:p>
    <w:p>
      <w:pPr>
        <w:jc w:val="both"/>
        <w:ind w:left="1304" w:hanging="655"/>
        <w:spacing w:after="0" w:line="279" w:lineRule="auto"/>
        <w:tabs>
          <w:tab w:leader="none" w:pos="1304" w:val="left"/>
        </w:tabs>
        <w:numPr>
          <w:ilvl w:val="1"/>
          <w:numId w:val="49"/>
        </w:numPr>
        <w:rPr>
          <w:rFonts w:ascii="Arial" w:cs="Arial" w:eastAsia="Arial" w:hAnsi="Arial"/>
          <w:sz w:val="17"/>
          <w:szCs w:val="17"/>
          <w:color w:val="auto"/>
        </w:rPr>
      </w:pPr>
      <w:r>
        <w:rPr>
          <w:rFonts w:ascii="Arial" w:cs="Arial" w:eastAsia="Arial" w:hAnsi="Arial"/>
          <w:sz w:val="17"/>
          <w:szCs w:val="17"/>
          <w:color w:val="auto"/>
        </w:rPr>
        <w:t>during any period of two (2) consecutive years during the Employment Term or any extensions thereof, individuals, who, at the beginning of such period, constitute the Board, cease for any reason to constitute at least a majority thereof, unless the election of each director who was not a director at the beginning of such period has been approved in advance by directors representing at least two-thirds of the directors then in office who were directors at the beginning of the period;</w:t>
      </w:r>
    </w:p>
    <w:p>
      <w:pPr>
        <w:spacing w:after="0" w:line="171" w:lineRule="exact"/>
        <w:rPr>
          <w:rFonts w:ascii="Arial" w:cs="Arial" w:eastAsia="Arial" w:hAnsi="Arial"/>
          <w:sz w:val="17"/>
          <w:szCs w:val="17"/>
          <w:color w:val="auto"/>
        </w:rPr>
      </w:pPr>
    </w:p>
    <w:p>
      <w:pPr>
        <w:jc w:val="both"/>
        <w:ind w:left="1304" w:hanging="655"/>
        <w:spacing w:after="0" w:line="254" w:lineRule="auto"/>
        <w:tabs>
          <w:tab w:leader="none" w:pos="13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sale, transfer or other disposition (in one transaction or a series of related transactions) of assets of the Company that have a total fair market value equal to or more than one-third of the total fair market value of all of the assets of the Company immediately prior to such sale, transfer or other disposition, other than a sale, transfer or other disposition to an entity (A) which immediately following such sale, transfer or other disposition owns, directly or indirectly, at least fifty percent (50%) of the Company's outstanding voting securities or (B) fifty percent (50%) or more of whose outstanding voting securities is immediately following such sale, transfer or other disposition owned, directly or indirectly, by the Company. For purposes of the foregoing clause, the sale of stock of a subsidiary of the Company (or the assets of such subsidiary) shall be treated as a sale of assets of the Company; or</w:t>
      </w:r>
    </w:p>
    <w:p>
      <w:pPr>
        <w:spacing w:after="0" w:line="192" w:lineRule="exact"/>
        <w:rPr>
          <w:rFonts w:ascii="Arial" w:cs="Arial" w:eastAsia="Arial" w:hAnsi="Arial"/>
          <w:sz w:val="18"/>
          <w:szCs w:val="18"/>
          <w:color w:val="auto"/>
        </w:rPr>
      </w:pPr>
    </w:p>
    <w:p>
      <w:pPr>
        <w:ind w:left="1304" w:hanging="655"/>
        <w:spacing w:after="0"/>
        <w:tabs>
          <w:tab w:leader="none" w:pos="130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approval by the stockholders of a plan or proposal for the liquidation or dissolution of the Company.</w:t>
      </w:r>
    </w:p>
    <w:p>
      <w:pPr>
        <w:spacing w:after="0" w:line="225" w:lineRule="exact"/>
        <w:rPr>
          <w:rFonts w:ascii="Arial" w:cs="Arial" w:eastAsia="Arial" w:hAnsi="Arial"/>
          <w:sz w:val="18"/>
          <w:szCs w:val="18"/>
          <w:color w:val="auto"/>
        </w:rPr>
      </w:pPr>
    </w:p>
    <w:p>
      <w:pPr>
        <w:jc w:val="both"/>
        <w:ind w:left="644" w:hanging="644"/>
        <w:spacing w:after="0" w:line="291" w:lineRule="auto"/>
        <w:tabs>
          <w:tab w:leader="none" w:pos="644"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Six-Month Delay</w:t>
      </w:r>
      <w:r>
        <w:rPr>
          <w:rFonts w:ascii="Arial" w:cs="Arial" w:eastAsia="Arial" w:hAnsi="Arial"/>
          <w:sz w:val="16"/>
          <w:szCs w:val="16"/>
          <w:color w:val="auto"/>
        </w:rPr>
        <w:t>. To the extent the Employee is a "specified employee," as defined in Section 409A(a)(2)(B)(i) of the Code and the regulations and other guidance promulgated thereunder and any elections made by the Company in accordance therewith, notwithstanding the timing of payment provided in any other Section of this Agreement, no payment, distribution or benefit under this Agreement that constitutes a distribution of deferred compensation (within the meaning of Treasury Regulation Section 1.409A-1(b)) upon separation from service (within the meaning of Treasury Regulation Section 1.409A-1(h)), after taking into account all available exemptions, that would otherwise be payable during the six (6) month period after separation from service, will be made during such six (6) month period, and any such payment, distribution or benefit will instead be paid on the first business day after such six (6) month period.</w:t>
      </w:r>
    </w:p>
    <w:p>
      <w:pPr>
        <w:spacing w:after="0" w:line="194" w:lineRule="exact"/>
        <w:rPr>
          <w:sz w:val="20"/>
          <w:szCs w:val="20"/>
          <w:color w:val="auto"/>
        </w:rPr>
      </w:pPr>
    </w:p>
    <w:p>
      <w:pPr>
        <w:ind w:left="864" w:hanging="864"/>
        <w:spacing w:after="0"/>
        <w:tabs>
          <w:tab w:leader="none" w:pos="86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Excise Tax Gross-up Payments</w:t>
      </w:r>
      <w:r>
        <w:rPr>
          <w:rFonts w:ascii="Arial" w:cs="Arial" w:eastAsia="Arial" w:hAnsi="Arial"/>
          <w:sz w:val="18"/>
          <w:szCs w:val="18"/>
          <w:color w:val="auto"/>
        </w:rPr>
        <w:t>.</w:t>
      </w:r>
    </w:p>
    <w:p>
      <w:pPr>
        <w:spacing w:after="0" w:line="239" w:lineRule="exact"/>
        <w:rPr>
          <w:sz w:val="20"/>
          <w:szCs w:val="20"/>
          <w:color w:val="auto"/>
        </w:rPr>
      </w:pPr>
    </w:p>
    <w:p>
      <w:pPr>
        <w:jc w:val="both"/>
        <w:ind w:left="644" w:hanging="644"/>
        <w:spacing w:after="0" w:line="269" w:lineRule="auto"/>
        <w:tabs>
          <w:tab w:leader="none" w:pos="644"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any payments or benefits paid or provided or to be paid or provided to the Employee or for his benefit pursuant to the terms of this Agreement or otherwise in connection with, or arising out of, his employment with the Company or its subsidiaries or the termination thereof (a "Payment" and, collectively, the "Payments") would be subject to the excise tax (the "Excise Tax") imposed by Section 4999 of the Code, then, except as otherwise provided in this Subsection 10(a), the Employee will be entitled to receive an additional payment (a "Gross-Up Payment") in an amount such that, after payment by the Employee of all income taxes, all employment taxes and any Excise Tax imposed upon the Gross-Up Payment (including any related interest and penalties), the Employee retains an amount of the Gross-Up Payment equal to the Excise Tax (including any related interest and penalties) imposed upon the Payments. Notwithstanding the foregoing, if the amount of the Payments does not exceed by more than three percent (3%) the amount that would be payable to the Employee if the Payments were reduced to one dollar less than what would constitute a "parachute payment" under Section 280G of the Code (the "Scaled Back Amount"), then the Payments shall be reduced, in a manner determined by the Employee, to the Scaled Back Amount, and the Employee shall not be entitled to any Gross-Up Payment.</w:t>
      </w:r>
    </w:p>
    <w:p>
      <w:pPr>
        <w:spacing w:after="0" w:line="182" w:lineRule="exact"/>
        <w:rPr>
          <w:rFonts w:ascii="Arial" w:cs="Arial" w:eastAsia="Arial" w:hAnsi="Arial"/>
          <w:sz w:val="17"/>
          <w:szCs w:val="17"/>
          <w:color w:val="auto"/>
        </w:rPr>
      </w:pPr>
    </w:p>
    <w:p>
      <w:pPr>
        <w:jc w:val="both"/>
        <w:ind w:left="644" w:hanging="644"/>
        <w:spacing w:after="0" w:line="273" w:lineRule="auto"/>
        <w:tabs>
          <w:tab w:leader="none" w:pos="644"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 initial determination of (i) whether a Gross-Up Payment is required pursuant to this Agreement, and, if applicable, the amount of such Gross-Up Payment or (ii) whether the Payments must be reduced to the Scaled Back Amount and, if so, the amount of such reduction, will be made at the Company's expense by an accounting firm selected by the Company. The accounting firm will provide its determination, together with detailed supporting calculations and documentation, to the Company and the Employee within ten (10) business days after the date of termination of the Employee's employment, or such other time as may be reasonably requested by the Company or the Employee. If the accounting firm determines that no Excise Tax is payable by the</w:t>
      </w:r>
    </w:p>
    <w:p>
      <w:pPr>
        <w:sectPr>
          <w:pgSz w:w="11900" w:h="16838" w:orient="portrait"/>
          <w:cols w:equalWidth="0" w:num="1">
            <w:col w:w="10764"/>
          </w:cols>
          <w:pgMar w:left="896" w:top="611" w:right="239" w:bottom="1440" w:gutter="0" w:footer="0" w:header="0"/>
        </w:sectPr>
      </w:pPr>
    </w:p>
    <w:bookmarkStart w:id="111" w:name="page112"/>
    <w:bookmarkEnd w:id="111"/>
    <w:p>
      <w:pPr>
        <w:jc w:val="both"/>
        <w:ind w:left="644"/>
        <w:spacing w:after="0" w:line="339" w:lineRule="auto"/>
        <w:rPr>
          <w:sz w:val="20"/>
          <w:szCs w:val="20"/>
          <w:color w:val="auto"/>
        </w:rPr>
      </w:pPr>
      <w:r>
        <w:rPr>
          <w:rFonts w:ascii="Arial" w:cs="Arial" w:eastAsia="Arial" w:hAnsi="Arial"/>
          <w:sz w:val="16"/>
          <w:szCs w:val="16"/>
          <w:color w:val="auto"/>
        </w:rPr>
        <w:t>Employee with respect to a Payment or Payments, it will furnish the Employee with an opinion to that effect. If a Gross-Up Payment becomes payable, such Gross-Up Payment will be paid by the Company to the Employee within thirty (30) business days of the receipt of the accounting firm's determination. If a reduction in Payments is required, such reduction shall be effectuated within thirty (30) business days of the receipt of the accounting firm's determination. Within ten (10) business days after the accounting firm delivers its determination to the Employee, the Employee will have the right to dispute the determination. The existence of a dispute will not in any way affect the Employee's right to receive a Gross-Up Payment in accordance with the determination. If there is no dispute, the determination will be binding, final, and conclusive upon the Company and the Employee. If there is a dispute, the Company and the Employee will together select a second accounting firm, which will review the determination and the Employee's basis for the dispute and then will render its own determination, which will be binding, final, and conclusive on the Company and on the Employee for purposes of determining whether a Gross-Up Payment is required pursuant to this Subsection 10(b) or whether a reduction to the Scaled Back Amount is required, as the case may be. If as a result of any dispute pursuant to this Subsection 10(b) a Gross-Up Payment is made or additional Gross-Up Payments are made, such Gross-Up Payment(s) will be paid by the Company to the Employee within thirty (30) business days of the receipt of the second accounting firm's determination. The Company will bear all costs associated with the second accounting firm's determination, unless such determination does not result in additional Gross-Up Payments to the Employee or unless such determination does not mitigate the reduction in Payments required to arrive at the Scaled Back Amount, in which case all such costs will be borne by the Employee.</w:t>
      </w:r>
    </w:p>
    <w:p>
      <w:pPr>
        <w:spacing w:after="0" w:line="140" w:lineRule="exact"/>
        <w:rPr>
          <w:sz w:val="20"/>
          <w:szCs w:val="20"/>
          <w:color w:val="auto"/>
        </w:rPr>
      </w:pPr>
    </w:p>
    <w:p>
      <w:pPr>
        <w:jc w:val="both"/>
        <w:ind w:left="644" w:hanging="644"/>
        <w:spacing w:after="0" w:line="297" w:lineRule="auto"/>
        <w:tabs>
          <w:tab w:leader="none" w:pos="644"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purposes of determining the amount of the Gross-Up Payment and, if applicable, the Scaled Back Amount, the Employee will be deemed to pay federal income taxes at the highest marginal rate of federal income taxation in the calendar year in which the Gross-Up Payment is to be made or the Scaled Back Amount is determined, as the case may be, and applicable state and local income taxes at the highest marginal rate of taxation in the state and locality of the Employee's residence on the date of termination of the Employee's employment, net of the maximum reduction in federal income taxes that would be obtained from deduction of those state and local taxes.</w:t>
      </w:r>
    </w:p>
    <w:p>
      <w:pPr>
        <w:spacing w:after="0" w:line="158" w:lineRule="exact"/>
        <w:rPr>
          <w:rFonts w:ascii="Arial" w:cs="Arial" w:eastAsia="Arial" w:hAnsi="Arial"/>
          <w:sz w:val="16"/>
          <w:szCs w:val="16"/>
          <w:color w:val="auto"/>
        </w:rPr>
      </w:pPr>
    </w:p>
    <w:p>
      <w:pPr>
        <w:jc w:val="both"/>
        <w:ind w:left="644" w:hanging="644"/>
        <w:spacing w:after="0" w:line="286" w:lineRule="auto"/>
        <w:tabs>
          <w:tab w:leader="none" w:pos="644"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As a result of the uncertainty in the application of Section 4999 of the Code, it is possible that Gross-Up Payments which will not have been made by the Company should have been made, the Employee's Payments will be reduced to the Scaled Back Amount when they should not have been or the Employee's Payments are reduced to a greater extent than they should have been (an "Underpayment") or Gross-Up Payments are made by the Company which should not have been made, the Employee's Payments are not reduced to the Scaled Back Amount when they should have been or they are not reduced to the extent they should have been (an "Overpayment"). If it is determined that an Underpayment has occurred, the accounting firm shall determine the amount of the Underpayment that has occurred and any such Underpayment (together with interest at the rate provided in Section 1274(b)(2)(B) of the Code) shall be promptly paid by the Company to or for the benefit of the Employee. If it is determined that an Overpayment has occurred, the accounting firm shall determine the amount of the Overpayment that has occurred and any such Overpayment (together with interest at the rate provided in Section 1274(b)(2) of the Code) shall be promptly paid by the Employee (to the extent he has received a refund if the applicable Excise Tax has been paid to the Internal Revenue Service) to or for the benefit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determines that such repayment obligation would be or result in an unlawful extension of credit under Section 13(k) of the Exchange Act, repayment shall not be required. The Employee shall cooperate, to the extent his expenses are reimbursed by the Company, with any reasonable requests by the Company in connection with any contest or disputes with the Internal Revenue Service in connection with the Excise Tax.</w:t>
      </w:r>
    </w:p>
    <w:p>
      <w:pPr>
        <w:spacing w:after="0" w:line="171"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Employee shall notify the Company in writing of any claim by the Internal Revenue Service that, if successful, would require a payment resulting in an Underpayment. Such notification shall be given as soon as practicable but no later than ten (10) business days after the Employee is informed in writing of such claim and shall apprise the Company of the nature of such claim and the date on which such claim is requested to be paid. The Employee shall not pay such claim prior to the expiration of the thirty (30) day period following the date on which he gives such notice to the Company (or such shorter period ending on the date that any payment of taxes with respect to such claim is due). If the Company notifies the Employee in writing prior to the expiration of such period that it desires to contest such claim, the Employee shall:</w:t>
      </w:r>
    </w:p>
    <w:p>
      <w:pPr>
        <w:spacing w:after="0" w:line="189" w:lineRule="exact"/>
        <w:rPr>
          <w:rFonts w:ascii="Arial" w:cs="Arial" w:eastAsia="Arial" w:hAnsi="Arial"/>
          <w:sz w:val="18"/>
          <w:szCs w:val="18"/>
          <w:color w:val="auto"/>
        </w:rPr>
      </w:pPr>
    </w:p>
    <w:p>
      <w:pPr>
        <w:ind w:left="1304" w:hanging="655"/>
        <w:spacing w:after="0"/>
        <w:tabs>
          <w:tab w:leader="none" w:pos="1304" w:val="left"/>
        </w:tabs>
        <w:numPr>
          <w:ilvl w:val="1"/>
          <w:numId w:val="53"/>
        </w:numPr>
        <w:rPr>
          <w:rFonts w:ascii="Arial" w:cs="Arial" w:eastAsia="Arial" w:hAnsi="Arial"/>
          <w:sz w:val="18"/>
          <w:szCs w:val="18"/>
          <w:color w:val="auto"/>
        </w:rPr>
      </w:pPr>
      <w:r>
        <w:rPr>
          <w:rFonts w:ascii="Arial" w:cs="Arial" w:eastAsia="Arial" w:hAnsi="Arial"/>
          <w:sz w:val="18"/>
          <w:szCs w:val="18"/>
          <w:color w:val="auto"/>
        </w:rPr>
        <w:t>give the Company any information reasonably requested by the Company relating to such claim,</w:t>
      </w:r>
    </w:p>
    <w:p>
      <w:pPr>
        <w:sectPr>
          <w:pgSz w:w="11900" w:h="16838" w:orient="portrait"/>
          <w:cols w:equalWidth="0" w:num="1">
            <w:col w:w="10764"/>
          </w:cols>
          <w:pgMar w:left="896" w:top="611" w:right="239" w:bottom="1440" w:gutter="0" w:footer="0" w:header="0"/>
        </w:sectPr>
      </w:pPr>
    </w:p>
    <w:bookmarkStart w:id="112" w:name="page113"/>
    <w:bookmarkEnd w:id="112"/>
    <w:p>
      <w:pPr>
        <w:jc w:val="both"/>
        <w:ind w:left="1304" w:hanging="655"/>
        <w:spacing w:after="0" w:line="264" w:lineRule="auto"/>
        <w:tabs>
          <w:tab w:leader="none" w:pos="13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81" w:lineRule="exact"/>
        <w:rPr>
          <w:rFonts w:ascii="Arial" w:cs="Arial" w:eastAsia="Arial" w:hAnsi="Arial"/>
          <w:sz w:val="18"/>
          <w:szCs w:val="18"/>
          <w:color w:val="auto"/>
        </w:rPr>
      </w:pPr>
    </w:p>
    <w:p>
      <w:pPr>
        <w:ind w:left="1304" w:hanging="655"/>
        <w:spacing w:after="0"/>
        <w:tabs>
          <w:tab w:leader="none" w:pos="13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cooperate with the Company in good faith in order to effectively contest such claim, and</w:t>
      </w:r>
    </w:p>
    <w:p>
      <w:pPr>
        <w:spacing w:after="0" w:line="225" w:lineRule="exact"/>
        <w:rPr>
          <w:rFonts w:ascii="Arial" w:cs="Arial" w:eastAsia="Arial" w:hAnsi="Arial"/>
          <w:sz w:val="18"/>
          <w:szCs w:val="18"/>
          <w:color w:val="auto"/>
        </w:rPr>
      </w:pPr>
    </w:p>
    <w:p>
      <w:pPr>
        <w:ind w:left="1304" w:hanging="655"/>
        <w:spacing w:after="0"/>
        <w:tabs>
          <w:tab w:leader="none" w:pos="13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permit the Company to participate in any proceeding relating to such claim;</w:t>
      </w:r>
    </w:p>
    <w:p>
      <w:pPr>
        <w:spacing w:after="0" w:line="23" w:lineRule="exact"/>
        <w:rPr>
          <w:sz w:val="20"/>
          <w:szCs w:val="20"/>
          <w:color w:val="auto"/>
        </w:rPr>
      </w:pPr>
    </w:p>
    <w:p>
      <w:pPr>
        <w:jc w:val="both"/>
        <w:ind w:left="644"/>
        <w:spacing w:after="0" w:line="26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bear and pay directly all costs and expenses (including additional interest and penalties) incurred in connection with such contest and shall indemnify and hold the Employee harmless, on an after-tax basis, for any Excise Tax or income tax (including related interest and penalties) imposed as a result of such representation and payment of costs and expenses. Without limitation on the foregoing provisions of this Subsection 10(e),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Employee to pay the tax claimed and sue for a refund or contest the claim in any permissible manner, and the Employee agrees to prosecute such contest to a determination before any administrative tribunal, in a court of initial jurisdiction and in one or more appellate courts, as the Company shall determine;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directs the Employee to pay such claim and sue for a refund, the Company shall advance the amount of such payment to the Employee, on an interest-free basis and shall indemnify and hold the Employee harmless, on an after-tax basis, from any Excise Tax or income tax (including related interest or penalties) imposed with respect to such advance or with respect to any imputed income with respect to such advance. The Company's control of the contest shall be limited to issues that may impact Gross-Up Payments or reduction in Payments under this Section 10, and the Employee shall be entitled to settle or contest, as the case may be, any other issue raised by the Internal Revenue Service or any other taxing authority.</w:t>
      </w:r>
    </w:p>
    <w:p>
      <w:pPr>
        <w:spacing w:after="0" w:line="182" w:lineRule="exact"/>
        <w:rPr>
          <w:sz w:val="20"/>
          <w:szCs w:val="20"/>
          <w:color w:val="auto"/>
        </w:rPr>
      </w:pPr>
    </w:p>
    <w:p>
      <w:pPr>
        <w:jc w:val="both"/>
        <w:ind w:left="644" w:hanging="644"/>
        <w:spacing w:after="0" w:line="272" w:lineRule="auto"/>
        <w:tabs>
          <w:tab w:leader="none" w:pos="6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after the receipt by the Employee of an amount advanced by the Company pursuant to Subsection 10(e), the Employee becomes entitled to receive any refund with respect to such claim, the Employee shall (subject to the Company's complying with the requirements of Subsection 10(e)) promptly pay to the Company the amount of such refund (together with any interest paid or credited thereon after taxes applicable thereto). If, after the receipt by the Employee of an amount advanced by the Company pursuant to Subsection 10(e), a determination is made that the Employee shall not be entitled to any refund with respect to such claim and the Company does not notify the Employee in writing of its intent to contest such denial of refund prior to the expiration of thirty (30) days after such determination, then such advance shall be forgiven and shall not be required to be repaid.</w:t>
      </w:r>
    </w:p>
    <w:p>
      <w:pPr>
        <w:spacing w:after="0" w:line="177"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payment under this Section 10 must be made by the Company no later than the end of the Employee's tax year following the Employee's tax year in which the Employee remits the related tax payments.</w:t>
      </w:r>
    </w:p>
    <w:p>
      <w:pPr>
        <w:spacing w:after="0" w:line="197" w:lineRule="exact"/>
        <w:rPr>
          <w:sz w:val="20"/>
          <w:szCs w:val="20"/>
          <w:color w:val="auto"/>
        </w:rPr>
      </w:pPr>
    </w:p>
    <w:p>
      <w:pPr>
        <w:jc w:val="both"/>
        <w:ind w:left="-656" w:firstLine="656"/>
        <w:spacing w:after="0" w:line="311" w:lineRule="auto"/>
        <w:tabs>
          <w:tab w:leader="none" w:pos="85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Non-Delegation of the Employee's Rights</w:t>
      </w:r>
      <w:r>
        <w:rPr>
          <w:rFonts w:ascii="Arial" w:cs="Arial" w:eastAsia="Arial" w:hAnsi="Arial"/>
          <w:sz w:val="18"/>
          <w:szCs w:val="18"/>
          <w:color w:val="auto"/>
        </w:rPr>
        <w:t>. The obligations, rights and benefits of the Employee hereunder are personal and may not be delegated, assigned or transferred in any manner whatsoever, nor are such obligations, rights or benefits subject to involuntary alienation, assignment or transfer.</w:t>
      </w:r>
    </w:p>
    <w:p>
      <w:pPr>
        <w:spacing w:after="0" w:line="181" w:lineRule="exact"/>
        <w:rPr>
          <w:rFonts w:ascii="Arial" w:cs="Arial" w:eastAsia="Arial" w:hAnsi="Arial"/>
          <w:sz w:val="18"/>
          <w:szCs w:val="18"/>
          <w:color w:val="auto"/>
        </w:rPr>
      </w:pPr>
    </w:p>
    <w:p>
      <w:pPr>
        <w:jc w:val="both"/>
        <w:ind w:left="-656" w:firstLine="656"/>
        <w:spacing w:after="0" w:line="315" w:lineRule="auto"/>
        <w:tabs>
          <w:tab w:leader="none" w:pos="865"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Employee acknowledges that he will occupy a position of trust and confidence and will have access to and learn substantial information about the Company and its affiliates and their operations that is confidential or not generally known in the industry including, without limitation, information that relates to purchasing, sales, customers, marketing, and the financial positions and financing arrangements of the Company and its affiliates. The Employee agrees that all such information is proprietary or confidential, or constitutes trade secrets and is the sole property of the Company and/or its affiliates, as the case may be. The Employee will keep confidential, and will not reproduce, copy or disclose to any other person or firm, any such information or any documents or information relating to the Company's or its affiliates' methods, processes, customers, accounts, analyses, systems, charts, programs, procedures, correspondence or records, or any other documents used or owned by the Company or any of its affiliates, nor will the Employee advise, discuss with or in any way assist any other person, firm or entity in obtaining or learning about any of the items described in this Section 12. Accordingly, the Employee agrees that during the Employment Term and at all times thereafter he will not disclose, or permit or encourage anyone else to disclose, any such information, nor will he utilize any such information, either alone or with others, outside the scope of his duties and responsibilities with the Company and its affiliates.</w:t>
      </w:r>
    </w:p>
    <w:p>
      <w:pPr>
        <w:ind w:left="864" w:hanging="864"/>
        <w:spacing w:after="0"/>
        <w:tabs>
          <w:tab w:leader="none" w:pos="86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39" w:lineRule="exact"/>
        <w:rPr>
          <w:sz w:val="20"/>
          <w:szCs w:val="20"/>
          <w:color w:val="auto"/>
        </w:rPr>
      </w:pPr>
    </w:p>
    <w:p>
      <w:pPr>
        <w:jc w:val="both"/>
        <w:ind w:left="644" w:hanging="644"/>
        <w:spacing w:after="0" w:line="264"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During Employment Term</w:t>
      </w:r>
      <w:r>
        <w:rPr>
          <w:rFonts w:ascii="Arial" w:cs="Arial" w:eastAsia="Arial" w:hAnsi="Arial"/>
          <w:sz w:val="18"/>
          <w:szCs w:val="18"/>
          <w:color w:val="auto"/>
        </w:rPr>
        <w:t>. The Employee agrees that, during the Employment Term, he will devote such business time, attention and energies reasonably necessary to the diligent and faithful performance of the services to the Company and its affiliates, and he will not engage in any way whatsoever, directly or indirectly, in any</w:t>
      </w:r>
    </w:p>
    <w:p>
      <w:pPr>
        <w:sectPr>
          <w:pgSz w:w="11900" w:h="16838" w:orient="portrait"/>
          <w:cols w:equalWidth="0" w:num="1">
            <w:col w:w="10764"/>
          </w:cols>
          <w:pgMar w:left="896" w:top="584" w:right="239" w:bottom="1440" w:gutter="0" w:footer="0" w:header="0"/>
        </w:sectPr>
      </w:pPr>
    </w:p>
    <w:bookmarkStart w:id="113" w:name="page114"/>
    <w:bookmarkEnd w:id="113"/>
    <w:p>
      <w:pPr>
        <w:jc w:val="both"/>
        <w:ind w:left="644"/>
        <w:spacing w:after="0" w:line="302" w:lineRule="auto"/>
        <w:rPr>
          <w:sz w:val="20"/>
          <w:szCs w:val="20"/>
          <w:color w:val="auto"/>
        </w:rPr>
      </w:pPr>
      <w:r>
        <w:rPr>
          <w:rFonts w:ascii="Arial" w:cs="Arial" w:eastAsia="Arial" w:hAnsi="Arial"/>
          <w:sz w:val="18"/>
          <w:szCs w:val="18"/>
          <w:color w:val="auto"/>
        </w:rPr>
        <w:t>business that is a direct competitor with the Company's or its affiliates' principal business, nor solicit customers, suppliers or employees of the Company or affiliates on behalf of, or in any other manner work for or assist any business which is a direct competitor with the Company's or its affiliates' principal business. In addition, during the Employment Term, the Employee will undertake no planning for or organization of any business activity competitive with the work he performs as an employee of the Company, and the Employee will not combine or conspire with any other employee of the Company or any other person for the purpose of organizing any such competitive business activity.</w:t>
      </w:r>
    </w:p>
    <w:p>
      <w:pPr>
        <w:spacing w:after="0" w:line="166" w:lineRule="exact"/>
        <w:rPr>
          <w:sz w:val="20"/>
          <w:szCs w:val="20"/>
          <w:color w:val="auto"/>
        </w:rPr>
      </w:pPr>
    </w:p>
    <w:p>
      <w:pPr>
        <w:jc w:val="both"/>
        <w:ind w:left="644" w:hanging="644"/>
        <w:spacing w:after="0" w:line="268" w:lineRule="auto"/>
        <w:tabs>
          <w:tab w:leader="none" w:pos="64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After Employment Term</w:t>
      </w:r>
      <w:r>
        <w:rPr>
          <w:rFonts w:ascii="Arial" w:cs="Arial" w:eastAsia="Arial" w:hAnsi="Arial"/>
          <w:sz w:val="17"/>
          <w:szCs w:val="17"/>
          <w:color w:val="auto"/>
        </w:rPr>
        <w:t>. The parties acknowledge that the Employee will acquire substantial knowledge and information concerning the business of the Company and its affiliates as a result of his employment. The parties further acknowledge that the scope of business in which the Company and its affiliates are engaged as of the Effective Date is national and very competitive and one in which few companies can successfully compete. Competition by the Employee in that business after the Employment Term would severely injure the Company and its affiliates. Accordingly, for a period of one (1) year after the Employee's employment terminates for any reason whatsoever, except as otherwise stated herein below, the Employee agrees: (i) not to become an employee, consultant, advisor, principal, partner or substantial shareholder of any firm or business that directly competes with the Company or its affiliates in their principal products and markets; and (ii), on behalf of any such competitive firm or business, not to solicit any person or business that was at the time of such termination and remains a customer or prospective customer, a supplier or prospective supplier, or an employee of the Company or an affiliate. Notwithstanding any of the foregoing provisions to the contrary, the Employee shall not be subject to the restrictions set forth in this Subsection 13(b) if: (A) the Employee's employment is terminated by the Company without Cause; (B) the Employee terminates employment for Good Reason; or (C) the Employee's employment is terminated as a result of the Company's unwillingness to extend the Employment Term.</w:t>
      </w:r>
    </w:p>
    <w:p>
      <w:pPr>
        <w:spacing w:after="0" w:line="187"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Exclusion</w:t>
      </w:r>
      <w:r>
        <w:rPr>
          <w:rFonts w:ascii="Arial" w:cs="Arial" w:eastAsia="Arial" w:hAnsi="Arial"/>
          <w:sz w:val="18"/>
          <w:szCs w:val="18"/>
          <w:color w:val="auto"/>
        </w:rPr>
        <w:t>. Working, directly or indirectly, for any of the following entities shall not be considered competitive to the Company or its affiliates for the purpose of this Section 13: (i) Fidelity National Information Services, Inc., its affiliates or their successors; (ii) Lender Processing Services, Inc., its affiliates or their successors; or (iii) the Company, its affiliates or their successors if this Agreement is assumed by a third party as contemplated in Section 21.</w:t>
      </w:r>
    </w:p>
    <w:p>
      <w:pPr>
        <w:spacing w:after="0" w:line="214" w:lineRule="exact"/>
        <w:rPr>
          <w:sz w:val="20"/>
          <w:szCs w:val="20"/>
          <w:color w:val="auto"/>
        </w:rPr>
      </w:pPr>
    </w:p>
    <w:p>
      <w:pPr>
        <w:jc w:val="both"/>
        <w:ind w:left="-656" w:firstLine="656"/>
        <w:spacing w:after="0" w:line="311" w:lineRule="auto"/>
        <w:tabs>
          <w:tab w:leader="none" w:pos="86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Return of Company Documents</w:t>
      </w:r>
      <w:r>
        <w:rPr>
          <w:rFonts w:ascii="Arial" w:cs="Arial" w:eastAsia="Arial" w:hAnsi="Arial"/>
          <w:sz w:val="18"/>
          <w:szCs w:val="18"/>
          <w:color w:val="auto"/>
        </w:rPr>
        <w:t>. Upon termination of the Employment Term, the Employee shall return immediately to the Company all records and documents of or pertaining to the Company or its affiliates and shall not make or retain any copy or extract of any such record or document, or any other property of the Company or its affiliates.</w:t>
      </w:r>
    </w:p>
    <w:p>
      <w:pPr>
        <w:spacing w:after="0" w:line="181" w:lineRule="exact"/>
        <w:rPr>
          <w:rFonts w:ascii="Arial" w:cs="Arial" w:eastAsia="Arial" w:hAnsi="Arial"/>
          <w:sz w:val="18"/>
          <w:szCs w:val="18"/>
          <w:color w:val="auto"/>
        </w:rPr>
      </w:pPr>
    </w:p>
    <w:p>
      <w:pPr>
        <w:jc w:val="both"/>
        <w:ind w:left="-656" w:firstLine="656"/>
        <w:spacing w:after="0" w:line="302" w:lineRule="auto"/>
        <w:tabs>
          <w:tab w:leader="none" w:pos="86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Improvements and Inventions</w:t>
      </w:r>
      <w:r>
        <w:rPr>
          <w:rFonts w:ascii="Arial" w:cs="Arial" w:eastAsia="Arial" w:hAnsi="Arial"/>
          <w:sz w:val="18"/>
          <w:szCs w:val="18"/>
          <w:color w:val="auto"/>
        </w:rPr>
        <w:t>. Any and all improvements or inventions that the Employee may make or participate in during the Employment Term, unless wholly unrelated to the business of the Company and its affiliates and not produced within the scope of the Employee's employment hereunder, shall be the sole and exclusive property of the Company. The Employee shall, whenever requested by the Company, execute and deliver any and all documents that the Company deems appropriate in order to apply for and obtain patents or copyrights in improvements or inventions or in order to assign and/or convey to the Company the sole and exclusive right, title and interest in and to such improvements, inventions, patents, copyrights or applications.</w:t>
      </w:r>
    </w:p>
    <w:p>
      <w:pPr>
        <w:spacing w:after="0" w:line="192" w:lineRule="exact"/>
        <w:rPr>
          <w:rFonts w:ascii="Arial" w:cs="Arial" w:eastAsia="Arial" w:hAnsi="Arial"/>
          <w:sz w:val="18"/>
          <w:szCs w:val="18"/>
          <w:color w:val="auto"/>
        </w:rPr>
      </w:pPr>
    </w:p>
    <w:p>
      <w:pPr>
        <w:jc w:val="both"/>
        <w:ind w:left="-656" w:firstLine="656"/>
        <w:spacing w:after="0" w:line="321" w:lineRule="auto"/>
        <w:tabs>
          <w:tab w:leader="none" w:pos="86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Actions</w:t>
      </w:r>
      <w:r>
        <w:rPr>
          <w:rFonts w:ascii="Arial" w:cs="Arial" w:eastAsia="Arial" w:hAnsi="Arial"/>
          <w:sz w:val="17"/>
          <w:szCs w:val="17"/>
          <w:color w:val="auto"/>
        </w:rPr>
        <w:t>. The parties agree and acknowledge that the rights conveyed by this Agreement are of a unique and special nature and that the Company will not have an adequate remedy at law in the event of a failure by the Employee to abide by its terms and conditions, nor will money damages adequately compensate for such injury. Therefore, it is agreed between and hereby acknowledged by the parties that, in the event of a breach by the Employee of any of the obligations of this Agreement, the Company shall have the right, among other rights, to damages sustained thereby and to obtain an injunction or decree of specific performance from any court of competent jurisdiction to restrain or compel the Employee to perform as agreed herein. The Employee hereby acknowledges that obligations under Sections and Subsections 12, 13(b), 14, 15, 16, 17 and 18 shall survive the termination of employment and be binding by their terms at all times subsequent to the termination of employment for the periods specified therein. Nothing herein shall in any way limit or exclude any other right granted by law or equity to the Company.</w:t>
      </w:r>
    </w:p>
    <w:p>
      <w:pPr>
        <w:spacing w:after="0" w:line="177" w:lineRule="exact"/>
        <w:rPr>
          <w:rFonts w:ascii="Arial" w:cs="Arial" w:eastAsia="Arial" w:hAnsi="Arial"/>
          <w:sz w:val="17"/>
          <w:szCs w:val="17"/>
          <w:color w:val="auto"/>
        </w:rPr>
      </w:pPr>
    </w:p>
    <w:p>
      <w:pPr>
        <w:jc w:val="both"/>
        <w:ind w:left="-656" w:firstLine="656"/>
        <w:spacing w:after="0" w:line="346" w:lineRule="auto"/>
        <w:tabs>
          <w:tab w:leader="none" w:pos="86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Notwithstanding any provision herein to the contrary, the Company may require that, prior to payment of any amount or provision of any benefit under Section 9 or payment of any Gross-Up Payment pursuant to Section 10 of this Agreement (other than due to the Employee's death), the Employee shall have executed a complete release of the Company and its affiliates and related parties in such form as is reasonably required by the Company, and any waiting periods contained in such release shall have expired;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release relates only to the Employee's employment relationship with the Company. With respect to any release required to receive payments owed pursuant to Section 9, the Company must provide the Employee with the form of release no later than seven (7) days after the Date of Termination and the release must be signed by</w:t>
      </w:r>
    </w:p>
    <w:p>
      <w:pPr>
        <w:sectPr>
          <w:pgSz w:w="11900" w:h="16838" w:orient="portrait"/>
          <w:cols w:equalWidth="0" w:num="1">
            <w:col w:w="10764"/>
          </w:cols>
          <w:pgMar w:left="896" w:top="61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the Employee and returned to the Company, unchanged, effective and irrevocable, no later than sixty (60) days after the Date of Termination.</w:t>
      </w:r>
    </w:p>
    <w:p>
      <w:pPr>
        <w:spacing w:after="0" w:line="266" w:lineRule="exact"/>
        <w:rPr>
          <w:sz w:val="20"/>
          <w:szCs w:val="20"/>
          <w:color w:val="auto"/>
        </w:rPr>
      </w:pPr>
    </w:p>
    <w:p>
      <w:pPr>
        <w:jc w:val="both"/>
        <w:ind w:firstLine="656"/>
        <w:spacing w:after="0" w:line="329" w:lineRule="auto"/>
        <w:tabs>
          <w:tab w:leader="none" w:pos="152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No Mitigation</w:t>
      </w:r>
      <w:r>
        <w:rPr>
          <w:rFonts w:ascii="Arial" w:cs="Arial" w:eastAsia="Arial" w:hAnsi="Arial"/>
          <w:sz w:val="17"/>
          <w:szCs w:val="17"/>
          <w:color w:val="auto"/>
        </w:rPr>
        <w:t>. The Company agrees that, if the Employee's employment hereunder is terminated during the Employment Term, the Employee is not required to seek other employment or to attempt in any way to reduce any amounts payable to the Employee by the Company hereunder. Further, the amount of any payment or benefit provided for hereunder (other than pursuant to Subsection 9(a)(v) hereof) shall not be reduced by any compensation earned by the Employee as the result of employment by another employer, by retirement benefits or otherwise.</w:t>
      </w:r>
    </w:p>
    <w:p>
      <w:pPr>
        <w:spacing w:after="0" w:line="170" w:lineRule="exact"/>
        <w:rPr>
          <w:rFonts w:ascii="Arial" w:cs="Arial" w:eastAsia="Arial" w:hAnsi="Arial"/>
          <w:sz w:val="17"/>
          <w:szCs w:val="17"/>
          <w:color w:val="auto"/>
        </w:rPr>
      </w:pPr>
    </w:p>
    <w:p>
      <w:pPr>
        <w:jc w:val="both"/>
        <w:ind w:right="20" w:firstLine="656"/>
        <w:spacing w:after="0" w:line="311" w:lineRule="auto"/>
        <w:tabs>
          <w:tab w:leader="none" w:pos="152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Entire Agreement and Amendment</w:t>
      </w:r>
      <w:r>
        <w:rPr>
          <w:rFonts w:ascii="Arial" w:cs="Arial" w:eastAsia="Arial" w:hAnsi="Arial"/>
          <w:sz w:val="18"/>
          <w:szCs w:val="18"/>
          <w:color w:val="auto"/>
        </w:rPr>
        <w:t>. This Agreement embodies the entire agreement and understanding of the parties hereto in respect of the subject matter of this Agreement, and supersedes and replaces all prior agreements, understandings and commitments with respect to such subject matter. This Agreement may be amended only by a written document signed by both parties to this Agreement.</w:t>
      </w:r>
    </w:p>
    <w:p>
      <w:pPr>
        <w:spacing w:after="0" w:line="181" w:lineRule="exact"/>
        <w:rPr>
          <w:rFonts w:ascii="Arial" w:cs="Arial" w:eastAsia="Arial" w:hAnsi="Arial"/>
          <w:sz w:val="18"/>
          <w:szCs w:val="18"/>
          <w:color w:val="auto"/>
        </w:rPr>
      </w:pPr>
    </w:p>
    <w:p>
      <w:pPr>
        <w:jc w:val="both"/>
        <w:ind w:firstLine="656"/>
        <w:spacing w:after="0" w:line="336" w:lineRule="auto"/>
        <w:tabs>
          <w:tab w:leader="none" w:pos="152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Florida, excluding any conflicts or choice of law rule or principle that might otherwise refer construction or interpretation of this Agreement to the substantive law of another jurisdiction. Any litigation pertaining to this Agreement shall be adjudicated in courts located in Duval County, Florida.</w:t>
      </w:r>
    </w:p>
    <w:p>
      <w:pPr>
        <w:spacing w:after="0" w:line="164" w:lineRule="exact"/>
        <w:rPr>
          <w:rFonts w:ascii="Arial" w:cs="Arial" w:eastAsia="Arial" w:hAnsi="Arial"/>
          <w:sz w:val="17"/>
          <w:szCs w:val="17"/>
          <w:color w:val="auto"/>
        </w:rPr>
      </w:pPr>
    </w:p>
    <w:p>
      <w:pPr>
        <w:jc w:val="both"/>
        <w:ind w:firstLine="656"/>
        <w:spacing w:after="0" w:line="343" w:lineRule="auto"/>
        <w:tabs>
          <w:tab w:leader="none" w:pos="152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may not be assigned by the Employee. In addition to any obligations imposed by law upon any successor to the Company, the Company will require any successor (whether direct or indirect, by purchase, merger, consolidation or otherwise) to all or substantially all of the stock, business and/or assets of the Company, to expressly assume and agree to perform this Agreement in the same manner and to the same extent that the Company would be required to perform it if no such succession had taken place. Failure of the Company to obtain such assumption by a successor shall be a material breach of this Agreement. The Employee agrees and consents to any such assumption by a successor of the Company, as well as any assignment of this Agreement by the Company for that purpose. As used in this Agreement, "Company" shall mean the Company as herein before defined as well as any such successor that expressly assumes this Agreement or otherwise becomes bound by all of its terms and provisions by operation of law. This Agreement shall be binding upon and inure to the benefit of the parties and their permitted successors or assigns.</w:t>
      </w:r>
    </w:p>
    <w:p>
      <w:pPr>
        <w:spacing w:after="0" w:line="165" w:lineRule="exact"/>
        <w:rPr>
          <w:rFonts w:ascii="Arial" w:cs="Arial" w:eastAsia="Arial" w:hAnsi="Arial"/>
          <w:sz w:val="16"/>
          <w:szCs w:val="16"/>
          <w:color w:val="auto"/>
        </w:rPr>
      </w:pPr>
    </w:p>
    <w:p>
      <w:pPr>
        <w:ind w:right="20" w:firstLine="656"/>
        <w:spacing w:after="0" w:line="324" w:lineRule="auto"/>
        <w:tabs>
          <w:tab w:leader="none" w:pos="152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instrument.</w:t>
      </w:r>
    </w:p>
    <w:p>
      <w:pPr>
        <w:spacing w:after="0" w:line="170" w:lineRule="exact"/>
        <w:rPr>
          <w:rFonts w:ascii="Arial" w:cs="Arial" w:eastAsia="Arial" w:hAnsi="Arial"/>
          <w:sz w:val="18"/>
          <w:szCs w:val="18"/>
          <w:color w:val="auto"/>
        </w:rPr>
      </w:pPr>
    </w:p>
    <w:p>
      <w:pPr>
        <w:jc w:val="both"/>
        <w:ind w:firstLine="656"/>
        <w:spacing w:after="0" w:line="339" w:lineRule="auto"/>
        <w:tabs>
          <w:tab w:leader="none" w:pos="152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Attorneys' Fees</w:t>
      </w:r>
      <w:r>
        <w:rPr>
          <w:rFonts w:ascii="Arial" w:cs="Arial" w:eastAsia="Arial" w:hAnsi="Arial"/>
          <w:sz w:val="16"/>
          <w:szCs w:val="16"/>
          <w:color w:val="auto"/>
        </w:rPr>
        <w:t xml:space="preserve">. If any party finds it necessary to employ legal counsel or to bring an action at law or other proceedings against the other party to interpret or enforce any of the terms hereof, the party prevailing in any such action or other proceeding shall be promptly paid by the other party its reasonable legal fees, court costs, litigation expenses, all as determined by the court and not a jury, and such payment shall be made by the non-prevailing party no later than the end of the Employee's tax year following the Employee's tax year in which the payment amount becomes known and payable;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 or after a Change in Control, and following the Employee's termination of employment with the Company, if any party finds it necessary to employ legal counsel or to bring an action at law or other proceedings against the other party to interpret or enforce any of the terms hereof, the Company shall pay (on an ongoing basis) to the Employee to the fullest extent permitted by law, all legal fees, court costs and litigation expenses reasonably incurred by the Employee or others on his behalf (such amounts collectively referred to as the "Reimbursed Amounts"); provided, further, that the Employee shall reimburse the Company for the Reimbursed Amounts if it is determined that a majority of the Employee's claims or defenses were frivolous or without merit. Requests for payment of Reimbursed Amounts, together with all documents required by the Company to substantiate them, must be submitted to the Company no later than ninety (90) days after the expense was incurred. The Reimbursed Amounts shall be paid by the Company within ninety (90) days after receiving the request and all substantiating documents requested from the Employee. The payment of Reimbursed Amounts during the Employee's tax year will not impact the Reimbursed Amounts for any other taxable year. The rights under this Section 23 shall survive the termination of employment and this Agreement until the expiration of the applicable statute of limitations.</w:t>
      </w:r>
    </w:p>
    <w:p>
      <w:pPr>
        <w:spacing w:after="0" w:line="170" w:lineRule="exact"/>
        <w:rPr>
          <w:rFonts w:ascii="Arial" w:cs="Arial" w:eastAsia="Arial" w:hAnsi="Arial"/>
          <w:sz w:val="16"/>
          <w:szCs w:val="16"/>
          <w:color w:val="auto"/>
        </w:rPr>
      </w:pPr>
    </w:p>
    <w:p>
      <w:pPr>
        <w:jc w:val="both"/>
        <w:ind w:firstLine="656"/>
        <w:spacing w:after="0" w:line="346" w:lineRule="auto"/>
        <w:tabs>
          <w:tab w:leader="none" w:pos="152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section, subsection or provision hereof is found for any reason whatsoever to be invalid or inoperative, that section, subsection or provision shall be deemed severable and shall not affect the force and validity of any other provision of this Agreement. If any covenant herein is determined by a court to be overly broad thereby making the covenant unenforceable, the parties agree and it is their desire that such court shall substitute a reasonable judicially enforceable limitation in place of the offensive part of the covenant and that as so modified the covenant shall be as fully enforceable as if set forth herein by the parties themselves in the modified form. The covenants of the Employee in this Agreement shall each be construed as an agreement independent of any other provision in this Agreement, and the existence of any claim or cause of action of the Employee</w:t>
      </w:r>
    </w:p>
    <w:p>
      <w:pPr>
        <w:sectPr>
          <w:pgSz w:w="11900" w:h="16838" w:orient="portrait"/>
          <w:cols w:equalWidth="0" w:num="1">
            <w:col w:w="11420"/>
          </w:cols>
          <w:pgMar w:left="240" w:top="611" w:right="239" w:bottom="1440" w:gutter="0" w:footer="0" w:header="0"/>
        </w:sectPr>
      </w:pPr>
    </w:p>
    <w:bookmarkStart w:id="115" w:name="page116"/>
    <w:bookmarkEnd w:id="115"/>
    <w:p>
      <w:pPr>
        <w:spacing w:after="0" w:line="324" w:lineRule="auto"/>
        <w:rPr>
          <w:sz w:val="20"/>
          <w:szCs w:val="20"/>
          <w:color w:val="auto"/>
        </w:rPr>
      </w:pPr>
      <w:r>
        <w:rPr>
          <w:rFonts w:ascii="Arial" w:cs="Arial" w:eastAsia="Arial" w:hAnsi="Arial"/>
          <w:sz w:val="18"/>
          <w:szCs w:val="18"/>
          <w:color w:val="auto"/>
        </w:rPr>
        <w:t>against the Company, whether predicated on this Agreement or otherwise, shall not constitute a defense to the enforcement by the Company of the covenants in this Agreement.</w:t>
      </w:r>
    </w:p>
    <w:p>
      <w:pPr>
        <w:spacing w:after="0" w:line="170" w:lineRule="exact"/>
        <w:rPr>
          <w:sz w:val="20"/>
          <w:szCs w:val="20"/>
          <w:color w:val="auto"/>
        </w:rPr>
      </w:pPr>
    </w:p>
    <w:p>
      <w:pPr>
        <w:jc w:val="both"/>
        <w:ind w:firstLine="656"/>
        <w:spacing w:after="0" w:line="311" w:lineRule="auto"/>
        <w:tabs>
          <w:tab w:leader="none" w:pos="152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instruction to be given hereunder shall be in writing and shall be deemed given when personally delivered or three (3) days after being sent by United States Certified Mail, postage prepaid, with Return Receipt Requested, to the parties at their respective addresses set forth below:</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Fidelity National Financial,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Riverside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Jacksonville, FL 32204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Employee: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Brent B. Bickett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Fidelity National Financial,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Riverside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Jacksonville, FL 32204</w:t>
      </w:r>
    </w:p>
    <w:p>
      <w:pPr>
        <w:spacing w:after="0" w:line="238" w:lineRule="exact"/>
        <w:rPr>
          <w:sz w:val="20"/>
          <w:szCs w:val="20"/>
          <w:color w:val="auto"/>
        </w:rPr>
      </w:pPr>
    </w:p>
    <w:p>
      <w:pPr>
        <w:ind w:firstLine="656"/>
        <w:spacing w:after="0" w:line="324" w:lineRule="auto"/>
        <w:tabs>
          <w:tab w:leader="none" w:pos="152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Waiver of Breach</w:t>
      </w:r>
      <w:r>
        <w:rPr>
          <w:rFonts w:ascii="Arial" w:cs="Arial" w:eastAsia="Arial" w:hAnsi="Arial"/>
          <w:sz w:val="18"/>
          <w:szCs w:val="18"/>
          <w:color w:val="auto"/>
        </w:rPr>
        <w:t>. The waiver by any party of any provisions of this Agreement shall not operate or be construed as a waiver of any prior or subsequent breach by the other party.</w:t>
      </w:r>
    </w:p>
    <w:p>
      <w:pPr>
        <w:spacing w:after="0" w:line="170" w:lineRule="exact"/>
        <w:rPr>
          <w:rFonts w:ascii="Arial" w:cs="Arial" w:eastAsia="Arial" w:hAnsi="Arial"/>
          <w:sz w:val="18"/>
          <w:szCs w:val="18"/>
          <w:color w:val="auto"/>
        </w:rPr>
      </w:pPr>
    </w:p>
    <w:p>
      <w:pPr>
        <w:ind w:firstLine="656"/>
        <w:spacing w:after="0" w:line="324" w:lineRule="auto"/>
        <w:tabs>
          <w:tab w:leader="none" w:pos="152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 affiliate may deduct from all compensation and benefits payable under this Agreement any taxes or withholdings the Company is required to deduct pursuant to state, federal or local laws.</w:t>
      </w:r>
    </w:p>
    <w:p>
      <w:pPr>
        <w:spacing w:after="0" w:line="170" w:lineRule="exact"/>
        <w:rPr>
          <w:rFonts w:ascii="Arial" w:cs="Arial" w:eastAsia="Arial" w:hAnsi="Arial"/>
          <w:sz w:val="18"/>
          <w:szCs w:val="18"/>
          <w:color w:val="auto"/>
        </w:rPr>
      </w:pPr>
    </w:p>
    <w:p>
      <w:pPr>
        <w:jc w:val="both"/>
        <w:ind w:firstLine="656"/>
        <w:spacing w:after="0" w:line="323" w:lineRule="auto"/>
        <w:tabs>
          <w:tab w:leader="none" w:pos="152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Code Section 409A</w:t>
      </w:r>
      <w:r>
        <w:rPr>
          <w:rFonts w:ascii="Arial" w:cs="Arial" w:eastAsia="Arial" w:hAnsi="Arial"/>
          <w:sz w:val="17"/>
          <w:szCs w:val="17"/>
          <w:color w:val="auto"/>
        </w:rPr>
        <w:t>. To the extent applicable, it is intended that this Agreement and any payment made hereunder shall comply with the requirements of Section 409A of the Code, and any related regulations or other guidance promulgated with respect to such Section by the U.S. Department of the Treasury or the Internal Revenue Service ("Code Section 409A"). Any provision that would cause the Agreement or any payment hereof to fail to satisfy Code Section 409A shall have no force or effect until amended to comply with Code Section 409A, which amendment may be retroactive to the extent permitted by Code Section 409A. In addition, the direct payment or reimbursement of expenses permitted under this Agreement or otherwise shall be made no later than the last day of the Employee's taxable year following the taxable year in which such expense was incurred.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to be effective as of the date first set forth above.</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By: /s/ 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31750</wp:posOffset>
            </wp:positionV>
            <wp:extent cx="2847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31750</wp:posOffset>
            </wp:positionV>
            <wp:extent cx="2847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8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BRENT B. BICKETT</w:t>
      </w:r>
    </w:p>
    <w:p>
      <w:pPr>
        <w:spacing w:after="0" w:line="6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 Brent B. Bickett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31750</wp:posOffset>
            </wp:positionV>
            <wp:extent cx="2847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Fidelity National Financial,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2005 Omnibus Incentive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Shares of FNF Group Common Stock (the “Restricted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311"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October 30, 2017</w:t>
            </w:r>
          </w:p>
        </w:tc>
        <w:tc>
          <w:tcPr>
            <w:tcW w:w="0" w:type="dxa"/>
            <w:vAlign w:val="bottom"/>
          </w:tcPr>
          <w:p>
            <w:pPr>
              <w:spacing w:after="0"/>
              <w:rPr>
                <w:sz w:val="1"/>
                <w:szCs w:val="1"/>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28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c>
          <w:tcPr>
            <w:tcW w:w="0" w:type="dxa"/>
            <w:vAlign w:val="bottom"/>
          </w:tcPr>
          <w:p>
            <w:pPr>
              <w:spacing w:after="0"/>
              <w:rPr>
                <w:sz w:val="1"/>
                <w:szCs w:val="1"/>
                <w:color w:val="auto"/>
              </w:rPr>
            </w:pP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c>
          <w:tcPr>
            <w:tcW w:w="0" w:type="dxa"/>
            <w:vAlign w:val="bottom"/>
          </w:tcPr>
          <w:p>
            <w:pPr>
              <w:spacing w:after="0"/>
              <w:rPr>
                <w:sz w:val="1"/>
                <w:szCs w:val="1"/>
                <w:color w:val="auto"/>
              </w:rPr>
            </w:pP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c>
          <w:tcPr>
            <w:tcW w:w="0" w:type="dxa"/>
            <w:vAlign w:val="bottom"/>
          </w:tcPr>
          <w:p>
            <w:pPr>
              <w:spacing w:after="0"/>
              <w:rPr>
                <w:sz w:val="1"/>
                <w:szCs w:val="1"/>
                <w:color w:val="auto"/>
              </w:rPr>
            </w:pP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Award Agreement, with respect to one third of the shares on each anniversary of</w:t>
            </w:r>
          </w:p>
        </w:tc>
        <w:tc>
          <w:tcPr>
            <w:tcW w:w="0" w:type="dxa"/>
            <w:vAlign w:val="bottom"/>
          </w:tcPr>
          <w:p>
            <w:pPr>
              <w:spacing w:after="0"/>
              <w:rPr>
                <w:sz w:val="1"/>
                <w:szCs w:val="1"/>
                <w:color w:val="auto"/>
              </w:rPr>
            </w:pP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Effective Date of Grant and satisfaction of the Performance Restriction as set</w:t>
            </w:r>
          </w:p>
        </w:tc>
        <w:tc>
          <w:tcPr>
            <w:tcW w:w="0" w:type="dxa"/>
            <w:vAlign w:val="bottom"/>
          </w:tcPr>
          <w:p>
            <w:pPr>
              <w:spacing w:after="0"/>
              <w:rPr>
                <w:sz w:val="1"/>
                <w:szCs w:val="1"/>
                <w:color w:val="auto"/>
              </w:rPr>
            </w:pPr>
          </w:p>
        </w:tc>
      </w:tr>
      <w:tr>
        <w:trPr>
          <w:trHeight w:val="230"/>
        </w:trPr>
        <w:tc>
          <w:tcPr>
            <w:tcW w:w="52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forth on Exhibit A of the Restricted Stock Award Agreement, attached hereto.</w:t>
            </w:r>
          </w:p>
        </w:tc>
        <w:tc>
          <w:tcPr>
            <w:tcW w:w="0" w:type="dxa"/>
            <w:vAlign w:val="bottom"/>
          </w:tcPr>
          <w:p>
            <w:pPr>
              <w:spacing w:after="0"/>
              <w:rPr>
                <w:sz w:val="1"/>
                <w:szCs w:val="1"/>
                <w:color w:val="auto"/>
              </w:rPr>
            </w:pPr>
          </w:p>
        </w:tc>
      </w:tr>
      <w:tr>
        <w:trPr>
          <w:trHeight w:val="216"/>
        </w:trPr>
        <w:tc>
          <w:tcPr>
            <w:tcW w:w="5280" w:type="dxa"/>
            <w:vAlign w:val="bottom"/>
            <w:tcBorders>
              <w:left w:val="single" w:sz="8" w:color="auto"/>
              <w:right w:val="single" w:sz="8" w:color="auto"/>
            </w:tcBorders>
            <w:vMerge w:val="continue"/>
          </w:tcPr>
          <w:p>
            <w:pPr>
              <w:spacing w:after="0"/>
              <w:rPr>
                <w:sz w:val="18"/>
                <w:szCs w:val="18"/>
                <w:color w:val="auto"/>
              </w:rPr>
            </w:pPr>
          </w:p>
        </w:tc>
        <w:tc>
          <w:tcPr>
            <w:tcW w:w="5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420"/>
          </w:cols>
          <w:pgMar w:left="240" w:top="796"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Fidelity National Financial,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2005 Omnibus Incentive Plan</w:t>
      </w:r>
    </w:p>
    <w:p>
      <w:pPr>
        <w:spacing w:after="0" w:line="236"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Restricted Stock Award Agreement</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9"/>
          <w:szCs w:val="19"/>
          <w:b w:val="1"/>
          <w:bCs w:val="1"/>
          <w:color w:val="auto"/>
        </w:rPr>
        <w:t>GRANT OF RESTRICTED STOCK</w:t>
      </w:r>
    </w:p>
    <w:p>
      <w:pPr>
        <w:spacing w:after="0" w:line="261" w:lineRule="exact"/>
        <w:rPr>
          <w:sz w:val="20"/>
          <w:szCs w:val="20"/>
          <w:color w:val="auto"/>
        </w:rPr>
      </w:pPr>
    </w:p>
    <w:p>
      <w:pPr>
        <w:jc w:val="both"/>
        <w:ind w:firstLine="8"/>
        <w:spacing w:after="0" w:line="313" w:lineRule="auto"/>
        <w:tabs>
          <w:tab w:leader="none" w:pos="893"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and this Restricted Stock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grants to the Grantee on the Effective Date of Grant the Shares of Restricted Stock (the “Restricted Stock”) set forth in the Notice of Restricted Stock Grant.</w:t>
      </w:r>
    </w:p>
    <w:p>
      <w:pPr>
        <w:spacing w:after="0" w:line="176" w:lineRule="exact"/>
        <w:rPr>
          <w:rFonts w:ascii="Arial" w:cs="Arial" w:eastAsia="Arial" w:hAnsi="Arial"/>
          <w:sz w:val="18"/>
          <w:szCs w:val="18"/>
          <w:color w:val="auto"/>
        </w:rPr>
      </w:pPr>
    </w:p>
    <w:p>
      <w:pPr>
        <w:jc w:val="both"/>
        <w:ind w:firstLine="8"/>
        <w:spacing w:after="0" w:line="308" w:lineRule="auto"/>
        <w:tabs>
          <w:tab w:leader="none" w:pos="903"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48"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9"/>
          <w:szCs w:val="19"/>
          <w:b w:val="1"/>
          <w:bCs w:val="1"/>
          <w:color w:val="auto"/>
        </w:rPr>
        <w:t>FORFEITURE AND TRANSFER RESTRICTIONS</w:t>
      </w:r>
    </w:p>
    <w:p>
      <w:pPr>
        <w:spacing w:after="0" w:line="261" w:lineRule="exact"/>
        <w:rPr>
          <w:sz w:val="20"/>
          <w:szCs w:val="20"/>
          <w:color w:val="auto"/>
        </w:rPr>
      </w:pPr>
    </w:p>
    <w:p>
      <w:pPr>
        <w:ind w:right="20" w:firstLine="8"/>
        <w:spacing w:after="0" w:line="329" w:lineRule="auto"/>
        <w:tabs>
          <w:tab w:leader="none" w:pos="933"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65" w:lineRule="exact"/>
        <w:rPr>
          <w:rFonts w:ascii="Arial" w:cs="Arial" w:eastAsia="Arial" w:hAnsi="Arial"/>
          <w:sz w:val="18"/>
          <w:szCs w:val="18"/>
          <w:color w:val="auto"/>
        </w:rPr>
      </w:pPr>
    </w:p>
    <w:p>
      <w:pPr>
        <w:jc w:val="both"/>
        <w:ind w:firstLine="656"/>
        <w:spacing w:after="0" w:line="311" w:lineRule="auto"/>
        <w:tabs>
          <w:tab w:leader="none" w:pos="1466"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81" w:lineRule="exact"/>
        <w:rPr>
          <w:rFonts w:ascii="Arial" w:cs="Arial" w:eastAsia="Arial" w:hAnsi="Arial"/>
          <w:sz w:val="18"/>
          <w:szCs w:val="18"/>
          <w:color w:val="auto"/>
        </w:rPr>
      </w:pPr>
    </w:p>
    <w:p>
      <w:pPr>
        <w:jc w:val="both"/>
        <w:ind w:firstLine="656"/>
        <w:spacing w:after="0" w:line="329" w:lineRule="auto"/>
        <w:tabs>
          <w:tab w:leader="none" w:pos="1516" w:val="left"/>
        </w:tabs>
        <w:numPr>
          <w:ilvl w:val="1"/>
          <w:numId w:val="64"/>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14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x B) - C, where</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firstLine="656"/>
        <w:spacing w:after="0" w:line="354" w:lineRule="auto"/>
        <w:tabs>
          <w:tab w:leader="none" w:pos="1566"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56" w:lineRule="exact"/>
        <w:rPr>
          <w:rFonts w:ascii="Arial" w:cs="Arial" w:eastAsia="Arial" w:hAnsi="Arial"/>
          <w:sz w:val="16"/>
          <w:szCs w:val="16"/>
          <w:color w:val="auto"/>
        </w:rPr>
      </w:pPr>
    </w:p>
    <w:p>
      <w:pPr>
        <w:ind w:firstLine="656"/>
        <w:spacing w:after="0" w:line="324" w:lineRule="auto"/>
        <w:tabs>
          <w:tab w:leader="none" w:pos="1556"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66" w:lineRule="exact"/>
        <w:rPr>
          <w:rFonts w:ascii="Arial" w:cs="Arial" w:eastAsia="Arial" w:hAnsi="Arial"/>
          <w:sz w:val="18"/>
          <w:szCs w:val="18"/>
          <w:color w:val="auto"/>
        </w:rPr>
      </w:pPr>
    </w:p>
    <w:p>
      <w:pPr>
        <w:ind w:firstLine="8"/>
        <w:spacing w:after="0" w:line="329" w:lineRule="auto"/>
        <w:tabs>
          <w:tab w:leader="none" w:pos="916"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sectPr>
          <w:pgSz w:w="11900" w:h="16838" w:orient="portrait"/>
          <w:cols w:equalWidth="0" w:num="1">
            <w:col w:w="11420"/>
          </w:cols>
          <w:pgMar w:left="240" w:top="585" w:right="239" w:bottom="1440" w:gutter="0" w:footer="0" w:header="0"/>
        </w:sectPr>
      </w:pPr>
    </w:p>
    <w:bookmarkStart w:id="118" w:name="page119"/>
    <w:bookmarkEnd w:id="118"/>
    <w:p>
      <w:pPr>
        <w:jc w:val="both"/>
        <w:ind w:firstLine="8"/>
        <w:spacing w:after="0" w:line="320" w:lineRule="auto"/>
        <w:tabs>
          <w:tab w:leader="none" w:pos="906"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If and when (i) the Grantee is an Officer (as defined in Rule 16a-1(f) of the Exchange Act) or holds the title of President -</w:t>
      </w:r>
      <w:r>
        <w:rPr>
          <w:rFonts w:ascii="Arial" w:cs="Arial" w:eastAsia="Arial" w:hAnsi="Arial"/>
          <w:sz w:val="17"/>
          <w:szCs w:val="17"/>
          <w:b w:val="1"/>
          <w:bCs w:val="1"/>
          <w:color w:val="auto"/>
        </w:rPr>
        <w:t xml:space="preserve"> </w:t>
      </w:r>
      <w:r>
        <w:rPr>
          <w:rFonts w:ascii="Arial" w:cs="Arial" w:eastAsia="Arial" w:hAnsi="Arial"/>
          <w:sz w:val="17"/>
          <w:szCs w:val="17"/>
          <w:color w:val="auto"/>
        </w:rPr>
        <w:t>Agency Operations, and (ii) Grantee does not hold Shares of FNF Group Common Stock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of FNF Group Common Stock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of FNF Group Common Stock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75" w:lineRule="exact"/>
        <w:rPr>
          <w:rFonts w:ascii="Arial" w:cs="Arial" w:eastAsia="Arial" w:hAnsi="Arial"/>
          <w:sz w:val="17"/>
          <w:szCs w:val="17"/>
          <w:color w:val="auto"/>
        </w:rPr>
      </w:pPr>
    </w:p>
    <w:p>
      <w:pPr>
        <w:jc w:val="both"/>
        <w:ind w:firstLine="8"/>
        <w:spacing w:after="0" w:line="303" w:lineRule="auto"/>
        <w:tabs>
          <w:tab w:leader="none" w:pos="903"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of Restricted Stock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5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9"/>
          <w:szCs w:val="19"/>
          <w:b w:val="1"/>
          <w:bCs w:val="1"/>
          <w:color w:val="auto"/>
        </w:rPr>
        <w:t>STOCK CERTIFICATES</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20"/>
          <w:szCs w:val="20"/>
          <w:b w:val="1"/>
          <w:bCs w:val="1"/>
          <w:color w:val="auto"/>
        </w:rPr>
        <w:t>SHAREHOLDER RIGHTS</w:t>
      </w:r>
    </w:p>
    <w:p>
      <w:pPr>
        <w:spacing w:after="0" w:line="2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20"/>
          <w:szCs w:val="20"/>
          <w:b w:val="1"/>
          <w:bCs w:val="1"/>
          <w:color w:val="auto"/>
        </w:rPr>
        <w:t>DIVIDENDS</w:t>
      </w:r>
    </w:p>
    <w:p>
      <w:pPr>
        <w:spacing w:after="0" w:line="249" w:lineRule="exact"/>
        <w:rPr>
          <w:sz w:val="20"/>
          <w:szCs w:val="20"/>
          <w:color w:val="auto"/>
        </w:rPr>
      </w:pPr>
    </w:p>
    <w:p>
      <w:pPr>
        <w:ind w:right="20" w:firstLine="8"/>
        <w:spacing w:after="0" w:line="289" w:lineRule="auto"/>
        <w:tabs>
          <w:tab w:leader="none" w:pos="893" w:val="left"/>
        </w:tabs>
        <w:numPr>
          <w:ilvl w:val="0"/>
          <w:numId w:val="68"/>
        </w:numPr>
        <w:rPr>
          <w:rFonts w:ascii="Arial" w:cs="Arial" w:eastAsia="Arial" w:hAnsi="Arial"/>
          <w:sz w:val="18"/>
          <w:szCs w:val="18"/>
          <w:color w:val="auto"/>
        </w:rPr>
      </w:pPr>
      <w:r>
        <w:rPr>
          <w:rFonts w:ascii="Arial" w:cs="Arial" w:eastAsia="Arial" w:hAnsi="Arial"/>
          <w:sz w:val="20"/>
          <w:szCs w:val="20"/>
          <w:color w:val="auto"/>
        </w:rPr>
        <w:t>Any dividends paid with respect to Shares which remain subject to a Period of Restriction shall not be paid to the Grantee but shall be held by the Company.</w:t>
      </w:r>
    </w:p>
    <w:p>
      <w:pPr>
        <w:spacing w:after="0" w:line="188" w:lineRule="exact"/>
        <w:rPr>
          <w:rFonts w:ascii="Arial" w:cs="Arial" w:eastAsia="Arial" w:hAnsi="Arial"/>
          <w:sz w:val="18"/>
          <w:szCs w:val="18"/>
          <w:color w:val="auto"/>
        </w:rPr>
      </w:pPr>
    </w:p>
    <w:p>
      <w:pPr>
        <w:ind w:left="920" w:hanging="912"/>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20"/>
          <w:szCs w:val="20"/>
          <w:color w:val="auto"/>
        </w:rPr>
        <w:t>Such held dividends shall be subject to the same Period of Restriction as the Shares to which they relate.</w:t>
      </w:r>
    </w:p>
    <w:p>
      <w:pPr>
        <w:spacing w:after="0" w:line="256" w:lineRule="exact"/>
        <w:rPr>
          <w:rFonts w:ascii="Arial" w:cs="Arial" w:eastAsia="Arial" w:hAnsi="Arial"/>
          <w:sz w:val="18"/>
          <w:szCs w:val="18"/>
          <w:color w:val="auto"/>
        </w:rPr>
      </w:pPr>
    </w:p>
    <w:p>
      <w:pPr>
        <w:ind w:right="20" w:firstLine="8"/>
        <w:spacing w:after="0" w:line="289" w:lineRule="auto"/>
        <w:tabs>
          <w:tab w:leader="none" w:pos="893" w:val="left"/>
        </w:tabs>
        <w:numPr>
          <w:ilvl w:val="0"/>
          <w:numId w:val="68"/>
        </w:numPr>
        <w:rPr>
          <w:rFonts w:ascii="Arial" w:cs="Arial" w:eastAsia="Arial" w:hAnsi="Arial"/>
          <w:sz w:val="18"/>
          <w:szCs w:val="18"/>
          <w:color w:val="auto"/>
        </w:rPr>
      </w:pPr>
      <w:r>
        <w:rPr>
          <w:rFonts w:ascii="Arial" w:cs="Arial" w:eastAsia="Arial" w:hAnsi="Arial"/>
          <w:sz w:val="20"/>
          <w:szCs w:val="20"/>
          <w:color w:val="auto"/>
        </w:rPr>
        <w:t>Any dividends held pursuant to this Section 5 which are attributable to Shares which vest pursuant to this Agreement shall be paid to the Grantee within 30 days of the applicable vesting date.</w:t>
      </w:r>
    </w:p>
    <w:p>
      <w:pPr>
        <w:spacing w:after="0" w:line="188" w:lineRule="exact"/>
        <w:rPr>
          <w:rFonts w:ascii="Arial" w:cs="Arial" w:eastAsia="Arial" w:hAnsi="Arial"/>
          <w:sz w:val="18"/>
          <w:szCs w:val="18"/>
          <w:color w:val="auto"/>
        </w:rPr>
      </w:pPr>
    </w:p>
    <w:p>
      <w:pPr>
        <w:ind w:firstLine="8"/>
        <w:spacing w:after="0" w:line="289" w:lineRule="auto"/>
        <w:tabs>
          <w:tab w:leader="none" w:pos="916" w:val="left"/>
        </w:tabs>
        <w:numPr>
          <w:ilvl w:val="0"/>
          <w:numId w:val="68"/>
        </w:numPr>
        <w:rPr>
          <w:rFonts w:ascii="Arial" w:cs="Arial" w:eastAsia="Arial" w:hAnsi="Arial"/>
          <w:sz w:val="18"/>
          <w:szCs w:val="18"/>
          <w:color w:val="auto"/>
        </w:rPr>
      </w:pPr>
      <w:r>
        <w:rPr>
          <w:rFonts w:ascii="Arial" w:cs="Arial" w:eastAsia="Arial" w:hAnsi="Arial"/>
          <w:sz w:val="20"/>
          <w:szCs w:val="20"/>
          <w:color w:val="auto"/>
        </w:rPr>
        <w:t>Dividends attributable to Shares forfeited pursuant to Section 2 of this Agreement shall be forfeited to the Company on the date such Shares are forfeited.</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Section 6.</w:t>
      </w:r>
      <w:r>
        <w:rPr>
          <w:sz w:val="20"/>
          <w:szCs w:val="20"/>
          <w:color w:val="auto"/>
        </w:rPr>
        <w:tab/>
      </w:r>
      <w:r>
        <w:rPr>
          <w:rFonts w:ascii="Arial" w:cs="Arial" w:eastAsia="Arial" w:hAnsi="Arial"/>
          <w:sz w:val="19"/>
          <w:szCs w:val="19"/>
          <w:b w:val="1"/>
          <w:bCs w:val="1"/>
          <w:color w:val="auto"/>
        </w:rPr>
        <w:t>MISCELLANEOUS PROVISIONS</w:t>
      </w:r>
    </w:p>
    <w:p>
      <w:pPr>
        <w:spacing w:after="0" w:line="261" w:lineRule="exact"/>
        <w:rPr>
          <w:sz w:val="20"/>
          <w:szCs w:val="20"/>
          <w:color w:val="auto"/>
        </w:rPr>
      </w:pPr>
    </w:p>
    <w:p>
      <w:pPr>
        <w:jc w:val="both"/>
        <w:ind w:firstLine="8"/>
        <w:spacing w:after="0" w:line="313" w:lineRule="auto"/>
        <w:tabs>
          <w:tab w:leader="none" w:pos="89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Pursuant to Article 20 of the Plan, the Committee shall have the power and right to deduct or withhold, or require the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to remit to the Company, an amount sufficient to satisfy any federal, state and local taxes (including the Grantee’s FICA obligations) required by law to be withheld with respect to this Award. The Committee may condition the delivery</w:t>
      </w:r>
    </w:p>
    <w:p>
      <w:pPr>
        <w:sectPr>
          <w:pgSz w:w="11900" w:h="16838" w:orient="portrait"/>
          <w:cols w:equalWidth="0" w:num="1">
            <w:col w:w="11420"/>
          </w:cols>
          <w:pgMar w:left="240" w:top="607" w:right="239" w:bottom="1440" w:gutter="0" w:footer="0" w:header="0"/>
        </w:sectPr>
      </w:pPr>
    </w:p>
    <w:bookmarkStart w:id="119" w:name="page120"/>
    <w:bookmarkEnd w:id="119"/>
    <w:p>
      <w:pPr>
        <w:jc w:val="both"/>
        <w:spacing w:after="0" w:line="302" w:lineRule="auto"/>
        <w:rPr>
          <w:sz w:val="20"/>
          <w:szCs w:val="20"/>
          <w:color w:val="auto"/>
        </w:rPr>
      </w:pPr>
      <w:r>
        <w:rPr>
          <w:rFonts w:ascii="Arial" w:cs="Arial" w:eastAsia="Arial" w:hAnsi="Arial"/>
          <w:sz w:val="18"/>
          <w:szCs w:val="18"/>
          <w:color w:val="auto"/>
        </w:rPr>
        <w:t>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89" w:lineRule="exact"/>
        <w:rPr>
          <w:sz w:val="20"/>
          <w:szCs w:val="20"/>
          <w:color w:val="auto"/>
        </w:rPr>
      </w:pPr>
    </w:p>
    <w:p>
      <w:pPr>
        <w:jc w:val="both"/>
        <w:ind w:firstLine="8"/>
        <w:spacing w:after="0" w:line="313" w:lineRule="auto"/>
        <w:tabs>
          <w:tab w:leader="none" w:pos="90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of Restricted Stock Grant by the Company, the Board or the Committee.</w:t>
      </w:r>
    </w:p>
    <w:p>
      <w:pPr>
        <w:spacing w:after="0" w:line="176" w:lineRule="exact"/>
        <w:rPr>
          <w:rFonts w:ascii="Arial" w:cs="Arial" w:eastAsia="Arial" w:hAnsi="Arial"/>
          <w:sz w:val="18"/>
          <w:szCs w:val="18"/>
          <w:color w:val="auto"/>
        </w:rPr>
      </w:pPr>
    </w:p>
    <w:p>
      <w:pPr>
        <w:jc w:val="both"/>
        <w:ind w:firstLine="8"/>
        <w:spacing w:after="0" w:line="338" w:lineRule="auto"/>
        <w:tabs>
          <w:tab w:leader="none" w:pos="906"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60" w:lineRule="exact"/>
        <w:rPr>
          <w:rFonts w:ascii="Arial" w:cs="Arial" w:eastAsia="Arial" w:hAnsi="Arial"/>
          <w:sz w:val="17"/>
          <w:szCs w:val="17"/>
          <w:color w:val="auto"/>
        </w:rPr>
      </w:pPr>
    </w:p>
    <w:p>
      <w:pPr>
        <w:jc w:val="both"/>
        <w:ind w:firstLine="8"/>
        <w:spacing w:after="0" w:line="313" w:lineRule="auto"/>
        <w:tabs>
          <w:tab w:leader="none" w:pos="90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76" w:lineRule="exact"/>
        <w:rPr>
          <w:rFonts w:ascii="Arial" w:cs="Arial" w:eastAsia="Arial" w:hAnsi="Arial"/>
          <w:sz w:val="18"/>
          <w:szCs w:val="18"/>
          <w:color w:val="auto"/>
        </w:rPr>
      </w:pPr>
    </w:p>
    <w:p>
      <w:pPr>
        <w:jc w:val="both"/>
        <w:ind w:firstLine="8"/>
        <w:spacing w:after="0" w:line="351" w:lineRule="auto"/>
        <w:tabs>
          <w:tab w:leader="none" w:pos="893"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Subject to, and in accordance with the provisions of Article 3 of the Plan, any dispute or claim arising out of or relating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153" w:lineRule="exact"/>
        <w:rPr>
          <w:rFonts w:ascii="Arial" w:cs="Arial" w:eastAsia="Arial" w:hAnsi="Arial"/>
          <w:sz w:val="16"/>
          <w:szCs w:val="16"/>
          <w:color w:val="auto"/>
        </w:rPr>
      </w:pPr>
    </w:p>
    <w:p>
      <w:pPr>
        <w:ind w:firstLine="8"/>
        <w:spacing w:after="0" w:line="329" w:lineRule="auto"/>
        <w:tabs>
          <w:tab w:leader="none" w:pos="873"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spacing w:after="0" w:line="161" w:lineRule="exact"/>
        <w:rPr>
          <w:rFonts w:ascii="Arial" w:cs="Arial" w:eastAsia="Arial" w:hAnsi="Arial"/>
          <w:sz w:val="18"/>
          <w:szCs w:val="18"/>
          <w:color w:val="auto"/>
        </w:rPr>
      </w:pPr>
    </w:p>
    <w:p>
      <w:pPr>
        <w:jc w:val="both"/>
        <w:ind w:firstLine="8"/>
        <w:spacing w:after="0" w:line="313" w:lineRule="auto"/>
        <w:tabs>
          <w:tab w:leader="none" w:pos="916"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left="920" w:hanging="912"/>
        <w:spacing w:after="0"/>
        <w:tabs>
          <w:tab w:leader="none" w:pos="9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265" w:lineRule="exact"/>
        <w:rPr>
          <w:rFonts w:ascii="Arial" w:cs="Arial" w:eastAsia="Arial" w:hAnsi="Arial"/>
          <w:sz w:val="18"/>
          <w:szCs w:val="18"/>
          <w:color w:val="auto"/>
        </w:rPr>
      </w:pPr>
    </w:p>
    <w:p>
      <w:pPr>
        <w:jc w:val="both"/>
        <w:ind w:firstLine="8"/>
        <w:spacing w:after="0" w:line="313" w:lineRule="auto"/>
        <w:tabs>
          <w:tab w:leader="none" w:pos="877"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61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EXHIBIT 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Vesting and Restrictions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Restriction</w:t>
      </w:r>
    </w:p>
    <w:p>
      <w:pPr>
        <w:spacing w:after="0" w:line="2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the Restricted Stock to vest, the Compensation Committee of the Board of Directors of the Company (the “Committee”) must determine that the Company has achieved 8.5% or greater Title Operating Margin (as defined below) in at least two calendar quarters of any of the next five calendar quarters starting October 1, 2017 (the “Performance Restriction”). The five calendar quarters starting October 1, 2017 and ending December 31, 2018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159" w:lineRule="exact"/>
        <w:rPr>
          <w:sz w:val="20"/>
          <w:szCs w:val="20"/>
          <w:color w:val="auto"/>
        </w:rPr>
      </w:pPr>
    </w:p>
    <w:tbl>
      <w:tblPr>
        <w:tblLayout w:type="fixed"/>
        <w:tblInd w:w="230" w:type="dxa"/>
        <w:tblCellMar>
          <w:top w:w="0" w:type="dxa"/>
          <w:left w:w="0" w:type="dxa"/>
          <w:bottom w:w="0" w:type="dxa"/>
          <w:right w:w="0" w:type="dxa"/>
        </w:tblCellMar>
      </w:tblPr>
      <w:tr>
        <w:trPr>
          <w:trHeight w:val="256"/>
        </w:trPr>
        <w:tc>
          <w:tcPr>
            <w:tcW w:w="4240" w:type="dxa"/>
            <w:vAlign w:val="bottom"/>
          </w:tcPr>
          <w:p>
            <w:pPr>
              <w:spacing w:after="0"/>
              <w:rPr>
                <w:sz w:val="22"/>
                <w:szCs w:val="22"/>
                <w:color w:val="auto"/>
              </w:rPr>
            </w:pPr>
          </w:p>
        </w:tc>
        <w:tc>
          <w:tcPr>
            <w:tcW w:w="6800" w:type="dxa"/>
            <w:vAlign w:val="bottom"/>
            <w:gridSpan w:val="2"/>
          </w:tcPr>
          <w:p>
            <w:pPr>
              <w:jc w:val="right"/>
              <w:ind w:right="4428"/>
              <w:spacing w:after="0"/>
              <w:rPr>
                <w:sz w:val="20"/>
                <w:szCs w:val="20"/>
                <w:color w:val="auto"/>
              </w:rPr>
            </w:pPr>
            <w:r>
              <w:rPr>
                <w:rFonts w:ascii="Arial" w:cs="Arial" w:eastAsia="Arial" w:hAnsi="Arial"/>
                <w:sz w:val="20"/>
                <w:szCs w:val="20"/>
                <w:b w:val="1"/>
                <w:bCs w:val="1"/>
                <w:color w:val="auto"/>
                <w:w w:val="96"/>
              </w:rPr>
              <w:t>Time-Based Restrictions</w:t>
            </w:r>
          </w:p>
        </w:tc>
      </w:tr>
      <w:tr>
        <w:trPr>
          <w:trHeight w:val="347"/>
        </w:trPr>
        <w:tc>
          <w:tcPr>
            <w:tcW w:w="4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54"/>
        </w:trPr>
        <w:tc>
          <w:tcPr>
            <w:tcW w:w="4240" w:type="dxa"/>
            <w:vAlign w:val="bottom"/>
            <w:tcBorders>
              <w:left w:val="single" w:sz="8" w:color="auto"/>
            </w:tcBorders>
          </w:tcPr>
          <w:p>
            <w:pPr>
              <w:ind w:left="2160"/>
              <w:spacing w:after="0"/>
              <w:rPr>
                <w:sz w:val="20"/>
                <w:szCs w:val="20"/>
                <w:color w:val="auto"/>
              </w:rPr>
            </w:pPr>
            <w:r>
              <w:rPr>
                <w:rFonts w:ascii="Arial" w:cs="Arial" w:eastAsia="Arial" w:hAnsi="Arial"/>
                <w:sz w:val="20"/>
                <w:szCs w:val="20"/>
                <w:b w:val="1"/>
                <w:bCs w:val="1"/>
                <w:color w:val="auto"/>
              </w:rPr>
              <w:t>Anniversary Date</w:t>
            </w:r>
          </w:p>
        </w:tc>
        <w:tc>
          <w:tcPr>
            <w:tcW w:w="1620" w:type="dxa"/>
            <w:vAlign w:val="bottom"/>
            <w:tcBorders>
              <w:right w:val="single" w:sz="8" w:color="auto"/>
            </w:tcBorders>
          </w:tcPr>
          <w:p>
            <w:pPr>
              <w:spacing w:after="0"/>
              <w:rPr>
                <w:sz w:val="22"/>
                <w:szCs w:val="22"/>
                <w:color w:val="auto"/>
              </w:rPr>
            </w:pPr>
          </w:p>
        </w:tc>
        <w:tc>
          <w:tcPr>
            <w:tcW w:w="5180" w:type="dxa"/>
            <w:vAlign w:val="bottom"/>
            <w:tcBorders>
              <w:right w:val="single" w:sz="8" w:color="auto"/>
            </w:tcBorders>
          </w:tcPr>
          <w:p>
            <w:pPr>
              <w:jc w:val="right"/>
              <w:ind w:right="1588"/>
              <w:spacing w:after="0"/>
              <w:rPr>
                <w:sz w:val="20"/>
                <w:szCs w:val="20"/>
                <w:color w:val="auto"/>
              </w:rPr>
            </w:pPr>
            <w:r>
              <w:rPr>
                <w:rFonts w:ascii="Arial" w:cs="Arial" w:eastAsia="Arial" w:hAnsi="Arial"/>
                <w:sz w:val="20"/>
                <w:szCs w:val="20"/>
                <w:b w:val="1"/>
                <w:bCs w:val="1"/>
                <w:color w:val="auto"/>
              </w:rPr>
              <w:t>% of Restricted Stock</w:t>
            </w:r>
          </w:p>
        </w:tc>
      </w:tr>
      <w:tr>
        <w:trPr>
          <w:trHeight w:val="23"/>
        </w:trPr>
        <w:tc>
          <w:tcPr>
            <w:tcW w:w="4240" w:type="dxa"/>
            <w:vAlign w:val="bottom"/>
            <w:tcBorders>
              <w:left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64"/>
        </w:trPr>
        <w:tc>
          <w:tcPr>
            <w:tcW w:w="424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First (1</w:t>
            </w:r>
            <w:r>
              <w:rPr>
                <w:rFonts w:ascii="Arial" w:cs="Arial" w:eastAsia="Arial" w:hAnsi="Arial"/>
                <w:sz w:val="25"/>
                <w:szCs w:val="25"/>
                <w:color w:val="auto"/>
                <w:vertAlign w:val="superscript"/>
              </w:rPr>
              <w:t>st</w:t>
            </w:r>
            <w:r>
              <w:rPr>
                <w:rFonts w:ascii="Arial" w:cs="Arial" w:eastAsia="Arial" w:hAnsi="Arial"/>
                <w:sz w:val="18"/>
                <w:szCs w:val="18"/>
                <w:color w:val="auto"/>
              </w:rPr>
              <w:t>) anniversary of the Effective Date of Grant</w:t>
            </w:r>
          </w:p>
        </w:tc>
        <w:tc>
          <w:tcPr>
            <w:tcW w:w="162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28"/>
              <w:spacing w:after="0"/>
              <w:rPr>
                <w:sz w:val="20"/>
                <w:szCs w:val="20"/>
                <w:color w:val="auto"/>
              </w:rPr>
            </w:pPr>
            <w:r>
              <w:rPr>
                <w:rFonts w:ascii="Arial" w:cs="Arial" w:eastAsia="Arial" w:hAnsi="Arial"/>
                <w:sz w:val="18"/>
                <w:szCs w:val="18"/>
                <w:color w:val="auto"/>
                <w:w w:val="88"/>
              </w:rPr>
              <w:t>33.33%</w:t>
            </w:r>
          </w:p>
        </w:tc>
      </w:tr>
      <w:tr>
        <w:trPr>
          <w:trHeight w:val="264"/>
        </w:trPr>
        <w:tc>
          <w:tcPr>
            <w:tcW w:w="424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w w:val="95"/>
              </w:rPr>
              <w:t>Second (2</w:t>
            </w:r>
            <w:r>
              <w:rPr>
                <w:rFonts w:ascii="Arial" w:cs="Arial" w:eastAsia="Arial" w:hAnsi="Arial"/>
                <w:sz w:val="25"/>
                <w:szCs w:val="25"/>
                <w:color w:val="auto"/>
                <w:w w:val="95"/>
                <w:vertAlign w:val="superscript"/>
              </w:rPr>
              <w:t>nd</w:t>
            </w:r>
            <w:r>
              <w:rPr>
                <w:rFonts w:ascii="Arial" w:cs="Arial" w:eastAsia="Arial" w:hAnsi="Arial"/>
                <w:sz w:val="18"/>
                <w:szCs w:val="18"/>
                <w:color w:val="auto"/>
                <w:w w:val="95"/>
              </w:rPr>
              <w:t>) anniversary of the Effective Date of Grant</w:t>
            </w:r>
          </w:p>
        </w:tc>
        <w:tc>
          <w:tcPr>
            <w:tcW w:w="162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28"/>
              <w:spacing w:after="0"/>
              <w:rPr>
                <w:sz w:val="20"/>
                <w:szCs w:val="20"/>
                <w:color w:val="auto"/>
              </w:rPr>
            </w:pPr>
            <w:r>
              <w:rPr>
                <w:rFonts w:ascii="Arial" w:cs="Arial" w:eastAsia="Arial" w:hAnsi="Arial"/>
                <w:sz w:val="18"/>
                <w:szCs w:val="18"/>
                <w:color w:val="auto"/>
                <w:w w:val="88"/>
              </w:rPr>
              <w:t>33.33%</w:t>
            </w:r>
          </w:p>
        </w:tc>
      </w:tr>
      <w:tr>
        <w:trPr>
          <w:trHeight w:val="264"/>
        </w:trPr>
        <w:tc>
          <w:tcPr>
            <w:tcW w:w="4240" w:type="dxa"/>
            <w:vAlign w:val="bottom"/>
            <w:tcBorders>
              <w:left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Third (3</w:t>
            </w:r>
            <w:r>
              <w:rPr>
                <w:rFonts w:ascii="Arial" w:cs="Arial" w:eastAsia="Arial" w:hAnsi="Arial"/>
                <w:sz w:val="25"/>
                <w:szCs w:val="25"/>
                <w:color w:val="auto"/>
                <w:vertAlign w:val="superscript"/>
              </w:rPr>
              <w:t>rd</w:t>
            </w:r>
            <w:r>
              <w:rPr>
                <w:rFonts w:ascii="Arial" w:cs="Arial" w:eastAsia="Arial" w:hAnsi="Arial"/>
                <w:sz w:val="18"/>
                <w:szCs w:val="18"/>
                <w:color w:val="auto"/>
              </w:rPr>
              <w:t>) anniversary of the Effective Date of Grant</w:t>
            </w:r>
          </w:p>
        </w:tc>
        <w:tc>
          <w:tcPr>
            <w:tcW w:w="1620" w:type="dxa"/>
            <w:vAlign w:val="bottom"/>
            <w:tcBorders>
              <w:bottom w:val="single" w:sz="8" w:color="auto"/>
              <w:right w:val="single" w:sz="8" w:color="auto"/>
            </w:tcBorders>
          </w:tcPr>
          <w:p>
            <w:pPr>
              <w:spacing w:after="0"/>
              <w:rPr>
                <w:sz w:val="22"/>
                <w:szCs w:val="22"/>
                <w:color w:val="auto"/>
              </w:rPr>
            </w:pPr>
          </w:p>
        </w:tc>
        <w:tc>
          <w:tcPr>
            <w:tcW w:w="5180" w:type="dxa"/>
            <w:vAlign w:val="bottom"/>
            <w:tcBorders>
              <w:bottom w:val="single" w:sz="8" w:color="auto"/>
              <w:right w:val="single" w:sz="8" w:color="auto"/>
            </w:tcBorders>
          </w:tcPr>
          <w:p>
            <w:pPr>
              <w:jc w:val="right"/>
              <w:ind w:right="4528"/>
              <w:spacing w:after="0"/>
              <w:rPr>
                <w:sz w:val="20"/>
                <w:szCs w:val="20"/>
                <w:color w:val="auto"/>
              </w:rPr>
            </w:pPr>
            <w:r>
              <w:rPr>
                <w:rFonts w:ascii="Arial" w:cs="Arial" w:eastAsia="Arial" w:hAnsi="Arial"/>
                <w:sz w:val="18"/>
                <w:szCs w:val="18"/>
                <w:color w:val="auto"/>
                <w:w w:val="88"/>
              </w:rPr>
              <w:t>33.34%</w:t>
            </w:r>
          </w:p>
        </w:tc>
      </w:tr>
      <w:tr>
        <w:trPr>
          <w:trHeight w:val="443"/>
        </w:trPr>
        <w:tc>
          <w:tcPr>
            <w:tcW w:w="4240" w:type="dxa"/>
            <w:vAlign w:val="bottom"/>
          </w:tcPr>
          <w:p>
            <w:pPr>
              <w:spacing w:after="0"/>
              <w:rPr>
                <w:sz w:val="24"/>
                <w:szCs w:val="24"/>
                <w:color w:val="auto"/>
              </w:rPr>
            </w:pPr>
          </w:p>
        </w:tc>
        <w:tc>
          <w:tcPr>
            <w:tcW w:w="6800" w:type="dxa"/>
            <w:vAlign w:val="bottom"/>
            <w:gridSpan w:val="2"/>
          </w:tcPr>
          <w:p>
            <w:pPr>
              <w:jc w:val="right"/>
              <w:ind w:right="5148"/>
              <w:spacing w:after="0"/>
              <w:rPr>
                <w:sz w:val="20"/>
                <w:szCs w:val="20"/>
                <w:color w:val="auto"/>
              </w:rPr>
            </w:pPr>
            <w:r>
              <w:rPr>
                <w:rFonts w:ascii="Arial" w:cs="Arial" w:eastAsia="Arial" w:hAnsi="Arial"/>
                <w:sz w:val="20"/>
                <w:szCs w:val="20"/>
                <w:b w:val="1"/>
                <w:bCs w:val="1"/>
                <w:color w:val="auto"/>
              </w:rPr>
              <w:t>Vesting</w:t>
            </w:r>
          </w:p>
        </w:tc>
      </w:tr>
    </w:tbl>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76"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7640" w:type="dxa"/>
            <w:vAlign w:val="bottom"/>
            <w:gridSpan w:val="3"/>
          </w:tcPr>
          <w:p>
            <w:pPr>
              <w:jc w:val="center"/>
              <w:ind w:right="3630"/>
              <w:spacing w:after="0"/>
              <w:rPr>
                <w:sz w:val="20"/>
                <w:szCs w:val="20"/>
                <w:color w:val="auto"/>
              </w:rPr>
            </w:pPr>
            <w:r>
              <w:rPr>
                <w:rFonts w:ascii="Arial" w:cs="Arial" w:eastAsia="Arial" w:hAnsi="Arial"/>
                <w:sz w:val="18"/>
                <w:szCs w:val="18"/>
                <w:b w:val="1"/>
                <w:bCs w:val="1"/>
                <w:color w:val="auto"/>
              </w:rPr>
              <w:t>FIDELITY NATIONAL FINANCIAL, INC.</w:t>
            </w:r>
          </w:p>
        </w:tc>
      </w:tr>
      <w:tr>
        <w:trPr>
          <w:trHeight w:val="216"/>
        </w:trPr>
        <w:tc>
          <w:tcPr>
            <w:tcW w:w="3720" w:type="dxa"/>
            <w:vAlign w:val="bottom"/>
          </w:tcPr>
          <w:p>
            <w:pPr>
              <w:spacing w:after="0"/>
              <w:rPr>
                <w:sz w:val="18"/>
                <w:szCs w:val="18"/>
                <w:color w:val="auto"/>
              </w:rPr>
            </w:pPr>
          </w:p>
        </w:tc>
        <w:tc>
          <w:tcPr>
            <w:tcW w:w="764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89"/>
              </w:rPr>
              <w:t>List of Subsidiaries December 31, 2017</w:t>
            </w:r>
          </w:p>
        </w:tc>
      </w:tr>
      <w:tr>
        <w:trPr>
          <w:trHeight w:val="234"/>
        </w:trPr>
        <w:tc>
          <w:tcPr>
            <w:tcW w:w="3720" w:type="dxa"/>
            <w:vAlign w:val="bottom"/>
          </w:tcPr>
          <w:p>
            <w:pPr>
              <w:spacing w:after="0"/>
              <w:rPr>
                <w:sz w:val="20"/>
                <w:szCs w:val="20"/>
                <w:color w:val="auto"/>
              </w:rPr>
            </w:pPr>
          </w:p>
        </w:tc>
        <w:tc>
          <w:tcPr>
            <w:tcW w:w="7640" w:type="dxa"/>
            <w:vAlign w:val="bottom"/>
            <w:gridSpan w:val="3"/>
          </w:tcPr>
          <w:p>
            <w:pPr>
              <w:jc w:val="center"/>
              <w:ind w:right="3650"/>
              <w:spacing w:after="0"/>
              <w:rPr>
                <w:sz w:val="20"/>
                <w:szCs w:val="20"/>
                <w:color w:val="auto"/>
              </w:rPr>
            </w:pPr>
            <w:r>
              <w:rPr>
                <w:rFonts w:ascii="Arial" w:cs="Arial" w:eastAsia="Arial" w:hAnsi="Arial"/>
                <w:sz w:val="18"/>
                <w:szCs w:val="18"/>
                <w:b w:val="1"/>
                <w:bCs w:val="1"/>
                <w:color w:val="auto"/>
                <w:w w:val="89"/>
              </w:rPr>
              <w:t>Significant Subsidiaries</w:t>
            </w:r>
          </w:p>
        </w:tc>
      </w:tr>
      <w:tr>
        <w:trPr>
          <w:trHeight w:val="648"/>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INCORPORATION</w:t>
            </w:r>
          </w:p>
        </w:tc>
      </w:tr>
      <w:tr>
        <w:trPr>
          <w:trHeight w:val="27"/>
        </w:trPr>
        <w:tc>
          <w:tcPr>
            <w:tcW w:w="37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FNTG Holdings, LLC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Group, Inc.</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ServiceLink Holdings, Inc.</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3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Florida</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w w:val="98"/>
              </w:rPr>
              <w:t>Commonwealth Land Title Insurance Company</w:t>
            </w:r>
          </w:p>
        </w:tc>
        <w:tc>
          <w:tcPr>
            <w:tcW w:w="3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380"/>
          </w:cols>
          <w:pgMar w:left="28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23.1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93"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(Form S-3 Nos. 333-157123, 333-147391, 333-174650) of Fidelity National Financial,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(Form S-4 Nos. 333-194938 and 333-190902) of Fidelity National Financial, Inc.</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Registration Statements (Form S-8 Nos. 333-197249, 333-190527, 333-157643, 333-132843, 333-138254, 333-129886, 333-129016, 333-176395, 333-213427) of Fidelity National Financial, Inc.</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23, 2018,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2017.</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333-197249, 333-190527, 333-157643, 333-132843, 333-138254, 333-129886, 333-129016, 333-176395 and 333-213427) on Form S-8, Registration Statements (Nos. 333-157123, 333-147391, and 333-174650) on Form S-3, and Registration Statements (Nos. 333-194938 and 333-190902) on Form S-4 of Fidelity National Financial, Inc. of our report dated February 27, 2017, except as to Notes A and G, which are as of February 23, 2018, with respect to the Consolidated Balance Sheet of Fidelity National Financial, Inc. as of December 31, 2016, and the related Consolidated Statements of Earnings, Comprehensive Earnings, Equity, and Cash Flows for each of the years in the two-year period ended December 31, 2016, and all related financial statement schedules, which report appears in the December 31, 2017 annual report on Form 10-K of Fidelity National Financial,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225"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2018</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7">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2018</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33" w:lineRule="exact"/>
        <w:rPr>
          <w:sz w:val="20"/>
          <w:szCs w:val="20"/>
          <w:color w:val="auto"/>
        </w:rPr>
      </w:pPr>
    </w:p>
    <w:p>
      <w:pPr>
        <w:ind w:left="500" w:right="40" w:hanging="303"/>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2018</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500" w:right="40" w:hanging="303"/>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2018</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2"/>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lowerRoman"/>
      <w:start w:val="3"/>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lowerLetter"/>
      <w:start w:val="2"/>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1"/>
      <w:numFmt w:val="decimal"/>
      <w:start w:val="1"/>
    </w:lvl>
    <w:lvl w:ilvl="1">
      <w:lvlJc w:val="left"/>
      <w:lvlText w:val="%2"/>
      <w:numFmt w:val="decimal"/>
      <w:start w:val="101"/>
    </w:lvl>
  </w:abstractNum>
  <w:abstractNum w:abstractNumId="32">
    <w:nsid w:val="374A3FE6"/>
    <w:multiLevelType w:val="hybridMultilevel"/>
    <w:lvl w:ilvl="0">
      <w:lvlJc w:val="left"/>
      <w:lvlText w:val="(%1)"/>
      <w:numFmt w:val="decimal"/>
      <w:start w:val="1"/>
    </w:lvl>
    <w:lvl w:ilvl="1">
      <w:lvlJc w:val="left"/>
      <w:lvlText w:val="%2"/>
      <w:numFmt w:val="decimal"/>
      <w:start w:val="1"/>
    </w:lvl>
  </w:abstractNum>
  <w:abstractNum w:abstractNumId="33">
    <w:nsid w:val="4F4EF005"/>
    <w:multiLevelType w:val="hybridMultilevel"/>
    <w:lvl w:ilvl="0">
      <w:lvlJc w:val="left"/>
      <w:lvlText w:val="%1."/>
      <w:numFmt w:val="upperLetter"/>
      <w:start w:val="2"/>
    </w:lvl>
  </w:abstractNum>
  <w:abstractNum w:abstractNumId="34">
    <w:nsid w:val="23F9C13C"/>
    <w:multiLevelType w:val="hybridMultilevel"/>
    <w:lvl w:ilvl="0">
      <w:lvlJc w:val="left"/>
      <w:lvlText w:val="%1."/>
      <w:numFmt w:val="upperLetter"/>
      <w:start w:val="3"/>
    </w:lvl>
  </w:abstractNum>
  <w:abstractNum w:abstractNumId="35">
    <w:nsid w:val="649BB77C"/>
    <w:multiLevelType w:val="hybridMultilevel"/>
    <w:lvl w:ilvl="0">
      <w:lvlJc w:val="left"/>
      <w:lvlText w:val="%1."/>
      <w:numFmt w:val="upperLetter"/>
      <w:start w:val="4"/>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lowerLetter"/>
      <w:start w:val="1"/>
    </w:lvl>
  </w:abstractNum>
  <w:abstractNum w:abstractNumId="39">
    <w:nsid w:val="180115BE"/>
    <w:multiLevelType w:val="hybridMultilevel"/>
    <w:lvl w:ilvl="0">
      <w:lvlJc w:val="left"/>
      <w:lvlText w:val="(%1)"/>
      <w:numFmt w:val="lowerLetter"/>
      <w:start w:val="5"/>
    </w:lvl>
  </w:abstractNum>
  <w:abstractNum w:abstractNumId="40">
    <w:nsid w:val="235BA861"/>
    <w:multiLevelType w:val="hybridMultilevel"/>
    <w:lvl w:ilvl="0">
      <w:lvlJc w:val="left"/>
      <w:lvlText w:val="%1."/>
      <w:numFmt w:val="decimal"/>
      <w:start w:val="6"/>
    </w:lvl>
  </w:abstractNum>
  <w:abstractNum w:abstractNumId="41">
    <w:nsid w:val="47398C89"/>
    <w:multiLevelType w:val="hybridMultilevel"/>
    <w:lvl w:ilvl="0">
      <w:lvlJc w:val="left"/>
      <w:lvlText w:val="(%1)"/>
      <w:numFmt w:val="lowerLetter"/>
      <w:start w:val="1"/>
    </w:lvl>
  </w:abstractNum>
  <w:abstractNum w:abstractNumId="42">
    <w:nsid w:val="354FE9F9"/>
    <w:multiLevelType w:val="hybridMultilevel"/>
    <w:lvl w:ilvl="0">
      <w:lvlJc w:val="left"/>
      <w:lvlText w:val="(%1)"/>
      <w:numFmt w:val="lowerLetter"/>
      <w:start w:val="6"/>
    </w:lvl>
    <w:lvl w:ilvl="1">
      <w:lvlJc w:val="left"/>
      <w:lvlText w:val="(%2)"/>
      <w:numFmt w:val="lowerRoman"/>
      <w:start w:val="1"/>
    </w:lvl>
  </w:abstractNum>
  <w:abstractNum w:abstractNumId="43">
    <w:nsid w:val="15B5AF5C"/>
    <w:multiLevelType w:val="hybridMultilevel"/>
    <w:lvl w:ilvl="0">
      <w:lvlJc w:val="left"/>
      <w:lvlText w:val="(%1)"/>
      <w:numFmt w:val="lowerLetter"/>
      <w:start w:val="25"/>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1)"/>
      <w:numFmt w:val="lowerRoman"/>
      <w:start w:val="1"/>
    </w:lvl>
  </w:abstractNum>
  <w:abstractNum w:abstractNumId="46">
    <w:nsid w:val="10233C9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7">
    <w:nsid w:val="3F6AB60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8">
    <w:nsid w:val="61574095"/>
    <w:multiLevelType w:val="hybridMultilevel"/>
    <w:lvl w:ilvl="0">
      <w:lvlJc w:val="left"/>
      <w:lvlText w:val="%1"/>
      <w:numFmt w:val="lowerLetter"/>
      <w:start w:val="1"/>
    </w:lvl>
    <w:lvl w:ilvl="1">
      <w:lvlJc w:val="left"/>
      <w:lvlText w:val="(%2)"/>
      <w:numFmt w:val="lowerRoman"/>
      <w:start w:val="3"/>
    </w:lvl>
  </w:abstractNum>
  <w:abstractNum w:abstractNumId="49">
    <w:nsid w:val="7E0C57B1"/>
    <w:multiLevelType w:val="hybridMultilevel"/>
    <w:lvl w:ilvl="0">
      <w:lvlJc w:val="left"/>
      <w:lvlText w:val="(%1)"/>
      <w:numFmt w:val="lowerLetter"/>
      <w:start w:val="5"/>
    </w:lvl>
    <w:lvl w:ilvl="1">
      <w:lvlJc w:val="left"/>
      <w:lvlText w:val="%2"/>
      <w:numFmt w:val="lowerRoman"/>
      <w:start w:val="1"/>
    </w:lvl>
  </w:abstractNum>
  <w:abstractNum w:abstractNumId="50">
    <w:nsid w:val="77AE35EB"/>
    <w:multiLevelType w:val="hybridMultilevel"/>
    <w:lvl w:ilvl="0">
      <w:lvlJc w:val="left"/>
      <w:lvlText w:val="%1."/>
      <w:numFmt w:val="decimal"/>
      <w:start w:val="10"/>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3"/>
    </w:lvl>
    <w:lvl w:ilvl="1">
      <w:lvlJc w:val="left"/>
      <w:lvlText w:val="(%2)"/>
      <w:numFmt w:val="lowerLetter"/>
      <w:start w:val="9"/>
    </w:lvl>
  </w:abstractNum>
  <w:abstractNum w:abstractNumId="53">
    <w:nsid w:val="5FF87E05"/>
    <w:multiLevelType w:val="hybridMultilevel"/>
    <w:lvl w:ilvl="0">
      <w:lvlJc w:val="left"/>
      <w:lvlText w:val="(%1)"/>
      <w:numFmt w:val="lowerRoman"/>
      <w:start w:val="2"/>
    </w:lvl>
  </w:abstractNum>
  <w:abstractNum w:abstractNumId="54">
    <w:nsid w:val="2F305DEF"/>
    <w:multiLevelType w:val="hybridMultilevel"/>
    <w:lvl w:ilvl="0">
      <w:lvlJc w:val="left"/>
      <w:lvlText w:val="(%1)"/>
      <w:numFmt w:val="lowerLetter"/>
      <w:start w:val="6"/>
    </w:lvl>
  </w:abstractNum>
  <w:abstractNum w:abstractNumId="55">
    <w:nsid w:val="25A70BF7"/>
    <w:multiLevelType w:val="hybridMultilevel"/>
    <w:lvl w:ilvl="0">
      <w:lvlJc w:val="left"/>
      <w:lvlText w:val="%1."/>
      <w:numFmt w:val="decimal"/>
      <w:start w:val="11"/>
    </w:lvl>
  </w:abstractNum>
  <w:abstractNum w:abstractNumId="56">
    <w:nsid w:val="1DBABF00"/>
    <w:multiLevelType w:val="hybridMultilevel"/>
    <w:lvl w:ilvl="0">
      <w:lvlJc w:val="left"/>
      <w:lvlText w:val="(%1)"/>
      <w:numFmt w:val="lowerLetter"/>
      <w:start w:val="1"/>
    </w:lvl>
  </w:abstractNum>
  <w:abstractNum w:abstractNumId="57">
    <w:nsid w:val="4AD084E9"/>
    <w:multiLevelType w:val="hybridMultilevel"/>
    <w:lvl w:ilvl="0">
      <w:lvlJc w:val="left"/>
      <w:lvlText w:val="(%1)"/>
      <w:numFmt w:val="lowerLetter"/>
      <w:start w:val="2"/>
    </w:lvl>
  </w:abstractNum>
  <w:abstractNum w:abstractNumId="58">
    <w:nsid w:val="1F48EAA1"/>
    <w:multiLevelType w:val="hybridMultilevel"/>
    <w:lvl w:ilvl="0">
      <w:lvlJc w:val="left"/>
      <w:lvlText w:val="%1."/>
      <w:numFmt w:val="decimal"/>
      <w:start w:val="14"/>
    </w:lvl>
  </w:abstractNum>
  <w:abstractNum w:abstractNumId="59">
    <w:nsid w:val="1381823A"/>
    <w:multiLevelType w:val="hybridMultilevel"/>
    <w:lvl w:ilvl="0">
      <w:lvlJc w:val="left"/>
      <w:lvlText w:val="%1."/>
      <w:numFmt w:val="decimal"/>
      <w:start w:val="18"/>
    </w:lvl>
  </w:abstractNum>
  <w:abstractNum w:abstractNumId="60">
    <w:nsid w:val="5DB70AE5"/>
    <w:multiLevelType w:val="hybridMultilevel"/>
    <w:lvl w:ilvl="0">
      <w:lvlJc w:val="left"/>
      <w:lvlText w:val="%1."/>
      <w:numFmt w:val="decimal"/>
      <w:start w:val="25"/>
    </w:lvl>
  </w:abstractNum>
  <w:abstractNum w:abstractNumId="61">
    <w:nsid w:val="100F8FCA"/>
    <w:multiLevelType w:val="hybridMultilevel"/>
    <w:lvl w:ilvl="0">
      <w:lvlJc w:val="left"/>
      <w:lvlText w:val="%1."/>
      <w:numFmt w:val="decimal"/>
      <w:start w:val="26"/>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Letter"/>
      <w:start w:val="1"/>
    </w:lvl>
    <w:lvl w:ilvl="1">
      <w:lvlJc w:val="left"/>
      <w:lvlText w:val="(%2)"/>
      <w:numFmt w:val="lowerRoman"/>
      <w:start w:val="1"/>
    </w:lvl>
  </w:abstractNum>
  <w:abstractNum w:abstractNumId="64">
    <w:nsid w:val="5F5E7FD0"/>
    <w:multiLevelType w:val="hybridMultilevel"/>
    <w:lvl w:ilvl="0">
      <w:lvlJc w:val="left"/>
      <w:lvlText w:val="%1"/>
      <w:numFmt w:val="lowerLetter"/>
      <w:start w:val="1"/>
    </w:lvl>
    <w:lvl w:ilvl="1">
      <w:lvlJc w:val="left"/>
      <w:lvlText w:val="(%2)"/>
      <w:numFmt w:val="lowerRoman"/>
      <w:start w:val="3"/>
    </w:lvl>
  </w:abstractNum>
  <w:abstractNum w:abstractNumId="65">
    <w:nsid w:val="98A3148"/>
    <w:multiLevelType w:val="hybridMultilevel"/>
    <w:lvl w:ilvl="0">
      <w:lvlJc w:val="left"/>
      <w:lvlText w:val="(%1)"/>
      <w:numFmt w:val="lowerLetter"/>
      <w:start w:val="2"/>
    </w:lvl>
    <w:lvl w:ilvl="1">
      <w:lvlJc w:val="left"/>
      <w:lvlText w:val="%2"/>
      <w:numFmt w:val="lowerRoman"/>
      <w:start w:val="1"/>
    </w:lvl>
  </w:abstractNum>
  <w:abstractNum w:abstractNumId="66">
    <w:nsid w:val="799D0247"/>
    <w:multiLevelType w:val="hybridMultilevel"/>
    <w:lvl w:ilvl="0">
      <w:lvlJc w:val="left"/>
      <w:lvlText w:val="(%1)"/>
      <w:numFmt w:val="lowerLetter"/>
      <w:start w:val="3"/>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2"/>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73" Type="http://schemas.openxmlformats.org/officeDocument/2006/relationships/image" Target="media/image15.png"/><Relationship Id="rId74" Type="http://schemas.openxmlformats.org/officeDocument/2006/relationships/image" Target="media/image16.png"/><Relationship Id="rId75" Type="http://schemas.openxmlformats.org/officeDocument/2006/relationships/image" Target="media/image17.png"/><Relationship Id="rId76" Type="http://schemas.openxmlformats.org/officeDocument/2006/relationships/image" Target="media/image18.png"/><Relationship Id="rId77" Type="http://schemas.openxmlformats.org/officeDocument/2006/relationships/image" Target="media/image19.png"/><Relationship Id="rId78" Type="http://schemas.openxmlformats.org/officeDocument/2006/relationships/image" Target="media/image20.png"/><Relationship Id="rId79" Type="http://schemas.openxmlformats.org/officeDocument/2006/relationships/image" Target="media/image21.png"/><Relationship Id="rId80" Type="http://schemas.openxmlformats.org/officeDocument/2006/relationships/image" Target="media/image22.png"/><Relationship Id="rId22" Type="http://schemas.openxmlformats.org/officeDocument/2006/relationships/hyperlink" Target="http://www.sec.gov/Archives/edgar/data/1331875/000089256906001101/a22085ddefm14c.htm" TargetMode="External"/><Relationship Id="rId23" Type="http://schemas.openxmlformats.org/officeDocument/2006/relationships/hyperlink" Target="http://www.sec.gov/Archives/edgar/data/1331875/000133187513000037/lpsmergeragreement.htm" TargetMode="External"/><Relationship Id="rId24" Type="http://schemas.openxmlformats.org/officeDocument/2006/relationships/hyperlink" Target="http://www.sec.gov/Archives/edgar/data/1331875/000104746917003921/a2232187zex-2_1.htm" TargetMode="External"/><Relationship Id="rId25" Type="http://schemas.openxmlformats.org/officeDocument/2006/relationships/hyperlink" Target="http://www.sec.gov/Archives/edgar/data/1331875/000104746917003921/a2232187zex-2_2.htm" TargetMode="External"/><Relationship Id="rId26" Type="http://schemas.openxmlformats.org/officeDocument/2006/relationships/hyperlink" Target="http://www.sec.gov/Archives/edgar/data/1331875/000110465917069547/a17-27153_1ex2d1.htm#Exhibit2_1_101925" TargetMode="External"/><Relationship Id="rId27" Type="http://schemas.openxmlformats.org/officeDocument/2006/relationships/hyperlink" Target="http://www.sec.gov/Archives/edgar/data/1331875/000119312514255770/d750947dex31.htm" TargetMode="External"/><Relationship Id="rId28" Type="http://schemas.openxmlformats.org/officeDocument/2006/relationships/hyperlink" Target="http://www.sec.gov/Archives/edgar/data/1331875/000133187517000019/exhibit31fourthamendedandr.htm" TargetMode="External"/><Relationship Id="rId29" Type="http://schemas.openxmlformats.org/officeDocument/2006/relationships/hyperlink" Target="http://www.sec.gov/Archives/edgar/data/1331875/000095013406005246/a16815exv4w1.txt" TargetMode="External"/><Relationship Id="rId30" Type="http://schemas.openxmlformats.org/officeDocument/2006/relationships/hyperlink" Target="http://www.sec.gov/Archives/edgar/data/1331875/000089256906000049/a16429exv4w1.htm" TargetMode="External"/><Relationship Id="rId31" Type="http://schemas.openxmlformats.org/officeDocument/2006/relationships/hyperlink" Target="http://www.sec.gov/Archives/edgar/data/1331875/000095012310044230/g23229exv4w1.htm" TargetMode="External"/><Relationship Id="rId32" Type="http://schemas.openxmlformats.org/officeDocument/2006/relationships/hyperlink" Target="http://www.sec.gov/Archives/edgar/data/1331875/000119312514255770/d750947dex41.htm" TargetMode="External"/><Relationship Id="rId33" Type="http://schemas.openxmlformats.org/officeDocument/2006/relationships/hyperlink" Target="http://www.sec.gov/Archives/edgar/data/1331875/000089256907001411/a35688exv4w2xay.htm" TargetMode="External"/><Relationship Id="rId34" Type="http://schemas.openxmlformats.org/officeDocument/2006/relationships/hyperlink" Target="http://www.sec.gov/Archives/edgar/data/1331875/000133187511000040/exhibit45convertible8k.htm" TargetMode="External"/><Relationship Id="rId35" Type="http://schemas.openxmlformats.org/officeDocument/2006/relationships/hyperlink" Target="http://www.sec.gov/Archives/edgar/data/1331875/000119312514182698/d702315dex41.htm" TargetMode="External"/><Relationship Id="rId36" Type="http://schemas.openxmlformats.org/officeDocument/2006/relationships/hyperlink" Target="http://www.sec.gov/Archives/edgar/data/1331875/000133187517000046/ex102fourthamendedandresta.htm" TargetMode="External"/><Relationship Id="rId37" Type="http://schemas.openxmlformats.org/officeDocument/2006/relationships/hyperlink" Target="http://www.sec.gov/Archives/edgar/data/1331875/000119312516569331/d157551ddef14a.htm#toc157551_18" TargetMode="External"/><Relationship Id="rId38" Type="http://schemas.openxmlformats.org/officeDocument/2006/relationships/hyperlink" Target="http://www.sec.gov/Archives/edgar/data/1331875/000119312514192251/d702315ddef14a.htm#rom702315_61" TargetMode="External"/><Relationship Id="rId39" Type="http://schemas.openxmlformats.org/officeDocument/2006/relationships/hyperlink" Target="http://www.sec.gov/Archives/edgar/data/1331875/000119312516569331/d157551ddef14a.htm#toc157551_19" TargetMode="External"/><Relationship Id="rId40" Type="http://schemas.openxmlformats.org/officeDocument/2006/relationships/hyperlink" Target="http://www.sec.gov/Archives/edgar/data/1331875/000095014409001785/g17782exv10w18.htm" TargetMode="External"/><Relationship Id="rId41" Type="http://schemas.openxmlformats.org/officeDocument/2006/relationships/hyperlink" Target="http://www.sec.gov/Archives/edgar/data/1331875/000133187516000111/exhibit10112015.htm" TargetMode="External"/><Relationship Id="rId42" Type="http://schemas.openxmlformats.org/officeDocument/2006/relationships/hyperlink" Target="http://www.sec.gov/Archives/edgar/data/1331875/000133187516000111/exhibit10122015.htm" TargetMode="External"/><Relationship Id="rId43" Type="http://schemas.openxmlformats.org/officeDocument/2006/relationships/hyperlink" Target="http://www.sec.gov/Archives/edgar/data/1331875/000133187514000005/exhibit1012.htm" TargetMode="External"/><Relationship Id="rId44" Type="http://schemas.openxmlformats.org/officeDocument/2006/relationships/hyperlink" Target="http://www.sec.gov/Archives/edgar/data/1331875/000133187513000012/exhibit1010.htm" TargetMode="External"/><Relationship Id="rId45" Type="http://schemas.openxmlformats.org/officeDocument/2006/relationships/hyperlink" Target="http://www.sec.gov/Archives/edgar/data/1331875/000089256906001299/a24453e8vk.htm#109" TargetMode="External"/><Relationship Id="rId46" Type="http://schemas.openxmlformats.org/officeDocument/2006/relationships/hyperlink" Target="http://www.sec.gov/Archives/edgar/data/1331875/000095014409001785/g17782exv10w11.htm" TargetMode="External"/><Relationship Id="rId47" Type="http://schemas.openxmlformats.org/officeDocument/2006/relationships/hyperlink" Target="http://www.sec.gov/Archives/edgar/data/1331875/000095012310019326/g21797exv10w13.htm" TargetMode="External"/><Relationship Id="rId48" Type="http://schemas.openxmlformats.org/officeDocument/2006/relationships/hyperlink" Target="http://www.sec.gov/Archives/edgar/data/1331875/000133187512000047/exhibit101.htm" TargetMode="External"/><Relationship Id="rId49" Type="http://schemas.openxmlformats.org/officeDocument/2006/relationships/hyperlink" Target="http://www.sec.gov/Archives/edgar/data/1331875/000133187512000018/exhibit1016.htm" TargetMode="External"/><Relationship Id="rId50" Type="http://schemas.openxmlformats.org/officeDocument/2006/relationships/hyperlink" Target="http://www.sec.gov/Archives/edgar/data/1331875/000095012310019326/g21797exv10w15.htm" TargetMode="External"/><Relationship Id="rId51" Type="http://schemas.openxmlformats.org/officeDocument/2006/relationships/hyperlink" Target="http://www.sec.gov/Archives/edgar/data/1331875/000133187516000111/exhibit10272015.htm" TargetMode="External"/><Relationship Id="rId52" Type="http://schemas.openxmlformats.org/officeDocument/2006/relationships/hyperlink" Target="http://www.sec.gov/Archives/edgar/data/1331875/000095014409001785/g17782exv10w16.htm" TargetMode="External"/><Relationship Id="rId53" Type="http://schemas.openxmlformats.org/officeDocument/2006/relationships/hyperlink" Target="http://www.sec.gov/Archives/edgar/data/1331875/000095012310019326/g21797exv10w21.htm" TargetMode="External"/><Relationship Id="rId54" Type="http://schemas.openxmlformats.org/officeDocument/2006/relationships/hyperlink" Target="http://www.sec.gov/Archives/edgar/data/1331875/000133187513000012/exhibit1022.htm" TargetMode="External"/><Relationship Id="rId55" Type="http://schemas.openxmlformats.org/officeDocument/2006/relationships/hyperlink" Target="http://www.sec.gov/Archives/edgar/data/1331875/000133187515000019/exhibit1021q2015b.htm" TargetMode="External"/><Relationship Id="rId56" Type="http://schemas.openxmlformats.org/officeDocument/2006/relationships/hyperlink" Target="http://www.sec.gov/Archives/edgar/data/1331875/000133187513000012/exhibit1026.htm" TargetMode="External"/><Relationship Id="rId57" Type="http://schemas.openxmlformats.org/officeDocument/2006/relationships/hyperlink" Target="http://www.sec.gov/Archives/edgar/data/1331875/000119312514012055/d657527dex102.htm" TargetMode="External"/><Relationship Id="rId58" Type="http://schemas.openxmlformats.org/officeDocument/2006/relationships/hyperlink" Target="http://www.sec.gov/Archives/edgar/data/1331875/000119312514012055/d657527dex104.htm" TargetMode="External"/><Relationship Id="rId59" Type="http://schemas.openxmlformats.org/officeDocument/2006/relationships/hyperlink" Target="http://www.sec.gov/Archives/edgar/data/1331875/000119312514012055/d657527dex106.htm" TargetMode="External"/><Relationship Id="rId60" Type="http://schemas.openxmlformats.org/officeDocument/2006/relationships/hyperlink" Target="http://www.sec.gov/Archives/edgar/data/1331875/000133187516000144/exhibit101q22016foleyagree.htm" TargetMode="External"/><Relationship Id="rId61" Type="http://schemas.openxmlformats.org/officeDocument/2006/relationships/hyperlink" Target="http://www.sec.gov/Archives/edgar/data/1331875/000133187516000144/exhibit102q22016quirkagree.htm" TargetMode="External"/><Relationship Id="rId62" Type="http://schemas.openxmlformats.org/officeDocument/2006/relationships/hyperlink" Target="http://www.sec.gov/Archives/edgar/data/1331875/000133187516000144/exhibit103q22016bickettagr.htm" TargetMode="External"/><Relationship Id="rId63" Type="http://schemas.openxmlformats.org/officeDocument/2006/relationships/hyperlink" Target="http://www.sec.gov/Archives/edgar/data/1331875/000133187516000144/exhibit104q22016parkagreem.htm" TargetMode="External"/><Relationship Id="rId64" Type="http://schemas.openxmlformats.org/officeDocument/2006/relationships/hyperlink" Target="http://www.sec.gov/Archives/edgar/data/1331875/000133187516000144/exhibit105q22016gravelleag.htm" TargetMode="External"/><Relationship Id="rId65" Type="http://schemas.openxmlformats.org/officeDocument/2006/relationships/hyperlink" Target="http://www.sec.gov/Archives/edgar/data/1331875/000133187516000144/exhibit106q22016sadowskiag.htm" TargetMode="External"/><Relationship Id="rId66" Type="http://schemas.openxmlformats.org/officeDocument/2006/relationships/hyperlink" Target="http://www.sec.gov/Archives/edgar/data/1331875/000133187516000144/exhibit107q22016nolanagree.htm" TargetMode="External"/><Relationship Id="rId67" Type="http://schemas.openxmlformats.org/officeDocument/2006/relationships/hyperlink" Target="http://www.sec.gov/Archives/edgar/data/1331875/000133187516000144/exhibit108q22016nolanamend.htm" TargetMode="External"/><Relationship Id="rId68" Type="http://schemas.openxmlformats.org/officeDocument/2006/relationships/hyperlink" Target="http://www.sec.gov/Archives/edgar/data/1331875/000133187516000144/exhibit109q22016jewkesagre.htm" TargetMode="External"/><Relationship Id="rId69" Type="http://schemas.openxmlformats.org/officeDocument/2006/relationships/hyperlink" Target="http://www.sec.gov/Archives/edgar/data/1331875/000133187516000144/exhibit1010q22016jewkesame.htm" TargetMode="External"/><Relationship Id="rId70" Type="http://schemas.openxmlformats.org/officeDocument/2006/relationships/hyperlink" Target="http://www.sec.gov/Archives/edgar/data/1331875/000133187517000031/exhibit10582016.htm" TargetMode="External"/><Relationship Id="rId71" Type="http://schemas.openxmlformats.org/officeDocument/2006/relationships/hyperlink" Target="http://www.sec.gov/Archives/edgar/data/1331875/000133187517000031/exhibit10592016.htm" TargetMode="External"/><Relationship Id="rId72" Type="http://schemas.openxmlformats.org/officeDocument/2006/relationships/hyperlink" Target="http://www.sec.gov/Archives/edgar/data/1331875/000110465917069547/a17-27153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2019-12-29T00:45:59Z</dcterms:created>
  <dcterms:modified xsi:type="dcterms:W3CDTF">2019-12-29T00:45:59Z</dcterms:modified>
</cp:coreProperties>
</file>