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7" w:lineRule="exact"/>
        <w:rPr>
          <w:sz w:val="24"/>
          <w:szCs w:val="24"/>
          <w:color w:val="auto"/>
        </w:rPr>
      </w:pPr>
    </w:p>
    <w:p>
      <w:pPr>
        <w:ind w:left="80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4" w:lineRule="exact"/>
        <w:rPr>
          <w:sz w:val="24"/>
          <w:szCs w:val="24"/>
          <w:color w:val="auto"/>
        </w:rPr>
      </w:pPr>
    </w:p>
    <w:p>
      <w:pPr>
        <w:ind w:left="360"/>
        <w:spacing w:after="0" w:line="24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-231140</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80" w:type="dxa"/>
            <w:vAlign w:val="bottom"/>
          </w:tcPr>
          <w:p>
            <w:pPr>
              <w:jc w:val="center"/>
              <w:ind w:right="37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33"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4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7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3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vMerge w:val="restart"/>
          </w:tcPr>
          <w:p>
            <w:pPr>
              <w:jc w:val="center"/>
              <w:ind w:right="3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5375910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4037330</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13335</wp:posOffset>
            </wp:positionV>
            <wp:extent cx="728091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0910" cy="9413875"/>
                    </a:xfrm>
                    <a:prstGeom prst="rect">
                      <a:avLst/>
                    </a:prstGeom>
                    <a:noFill/>
                  </pic:spPr>
                </pic:pic>
              </a:graphicData>
            </a:graphic>
          </wp:anchor>
        </w:drawing>
      </w:r>
    </w:p>
    <w:p>
      <w:pPr>
        <w:spacing w:after="0" w:line="86" w:lineRule="exact"/>
        <w:rPr>
          <w:sz w:val="24"/>
          <w:szCs w:val="24"/>
          <w:color w:val="auto"/>
        </w:rPr>
      </w:pPr>
    </w:p>
    <w:p>
      <w:pPr>
        <w:sectPr>
          <w:pgSz w:w="11900" w:h="16839" w:orient="portrait"/>
          <w:cols w:equalWidth="0" w:num="2">
            <w:col w:w="2220" w:space="620"/>
            <w:col w:w="868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Fidelity National Financial, Inc.</w:t>
        </w:r>
      </w:hyperlink>
    </w:p>
    <w:p>
      <w:pPr>
        <w:spacing w:after="0" w:line="303"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RIVERSIDE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Black Knight Financial Services,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BKFS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6"/>
          <w:szCs w:val="16"/>
          <w:color w:val="0000FF"/>
        </w:rPr>
        <w:t>02/26/2016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800" w:hanging="4"/>
        <w:spacing w:after="0" w:line="233"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44"/>
        <w:spacing w:after="0"/>
        <w:tabs>
          <w:tab w:leader="none" w:pos="1824" w:val="left"/>
          <w:tab w:leader="none" w:pos="21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66" w:lineRule="exact"/>
        <w:rPr>
          <w:sz w:val="24"/>
          <w:szCs w:val="24"/>
          <w:color w:val="auto"/>
        </w:rPr>
      </w:pPr>
    </w:p>
    <w:p>
      <w:pPr>
        <w:jc w:val="right"/>
        <w:ind w:right="50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4"/>
        <w:spacing w:after="0"/>
        <w:tabs>
          <w:tab w:leader="none" w:pos="21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8" w:lineRule="exact"/>
        <w:rPr>
          <w:sz w:val="24"/>
          <w:szCs w:val="24"/>
          <w:color w:val="auto"/>
        </w:rPr>
      </w:pPr>
    </w:p>
    <w:p>
      <w:pPr>
        <w:sectPr>
          <w:pgSz w:w="11900" w:h="16839" w:orient="portrait"/>
          <w:cols w:equalWidth="0" w:num="3">
            <w:col w:w="3340" w:space="720"/>
            <w:col w:w="3740" w:space="256"/>
            <w:col w:w="3464"/>
          </w:cols>
          <w:pgMar w:left="240" w:top="219" w:right="139" w:bottom="0" w:gutter="0" w:footer="0" w:header="0"/>
          <w:type w:val="continuous"/>
        </w:sectPr>
      </w:pP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80" w:type="dxa"/>
            <w:vAlign w:val="bottom"/>
            <w:gridSpan w:val="10"/>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1"/>
          </w:tcPr>
          <w:p>
            <w:pPr>
              <w:ind w:left="3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tcPr>
          <w:p>
            <w:pPr>
              <w:spacing w:after="0" w:line="181" w:lineRule="exact"/>
              <w:rPr>
                <w:sz w:val="20"/>
                <w:szCs w:val="20"/>
                <w:color w:val="auto"/>
              </w:rPr>
            </w:pPr>
            <w:r>
              <w:rPr>
                <w:rFonts w:ascii="Arial" w:cs="Arial" w:eastAsia="Arial" w:hAnsi="Arial"/>
                <w:sz w:val="16"/>
                <w:szCs w:val="16"/>
                <w:color w:val="0000FF"/>
              </w:rPr>
              <w:t>JACKSONVILLE FL</w:t>
            </w:r>
          </w:p>
        </w:tc>
        <w:tc>
          <w:tcPr>
            <w:tcW w:w="960" w:type="dxa"/>
            <w:vAlign w:val="bottom"/>
            <w:gridSpan w:val="2"/>
          </w:tcPr>
          <w:p>
            <w:pPr>
              <w:ind w:left="140"/>
              <w:spacing w:after="0" w:line="181" w:lineRule="exact"/>
              <w:rPr>
                <w:sz w:val="20"/>
                <w:szCs w:val="20"/>
                <w:color w:val="auto"/>
              </w:rPr>
            </w:pPr>
            <w:r>
              <w:rPr>
                <w:rFonts w:ascii="Arial" w:cs="Arial" w:eastAsia="Arial" w:hAnsi="Arial"/>
                <w:sz w:val="16"/>
                <w:szCs w:val="16"/>
                <w:color w:val="0000FF"/>
              </w:rPr>
              <w:t>32204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8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820" w:type="dxa"/>
            <w:vAlign w:val="bottom"/>
            <w:gridSpan w:val="11"/>
          </w:tcPr>
          <w:p>
            <w:pPr>
              <w:ind w:left="56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(State)</w:t>
            </w: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2"/>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96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6680" w:type="dxa"/>
            <w:vAlign w:val="bottom"/>
            <w:tcBorders>
              <w:top w:val="single" w:sz="8" w:color="2C2C2C"/>
            </w:tcBorders>
            <w:gridSpan w:val="18"/>
          </w:tcPr>
          <w:p>
            <w:pPr>
              <w:ind w:left="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4"/>
                <w:szCs w:val="14"/>
                <w:color w:val="auto"/>
              </w:rPr>
            </w:pPr>
          </w:p>
        </w:tc>
        <w:tc>
          <w:tcPr>
            <w:tcW w:w="17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2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4"/>
          </w:tcPr>
          <w:p>
            <w:pPr>
              <w:ind w:left="800"/>
              <w:spacing w:after="0" w:line="123" w:lineRule="exact"/>
              <w:rPr>
                <w:sz w:val="20"/>
                <w:szCs w:val="20"/>
                <w:color w:val="auto"/>
              </w:rPr>
            </w:pPr>
            <w:r>
              <w:rPr>
                <w:rFonts w:ascii="Arial" w:cs="Arial" w:eastAsia="Arial" w:hAnsi="Arial"/>
                <w:sz w:val="11"/>
                <w:szCs w:val="11"/>
                <w:b w:val="1"/>
                <w:bCs w:val="1"/>
                <w:color w:val="auto"/>
              </w:rPr>
              <w:t>Date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Transaction</w:t>
            </w:r>
          </w:p>
        </w:tc>
        <w:tc>
          <w:tcPr>
            <w:tcW w:w="2060" w:type="dxa"/>
            <w:vAlign w:val="bottom"/>
            <w:gridSpan w:val="4"/>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0"/>
                <w:szCs w:val="10"/>
                <w:color w:val="auto"/>
              </w:rPr>
            </w:pPr>
          </w:p>
        </w:tc>
        <w:tc>
          <w:tcPr>
            <w:tcW w:w="100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20" w:type="dxa"/>
            <w:vAlign w:val="bottom"/>
            <w:gridSpan w:val="4"/>
          </w:tcPr>
          <w:p>
            <w:pPr>
              <w:ind w:left="800"/>
              <w:spacing w:after="0"/>
              <w:rPr>
                <w:sz w:val="20"/>
                <w:szCs w:val="20"/>
                <w:color w:val="auto"/>
              </w:rPr>
            </w:pPr>
            <w:r>
              <w:rPr>
                <w:rFonts w:ascii="Arial" w:cs="Arial" w:eastAsia="Arial" w:hAnsi="Arial"/>
                <w:sz w:val="11"/>
                <w:szCs w:val="11"/>
                <w:b w:val="1"/>
                <w:bCs w:val="1"/>
                <w:color w:val="auto"/>
                <w:w w:val="99"/>
              </w:rPr>
              <w:t>(Month/Day/Year)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spacing w:after="0"/>
              <w:rPr>
                <w:sz w:val="20"/>
                <w:szCs w:val="20"/>
                <w:color w:val="auto"/>
              </w:rPr>
            </w:pPr>
            <w:r>
              <w:rPr>
                <w:rFonts w:ascii="Arial" w:cs="Arial" w:eastAsia="Arial" w:hAnsi="Arial"/>
                <w:sz w:val="11"/>
                <w:szCs w:val="11"/>
                <w:b w:val="1"/>
                <w:bCs w:val="1"/>
                <w:color w:val="auto"/>
              </w:rPr>
              <w:t>if any</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Beneficially Owned</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gridSpan w:val="3"/>
          </w:tcPr>
          <w:p>
            <w:pPr>
              <w:spacing w:after="0"/>
              <w:rPr>
                <w:sz w:val="20"/>
                <w:szCs w:val="20"/>
                <w:color w:val="auto"/>
              </w:rPr>
            </w:pPr>
            <w:r>
              <w:rPr>
                <w:rFonts w:ascii="Arial" w:cs="Arial" w:eastAsia="Arial" w:hAnsi="Arial"/>
                <w:sz w:val="11"/>
                <w:szCs w:val="11"/>
                <w:b w:val="1"/>
                <w:bCs w:val="1"/>
                <w:color w:val="auto"/>
              </w:rPr>
              <w:t>Following Reported</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7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6"/>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gridSpan w:val="3"/>
            <w:vMerge w:val="restart"/>
          </w:tcPr>
          <w:p>
            <w:pPr>
              <w:jc w:val="right"/>
              <w:ind w:right="17"/>
              <w:spacing w:after="0"/>
              <w:rPr>
                <w:sz w:val="20"/>
                <w:szCs w:val="20"/>
                <w:color w:val="auto"/>
              </w:rPr>
            </w:pPr>
            <w:r>
              <w:rPr>
                <w:rFonts w:ascii="Arial" w:cs="Arial" w:eastAsia="Arial" w:hAnsi="Arial"/>
                <w:sz w:val="16"/>
                <w:szCs w:val="16"/>
                <w:color w:val="0000FF"/>
              </w:rPr>
              <w:t>02/26/2016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760" w:type="dxa"/>
            <w:vAlign w:val="bottom"/>
            <w:vMerge w:val="restart"/>
          </w:tcPr>
          <w:p>
            <w:pPr>
              <w:ind w:left="80"/>
              <w:spacing w:after="0"/>
              <w:rPr>
                <w:sz w:val="20"/>
                <w:szCs w:val="20"/>
                <w:color w:val="auto"/>
              </w:rPr>
            </w:pPr>
            <w:r>
              <w:rPr>
                <w:rFonts w:ascii="Arial" w:cs="Arial" w:eastAsia="Arial" w:hAnsi="Arial"/>
                <w:sz w:val="16"/>
                <w:szCs w:val="16"/>
                <w:color w:val="0000FF"/>
                <w:w w:val="92"/>
              </w:rPr>
              <w:t>4,535,429</w:t>
            </w:r>
          </w:p>
        </w:tc>
        <w:tc>
          <w:tcPr>
            <w:tcW w:w="560" w:type="dxa"/>
            <w:vAlign w:val="bottom"/>
            <w:vMerge w:val="restart"/>
          </w:tcPr>
          <w:p>
            <w:pPr>
              <w:ind w:left="300"/>
              <w:spacing w:after="0"/>
              <w:rPr>
                <w:sz w:val="20"/>
                <w:szCs w:val="20"/>
                <w:color w:val="auto"/>
              </w:rPr>
            </w:pPr>
            <w:r>
              <w:rPr>
                <w:rFonts w:ascii="Arial" w:cs="Arial" w:eastAsia="Arial" w:hAnsi="Arial"/>
                <w:sz w:val="16"/>
                <w:szCs w:val="16"/>
                <w:color w:val="0000FF"/>
              </w:rPr>
              <w:t>D</w:t>
            </w:r>
          </w:p>
        </w:tc>
        <w:tc>
          <w:tcPr>
            <w:tcW w:w="680" w:type="dxa"/>
            <w:vAlign w:val="bottom"/>
            <w:vMerge w:val="restart"/>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Pr>
          <w:p>
            <w:pPr>
              <w:spacing w:after="0"/>
              <w:rPr>
                <w:sz w:val="21"/>
                <w:szCs w:val="21"/>
                <w:color w:val="auto"/>
              </w:rPr>
            </w:pPr>
          </w:p>
        </w:tc>
        <w:tc>
          <w:tcPr>
            <w:tcW w:w="780" w:type="dxa"/>
            <w:vAlign w:val="bottom"/>
            <w:gridSpan w:val="2"/>
            <w:vMerge w:val="restart"/>
          </w:tcPr>
          <w:p>
            <w:pPr>
              <w:jc w:val="center"/>
              <w:ind w:left="237"/>
              <w:spacing w:after="0"/>
              <w:rPr>
                <w:sz w:val="20"/>
                <w:szCs w:val="20"/>
                <w:color w:val="auto"/>
              </w:rPr>
            </w:pPr>
            <w:r>
              <w:rPr>
                <w:rFonts w:ascii="Arial" w:cs="Arial" w:eastAsia="Arial" w:hAnsi="Arial"/>
                <w:sz w:val="16"/>
                <w:szCs w:val="16"/>
                <w:color w:val="0000FF"/>
                <w:w w:val="89"/>
              </w:rPr>
              <w:t>0</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vMerge w:val="restart"/>
          </w:tcPr>
          <w:p>
            <w:pPr>
              <w:spacing w:after="0"/>
              <w:rPr>
                <w:sz w:val="20"/>
                <w:szCs w:val="20"/>
                <w:color w:val="auto"/>
              </w:rPr>
            </w:pPr>
            <w:r>
              <w:rPr>
                <w:rFonts w:ascii="Arial" w:cs="Arial" w:eastAsia="Arial" w:hAnsi="Arial"/>
                <w:sz w:val="16"/>
                <w:szCs w:val="16"/>
                <w:color w:val="0000FF"/>
              </w:rPr>
              <w:t>I</w:t>
            </w:r>
          </w:p>
        </w:tc>
        <w:tc>
          <w:tcPr>
            <w:tcW w:w="320" w:type="dxa"/>
            <w:vAlign w:val="bottom"/>
          </w:tcPr>
          <w:p>
            <w:pPr>
              <w:ind w:left="60"/>
              <w:spacing w:after="0"/>
              <w:rPr>
                <w:sz w:val="20"/>
                <w:szCs w:val="20"/>
                <w:color w:val="auto"/>
              </w:rPr>
            </w:pPr>
            <w:r>
              <w:rPr>
                <w:rFonts w:ascii="Arial" w:cs="Arial" w:eastAsia="Arial" w:hAnsi="Arial"/>
                <w:sz w:val="16"/>
                <w:szCs w:val="16"/>
                <w:color w:val="0000FF"/>
                <w:w w:val="84"/>
              </w:rPr>
              <w:t>See</w:t>
            </w: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footnotes</w:t>
            </w:r>
            <w:r>
              <w:rPr>
                <w:rFonts w:ascii="Arial" w:cs="Arial" w:eastAsia="Arial" w:hAnsi="Arial"/>
                <w:sz w:val="21"/>
                <w:szCs w:val="21"/>
                <w:color w:val="008000"/>
                <w:vertAlign w:val="superscript"/>
              </w:rPr>
              <w:t>(2)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gridSpan w:val="3"/>
            <w:vMerge w:val="restart"/>
          </w:tcPr>
          <w:p>
            <w:pPr>
              <w:jc w:val="right"/>
              <w:ind w:right="17"/>
              <w:spacing w:after="0"/>
              <w:rPr>
                <w:sz w:val="20"/>
                <w:szCs w:val="20"/>
                <w:color w:val="auto"/>
              </w:rPr>
            </w:pPr>
            <w:r>
              <w:rPr>
                <w:rFonts w:ascii="Arial" w:cs="Arial" w:eastAsia="Arial" w:hAnsi="Arial"/>
                <w:sz w:val="16"/>
                <w:szCs w:val="16"/>
                <w:color w:val="0000FF"/>
              </w:rPr>
              <w:t>02/26/2016</w:t>
            </w: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0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760" w:type="dxa"/>
            <w:vAlign w:val="bottom"/>
            <w:tcBorders>
              <w:top w:val="single" w:sz="8" w:color="2C2C2C"/>
            </w:tcBorders>
            <w:vMerge w:val="restart"/>
          </w:tcPr>
          <w:p>
            <w:pPr>
              <w:ind w:left="80"/>
              <w:spacing w:after="0"/>
              <w:rPr>
                <w:sz w:val="20"/>
                <w:szCs w:val="20"/>
                <w:color w:val="auto"/>
              </w:rPr>
            </w:pPr>
            <w:r>
              <w:rPr>
                <w:rFonts w:ascii="Arial" w:cs="Arial" w:eastAsia="Arial" w:hAnsi="Arial"/>
                <w:sz w:val="16"/>
                <w:szCs w:val="16"/>
                <w:color w:val="0000FF"/>
                <w:w w:val="92"/>
              </w:rPr>
              <w:t>2,957,432</w:t>
            </w:r>
          </w:p>
        </w:tc>
        <w:tc>
          <w:tcPr>
            <w:tcW w:w="5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gridSpan w:val="2"/>
            <w:vMerge w:val="restart"/>
          </w:tcPr>
          <w:p>
            <w:pPr>
              <w:jc w:val="center"/>
              <w:ind w:left="237"/>
              <w:spacing w:after="0"/>
              <w:rPr>
                <w:sz w:val="20"/>
                <w:szCs w:val="20"/>
                <w:color w:val="auto"/>
              </w:rPr>
            </w:pPr>
            <w:r>
              <w:rPr>
                <w:rFonts w:ascii="Arial" w:cs="Arial" w:eastAsia="Arial" w:hAnsi="Arial"/>
                <w:sz w:val="16"/>
                <w:szCs w:val="16"/>
                <w:color w:val="0000FF"/>
                <w:w w:val="89"/>
              </w:rPr>
              <w:t>0</w:t>
            </w: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footnotes</w:t>
            </w:r>
            <w:r>
              <w:rPr>
                <w:rFonts w:ascii="Arial" w:cs="Arial" w:eastAsia="Arial" w:hAnsi="Arial"/>
                <w:sz w:val="21"/>
                <w:szCs w:val="21"/>
                <w:color w:val="008000"/>
                <w:vertAlign w:val="superscript"/>
              </w:rPr>
              <w:t>(3)</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tcBorders>
              <w:top w:val="single" w:sz="8" w:color="2C2C2C"/>
            </w:tcBorders>
            <w:gridSpan w:val="6"/>
            <w:vMerge w:val="restart"/>
          </w:tcPr>
          <w:p>
            <w:pPr>
              <w:ind w:left="60"/>
              <w:spacing w:after="0"/>
              <w:rPr>
                <w:sz w:val="20"/>
                <w:szCs w:val="20"/>
                <w:color w:val="auto"/>
              </w:rPr>
            </w:pPr>
            <w:r>
              <w:rPr>
                <w:rFonts w:ascii="Arial" w:cs="Arial" w:eastAsia="Arial" w:hAnsi="Arial"/>
                <w:sz w:val="16"/>
                <w:szCs w:val="16"/>
                <w:color w:val="0000FF"/>
              </w:rPr>
              <w:t>Class B Common Stock</w:t>
            </w:r>
          </w:p>
        </w:tc>
        <w:tc>
          <w:tcPr>
            <w:tcW w:w="1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gridSpan w:val="3"/>
            <w:vMerge w:val="restart"/>
          </w:tcPr>
          <w:p>
            <w:pPr>
              <w:jc w:val="right"/>
              <w:ind w:right="17"/>
              <w:spacing w:after="0"/>
              <w:rPr>
                <w:sz w:val="20"/>
                <w:szCs w:val="20"/>
                <w:color w:val="auto"/>
              </w:rPr>
            </w:pPr>
            <w:r>
              <w:rPr>
                <w:rFonts w:ascii="Arial" w:cs="Arial" w:eastAsia="Arial" w:hAnsi="Arial"/>
                <w:sz w:val="16"/>
                <w:szCs w:val="16"/>
                <w:color w:val="0000FF"/>
              </w:rPr>
              <w:t>02/26/2016</w:t>
            </w: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vMerge w:val="restart"/>
          </w:tcPr>
          <w:p>
            <w:pPr>
              <w:ind w:left="10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760" w:type="dxa"/>
            <w:vAlign w:val="bottom"/>
            <w:tcBorders>
              <w:top w:val="single" w:sz="8" w:color="2C2C2C"/>
            </w:tcBorders>
            <w:vMerge w:val="restart"/>
          </w:tcPr>
          <w:p>
            <w:pPr>
              <w:ind w:left="80"/>
              <w:spacing w:after="0"/>
              <w:rPr>
                <w:sz w:val="20"/>
                <w:szCs w:val="20"/>
                <w:color w:val="auto"/>
              </w:rPr>
            </w:pPr>
            <w:r>
              <w:rPr>
                <w:rFonts w:ascii="Arial" w:cs="Arial" w:eastAsia="Arial" w:hAnsi="Arial"/>
                <w:sz w:val="16"/>
                <w:szCs w:val="16"/>
                <w:color w:val="0000FF"/>
                <w:w w:val="92"/>
              </w:rPr>
              <w:t>7,492,861</w:t>
            </w:r>
          </w:p>
        </w:tc>
        <w:tc>
          <w:tcPr>
            <w:tcW w:w="560" w:type="dxa"/>
            <w:vAlign w:val="bottom"/>
            <w:tcBorders>
              <w:top w:val="single" w:sz="8" w:color="2C2C2C"/>
            </w:tcBorders>
            <w:vMerge w:val="restart"/>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top w:val="single" w:sz="8" w:color="2C2C2C"/>
            </w:tcBorders>
            <w:vMerge w:val="restart"/>
          </w:tcPr>
          <w:p>
            <w:pPr>
              <w:ind w:left="2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60" w:type="dxa"/>
            <w:vAlign w:val="bottom"/>
            <w:tcBorders>
              <w:top w:val="single" w:sz="8" w:color="2C2C2C"/>
            </w:tcBorders>
          </w:tcPr>
          <w:p>
            <w:pPr>
              <w:spacing w:after="0"/>
              <w:rPr>
                <w:sz w:val="21"/>
                <w:szCs w:val="21"/>
                <w:color w:val="auto"/>
              </w:rPr>
            </w:pPr>
          </w:p>
        </w:tc>
        <w:tc>
          <w:tcPr>
            <w:tcW w:w="1100" w:type="dxa"/>
            <w:vAlign w:val="bottom"/>
            <w:tcBorders>
              <w:top w:val="single" w:sz="8" w:color="2C2C2C"/>
            </w:tcBorders>
            <w:gridSpan w:val="3"/>
            <w:vMerge w:val="restart"/>
          </w:tcPr>
          <w:p>
            <w:pPr>
              <w:jc w:val="center"/>
              <w:spacing w:after="0"/>
              <w:rPr>
                <w:sz w:val="20"/>
                <w:szCs w:val="20"/>
                <w:color w:val="auto"/>
              </w:rPr>
            </w:pPr>
            <w:r>
              <w:rPr>
                <w:rFonts w:ascii="Arial" w:cs="Arial" w:eastAsia="Arial" w:hAnsi="Arial"/>
                <w:sz w:val="16"/>
                <w:szCs w:val="16"/>
                <w:color w:val="0000FF"/>
                <w:w w:val="92"/>
              </w:rPr>
              <w:t>83,309,940</w:t>
            </w:r>
          </w:p>
        </w:tc>
        <w:tc>
          <w:tcPr>
            <w:tcW w:w="48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spacing w:after="0"/>
              <w:rPr>
                <w:sz w:val="20"/>
                <w:szCs w:val="20"/>
                <w:color w:val="auto"/>
              </w:rPr>
            </w:pPr>
            <w:r>
              <w:rPr>
                <w:rFonts w:ascii="Arial" w:cs="Arial" w:eastAsia="Arial" w:hAnsi="Arial"/>
                <w:sz w:val="16"/>
                <w:szCs w:val="16"/>
                <w:color w:val="0000FF"/>
              </w:rPr>
              <w:t>I</w:t>
            </w:r>
          </w:p>
        </w:tc>
        <w:tc>
          <w:tcPr>
            <w:tcW w:w="320" w:type="dxa"/>
            <w:vAlign w:val="bottom"/>
            <w:tcBorders>
              <w:top w:val="single" w:sz="8" w:color="2C2C2C"/>
            </w:tcBorders>
          </w:tcPr>
          <w:p>
            <w:pPr>
              <w:ind w:left="60"/>
              <w:spacing w:after="0"/>
              <w:rPr>
                <w:sz w:val="20"/>
                <w:szCs w:val="20"/>
                <w:color w:val="auto"/>
              </w:rPr>
            </w:pPr>
            <w:r>
              <w:rPr>
                <w:rFonts w:ascii="Arial" w:cs="Arial" w:eastAsia="Arial" w:hAnsi="Arial"/>
                <w:sz w:val="16"/>
                <w:szCs w:val="16"/>
                <w:color w:val="0000FF"/>
                <w:w w:val="84"/>
              </w:rPr>
              <w:t>See</w:t>
            </w:r>
          </w:p>
        </w:tc>
        <w:tc>
          <w:tcPr>
            <w:tcW w:w="5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52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3"/>
            <w:vMerge w:val="continue"/>
          </w:tcPr>
          <w:p>
            <w:pPr>
              <w:spacing w:after="0"/>
              <w:rPr>
                <w:sz w:val="9"/>
                <w:szCs w:val="9"/>
                <w:color w:val="auto"/>
              </w:rPr>
            </w:pPr>
          </w:p>
        </w:tc>
        <w:tc>
          <w:tcPr>
            <w:tcW w:w="4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6"/>
                <w:szCs w:val="16"/>
                <w:color w:val="0000FF"/>
              </w:rPr>
              <w:t>footnotes</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520" w:type="dxa"/>
            <w:vAlign w:val="bottom"/>
            <w:gridSpan w:val="17"/>
          </w:tcPr>
          <w:p>
            <w:pPr>
              <w:ind w:left="1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940" w:type="dxa"/>
            <w:vAlign w:val="bottom"/>
            <w:gridSpan w:val="14"/>
          </w:tcPr>
          <w:p>
            <w:pPr>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500" w:type="dxa"/>
            <w:vAlign w:val="bottom"/>
          </w:tcPr>
          <w:p>
            <w:pPr>
              <w:spacing w:after="0"/>
              <w:rPr>
                <w:sz w:val="13"/>
                <w:szCs w:val="13"/>
                <w:color w:val="auto"/>
              </w:rPr>
            </w:pPr>
          </w:p>
        </w:tc>
        <w:tc>
          <w:tcPr>
            <w:tcW w:w="1180" w:type="dxa"/>
            <w:vAlign w:val="bottom"/>
            <w:gridSpan w:val="6"/>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740" w:type="dxa"/>
            <w:vAlign w:val="bottom"/>
          </w:tcPr>
          <w:p>
            <w:pPr>
              <w:jc w:val="center"/>
              <w:ind w:right="2"/>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9"/>
              </w:rPr>
              <w:t>Conversion</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180" w:type="dxa"/>
            <w:vAlign w:val="bottom"/>
            <w:gridSpan w:val="6"/>
          </w:tcPr>
          <w:p>
            <w:pPr>
              <w:ind w:left="20"/>
              <w:spacing w:after="0"/>
              <w:rPr>
                <w:sz w:val="20"/>
                <w:szCs w:val="20"/>
                <w:color w:val="auto"/>
              </w:rPr>
            </w:pPr>
            <w:r>
              <w:rPr>
                <w:rFonts w:ascii="Arial" w:cs="Arial" w:eastAsia="Arial" w:hAnsi="Arial"/>
                <w:sz w:val="11"/>
                <w:szCs w:val="11"/>
                <w:b w:val="1"/>
                <w:bCs w:val="1"/>
                <w:color w:val="auto"/>
              </w:rPr>
              <w:t>Derivative Securities</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740" w:type="dxa"/>
            <w:vAlign w:val="bottom"/>
          </w:tcPr>
          <w:p>
            <w:pPr>
              <w:jc w:val="center"/>
              <w:ind w:right="2"/>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160" w:type="dxa"/>
            <w:vAlign w:val="bottom"/>
            <w:gridSpan w:val="2"/>
          </w:tcPr>
          <w:p>
            <w:pPr>
              <w:ind w:left="1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180" w:type="dxa"/>
            <w:vAlign w:val="bottom"/>
            <w:gridSpan w:val="6"/>
          </w:tcPr>
          <w:p>
            <w:pPr>
              <w:ind w:left="20"/>
              <w:spacing w:after="0"/>
              <w:rPr>
                <w:sz w:val="20"/>
                <w:szCs w:val="20"/>
                <w:color w:val="auto"/>
              </w:rPr>
            </w:pPr>
            <w:r>
              <w:rPr>
                <w:rFonts w:ascii="Arial" w:cs="Arial" w:eastAsia="Arial" w:hAnsi="Arial"/>
                <w:sz w:val="11"/>
                <w:szCs w:val="11"/>
                <w:b w:val="1"/>
                <w:bCs w:val="1"/>
                <w:color w:val="auto"/>
              </w:rPr>
              <w:t>Acquired (A) or</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0"/>
                <w:szCs w:val="10"/>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(Month/Day/Year)</w:t>
            </w:r>
          </w:p>
        </w:tc>
        <w:tc>
          <w:tcPr>
            <w:tcW w:w="42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0"/>
                <w:szCs w:val="10"/>
                <w:color w:val="auto"/>
              </w:rPr>
            </w:pPr>
          </w:p>
        </w:tc>
        <w:tc>
          <w:tcPr>
            <w:tcW w:w="1180" w:type="dxa"/>
            <w:vAlign w:val="bottom"/>
            <w:gridSpan w:val="6"/>
          </w:tcPr>
          <w:p>
            <w:pPr>
              <w:ind w:left="20"/>
              <w:spacing w:after="0"/>
              <w:rPr>
                <w:sz w:val="20"/>
                <w:szCs w:val="20"/>
                <w:color w:val="auto"/>
              </w:rPr>
            </w:pPr>
            <w:r>
              <w:rPr>
                <w:rFonts w:ascii="Arial" w:cs="Arial" w:eastAsia="Arial" w:hAnsi="Arial"/>
                <w:sz w:val="11"/>
                <w:szCs w:val="11"/>
                <w:b w:val="1"/>
                <w:bCs w:val="1"/>
                <w:color w:val="auto"/>
              </w:rPr>
              <w:t>Disposed of (D)</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80" w:type="dxa"/>
            <w:vAlign w:val="bottom"/>
            <w:gridSpan w:val="6"/>
          </w:tcPr>
          <w:p>
            <w:pPr>
              <w:ind w:left="20"/>
              <w:spacing w:after="0"/>
              <w:rPr>
                <w:sz w:val="20"/>
                <w:szCs w:val="20"/>
                <w:color w:val="auto"/>
              </w:rPr>
            </w:pPr>
            <w:r>
              <w:rPr>
                <w:rFonts w:ascii="Arial" w:cs="Arial" w:eastAsia="Arial" w:hAnsi="Arial"/>
                <w:sz w:val="11"/>
                <w:szCs w:val="11"/>
                <w:b w:val="1"/>
                <w:bCs w:val="1"/>
                <w:color w:val="auto"/>
              </w:rPr>
              <w:t>(Instr. 3, 4 and 5)</w:t>
            </w: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Owned</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Security</w:t>
            </w: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(I) (Instr. 4)</w:t>
            </w: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gridSpan w:val="4"/>
          </w:tcPr>
          <w:p>
            <w:pPr>
              <w:ind w:left="20"/>
              <w:spacing w:after="0"/>
              <w:rPr>
                <w:sz w:val="20"/>
                <w:szCs w:val="20"/>
                <w:color w:val="auto"/>
              </w:rPr>
            </w:pPr>
            <w:r>
              <w:rPr>
                <w:rFonts w:ascii="Arial" w:cs="Arial" w:eastAsia="Arial" w:hAnsi="Arial"/>
                <w:sz w:val="11"/>
                <w:szCs w:val="11"/>
                <w:b w:val="1"/>
                <w:bCs w:val="1"/>
                <w:color w:val="auto"/>
              </w:rPr>
              <w:t>(A)</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4)</w:t>
            </w: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color w:val="0000FF"/>
                <w:w w:val="92"/>
              </w:rPr>
              <w:t>4,535,429</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23" w:lineRule="exact"/>
              <w:rPr>
                <w:sz w:val="20"/>
                <w:szCs w:val="20"/>
                <w:color w:val="auto"/>
              </w:rPr>
            </w:pPr>
            <w:r>
              <w:rPr>
                <w:rFonts w:ascii="Arial" w:cs="Arial" w:eastAsia="Arial" w:hAnsi="Arial"/>
                <w:sz w:val="13"/>
                <w:szCs w:val="13"/>
                <w:color w:val="0000FF"/>
              </w:rPr>
              <w:t>LLC Units</w:t>
            </w:r>
          </w:p>
        </w:tc>
        <w:tc>
          <w:tcPr>
            <w:tcW w:w="700" w:type="dxa"/>
            <w:vAlign w:val="bottom"/>
            <w:vMerge w:val="continue"/>
          </w:tcPr>
          <w:p>
            <w:pPr>
              <w:spacing w:after="0"/>
              <w:rPr>
                <w:sz w:val="4"/>
                <w:szCs w:val="4"/>
                <w:color w:val="auto"/>
              </w:rPr>
            </w:pPr>
          </w:p>
        </w:tc>
        <w:tc>
          <w:tcPr>
            <w:tcW w:w="960" w:type="dxa"/>
            <w:vAlign w:val="bottom"/>
            <w:vMerge w:val="restart"/>
          </w:tcPr>
          <w:p>
            <w:pPr>
              <w:ind w:left="320"/>
              <w:spacing w:after="0" w:line="123" w:lineRule="exact"/>
              <w:rPr>
                <w:sz w:val="20"/>
                <w:szCs w:val="20"/>
                <w:color w:val="auto"/>
              </w:rPr>
            </w:pPr>
            <w:r>
              <w:rPr>
                <w:rFonts w:ascii="Arial" w:cs="Arial" w:eastAsia="Arial" w:hAnsi="Arial"/>
                <w:sz w:val="13"/>
                <w:szCs w:val="13"/>
                <w:color w:val="0000FF"/>
                <w:w w:val="95"/>
              </w:rPr>
              <w:t>02/26/2016</w:t>
            </w: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w w:val="89"/>
              </w:rPr>
              <w:t>4,535,429</w:t>
            </w: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40" w:type="dxa"/>
            <w:vAlign w:val="bottom"/>
            <w:gridSpan w:val="2"/>
            <w:vMerge w:val="continue"/>
          </w:tcPr>
          <w:p>
            <w:pPr>
              <w:spacing w:after="0"/>
              <w:rPr>
                <w:sz w:val="4"/>
                <w:szCs w:val="4"/>
                <w:color w:val="auto"/>
              </w:rPr>
            </w:pPr>
          </w:p>
        </w:tc>
        <w:tc>
          <w:tcPr>
            <w:tcW w:w="780" w:type="dxa"/>
            <w:vAlign w:val="bottom"/>
            <w:gridSpan w:val="2"/>
            <w:vMerge w:val="restart"/>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320" w:type="dxa"/>
            <w:vAlign w:val="bottom"/>
          </w:tcPr>
          <w:p>
            <w:pPr>
              <w:spacing w:after="0"/>
              <w:rPr>
                <w:sz w:val="4"/>
                <w:szCs w:val="4"/>
                <w:color w:val="auto"/>
              </w:rPr>
            </w:pPr>
          </w:p>
        </w:tc>
        <w:tc>
          <w:tcPr>
            <w:tcW w:w="480" w:type="dxa"/>
            <w:vAlign w:val="bottom"/>
            <w:vMerge w:val="restart"/>
          </w:tcPr>
          <w:p>
            <w:pPr>
              <w:jc w:val="center"/>
              <w:ind w:right="241"/>
              <w:spacing w:after="0" w:line="123" w:lineRule="exact"/>
              <w:rPr>
                <w:sz w:val="20"/>
                <w:szCs w:val="20"/>
                <w:color w:val="auto"/>
              </w:rPr>
            </w:pPr>
            <w:r>
              <w:rPr>
                <w:rFonts w:ascii="Arial" w:cs="Arial" w:eastAsia="Arial" w:hAnsi="Arial"/>
                <w:sz w:val="13"/>
                <w:szCs w:val="13"/>
                <w:color w:val="0000FF"/>
                <w:w w:val="82"/>
              </w:rPr>
              <w:t>0</w:t>
            </w:r>
          </w:p>
        </w:tc>
        <w:tc>
          <w:tcPr>
            <w:tcW w:w="520" w:type="dxa"/>
            <w:vAlign w:val="bottom"/>
            <w:vMerge w:val="restart"/>
          </w:tcPr>
          <w:p>
            <w:pPr>
              <w:ind w:left="400"/>
              <w:spacing w:after="0" w:line="123"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3"/>
          </w:tcPr>
          <w:p>
            <w:pPr>
              <w:ind w:left="460"/>
              <w:spacing w:after="0" w:line="77" w:lineRule="exact"/>
              <w:rPr>
                <w:sz w:val="20"/>
                <w:szCs w:val="20"/>
                <w:color w:val="auto"/>
              </w:rPr>
            </w:pPr>
            <w:r>
              <w:rPr>
                <w:rFonts w:ascii="Arial" w:cs="Arial" w:eastAsia="Arial" w:hAnsi="Arial"/>
                <w:sz w:val="8"/>
                <w:szCs w:val="8"/>
                <w:color w:val="008000"/>
              </w:rPr>
              <w:t>(2)</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3"/>
          </w:tcPr>
          <w:p>
            <w:pPr>
              <w:spacing w:after="0" w:line="139"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color w:val="0000FF"/>
                <w:w w:val="92"/>
              </w:rPr>
              <w:t>2,957,432</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23" w:lineRule="exact"/>
              <w:rPr>
                <w:sz w:val="20"/>
                <w:szCs w:val="20"/>
                <w:color w:val="auto"/>
              </w:rPr>
            </w:pPr>
            <w:r>
              <w:rPr>
                <w:rFonts w:ascii="Arial" w:cs="Arial" w:eastAsia="Arial" w:hAnsi="Arial"/>
                <w:sz w:val="13"/>
                <w:szCs w:val="13"/>
                <w:color w:val="0000FF"/>
              </w:rPr>
              <w:t>LLC Units</w:t>
            </w:r>
          </w:p>
        </w:tc>
        <w:tc>
          <w:tcPr>
            <w:tcW w:w="700" w:type="dxa"/>
            <w:vAlign w:val="bottom"/>
            <w:vMerge w:val="continue"/>
          </w:tcPr>
          <w:p>
            <w:pPr>
              <w:spacing w:after="0"/>
              <w:rPr>
                <w:sz w:val="4"/>
                <w:szCs w:val="4"/>
                <w:color w:val="auto"/>
              </w:rPr>
            </w:pPr>
          </w:p>
        </w:tc>
        <w:tc>
          <w:tcPr>
            <w:tcW w:w="960" w:type="dxa"/>
            <w:vAlign w:val="bottom"/>
            <w:vMerge w:val="restart"/>
          </w:tcPr>
          <w:p>
            <w:pPr>
              <w:ind w:left="320"/>
              <w:spacing w:after="0" w:line="123" w:lineRule="exact"/>
              <w:rPr>
                <w:sz w:val="20"/>
                <w:szCs w:val="20"/>
                <w:color w:val="auto"/>
              </w:rPr>
            </w:pPr>
            <w:r>
              <w:rPr>
                <w:rFonts w:ascii="Arial" w:cs="Arial" w:eastAsia="Arial" w:hAnsi="Arial"/>
                <w:sz w:val="13"/>
                <w:szCs w:val="13"/>
                <w:color w:val="0000FF"/>
                <w:w w:val="95"/>
              </w:rPr>
              <w:t>02/26/2016</w:t>
            </w: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gridSpan w:val="2"/>
            <w:vMerge w:val="restart"/>
          </w:tcPr>
          <w:p>
            <w:pPr>
              <w:ind w:left="60"/>
              <w:spacing w:after="0" w:line="123" w:lineRule="exact"/>
              <w:rPr>
                <w:sz w:val="20"/>
                <w:szCs w:val="20"/>
                <w:color w:val="auto"/>
              </w:rPr>
            </w:pPr>
            <w:r>
              <w:rPr>
                <w:rFonts w:ascii="Arial" w:cs="Arial" w:eastAsia="Arial" w:hAnsi="Arial"/>
                <w:sz w:val="13"/>
                <w:szCs w:val="13"/>
                <w:color w:val="0000FF"/>
                <w:w w:val="89"/>
              </w:rPr>
              <w:t>2,957,432</w:t>
            </w: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40" w:type="dxa"/>
            <w:vAlign w:val="bottom"/>
            <w:gridSpan w:val="2"/>
            <w:vMerge w:val="continue"/>
          </w:tcPr>
          <w:p>
            <w:pPr>
              <w:spacing w:after="0"/>
              <w:rPr>
                <w:sz w:val="4"/>
                <w:szCs w:val="4"/>
                <w:color w:val="auto"/>
              </w:rPr>
            </w:pPr>
          </w:p>
        </w:tc>
        <w:tc>
          <w:tcPr>
            <w:tcW w:w="780" w:type="dxa"/>
            <w:vAlign w:val="bottom"/>
            <w:gridSpan w:val="2"/>
            <w:vMerge w:val="restart"/>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320" w:type="dxa"/>
            <w:vAlign w:val="bottom"/>
          </w:tcPr>
          <w:p>
            <w:pPr>
              <w:spacing w:after="0"/>
              <w:rPr>
                <w:sz w:val="4"/>
                <w:szCs w:val="4"/>
                <w:color w:val="auto"/>
              </w:rPr>
            </w:pPr>
          </w:p>
        </w:tc>
        <w:tc>
          <w:tcPr>
            <w:tcW w:w="480" w:type="dxa"/>
            <w:vAlign w:val="bottom"/>
            <w:vMerge w:val="restart"/>
          </w:tcPr>
          <w:p>
            <w:pPr>
              <w:jc w:val="center"/>
              <w:ind w:right="241"/>
              <w:spacing w:after="0" w:line="123" w:lineRule="exact"/>
              <w:rPr>
                <w:sz w:val="20"/>
                <w:szCs w:val="20"/>
                <w:color w:val="auto"/>
              </w:rPr>
            </w:pPr>
            <w:r>
              <w:rPr>
                <w:rFonts w:ascii="Arial" w:cs="Arial" w:eastAsia="Arial" w:hAnsi="Arial"/>
                <w:sz w:val="13"/>
                <w:szCs w:val="13"/>
                <w:color w:val="0000FF"/>
                <w:w w:val="82"/>
              </w:rPr>
              <w:t>0</w:t>
            </w:r>
          </w:p>
        </w:tc>
        <w:tc>
          <w:tcPr>
            <w:tcW w:w="520" w:type="dxa"/>
            <w:vAlign w:val="bottom"/>
            <w:vMerge w:val="restart"/>
          </w:tcPr>
          <w:p>
            <w:pPr>
              <w:ind w:left="400"/>
              <w:spacing w:after="0" w:line="123"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3"/>
          </w:tcPr>
          <w:p>
            <w:pPr>
              <w:ind w:left="460"/>
              <w:spacing w:after="0" w:line="77" w:lineRule="exact"/>
              <w:rPr>
                <w:sz w:val="20"/>
                <w:szCs w:val="20"/>
                <w:color w:val="auto"/>
              </w:rPr>
            </w:pPr>
            <w:r>
              <w:rPr>
                <w:rFonts w:ascii="Arial" w:cs="Arial" w:eastAsia="Arial" w:hAnsi="Arial"/>
                <w:sz w:val="8"/>
                <w:szCs w:val="8"/>
                <w:color w:val="008000"/>
              </w:rPr>
              <w:t>(3)</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3"/>
          </w:tcPr>
          <w:p>
            <w:pPr>
              <w:spacing w:after="0" w:line="139"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25"/>
                <w:szCs w:val="25"/>
                <w:color w:val="0000FF"/>
                <w:vertAlign w:val="subscript"/>
              </w:rPr>
              <w:t>J</w:t>
            </w:r>
            <w:r>
              <w:rPr>
                <w:rFonts w:ascii="Arial" w:cs="Arial" w:eastAsia="Arial" w:hAnsi="Arial"/>
                <w:sz w:val="11"/>
                <w:szCs w:val="11"/>
                <w:color w:val="008000"/>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60"/>
              <w:spacing w:after="0"/>
              <w:rPr>
                <w:sz w:val="20"/>
                <w:szCs w:val="20"/>
                <w:color w:val="auto"/>
              </w:rPr>
            </w:pPr>
            <w:r>
              <w:rPr>
                <w:rFonts w:ascii="Arial" w:cs="Arial" w:eastAsia="Arial" w:hAnsi="Arial"/>
                <w:sz w:val="11"/>
                <w:szCs w:val="11"/>
                <w:color w:val="008000"/>
              </w:rPr>
              <w:t>(5)</w:t>
            </w: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gridSpan w:val="2"/>
            <w:vMerge w:val="restart"/>
          </w:tcPr>
          <w:p>
            <w:pPr>
              <w:ind w:left="60"/>
              <w:spacing w:after="0"/>
              <w:rPr>
                <w:sz w:val="20"/>
                <w:szCs w:val="20"/>
                <w:color w:val="auto"/>
              </w:rPr>
            </w:pPr>
            <w:r>
              <w:rPr>
                <w:rFonts w:ascii="Arial" w:cs="Arial" w:eastAsia="Arial" w:hAnsi="Arial"/>
                <w:sz w:val="16"/>
                <w:szCs w:val="16"/>
                <w:color w:val="0000FF"/>
                <w:w w:val="92"/>
              </w:rPr>
              <w:t>7,492,861</w:t>
            </w: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3"/>
            <w:vMerge w:val="restart"/>
          </w:tcPr>
          <w:p>
            <w:pPr>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60" w:type="dxa"/>
            <w:vAlign w:val="bottom"/>
            <w:gridSpan w:val="3"/>
            <w:vMerge w:val="restart"/>
          </w:tcPr>
          <w:p>
            <w:pPr>
              <w:ind w:left="60"/>
              <w:spacing w:after="0" w:line="123" w:lineRule="exact"/>
              <w:rPr>
                <w:sz w:val="20"/>
                <w:szCs w:val="20"/>
                <w:color w:val="auto"/>
              </w:rPr>
            </w:pPr>
            <w:r>
              <w:rPr>
                <w:rFonts w:ascii="Arial" w:cs="Arial" w:eastAsia="Arial" w:hAnsi="Arial"/>
                <w:sz w:val="13"/>
                <w:szCs w:val="13"/>
                <w:color w:val="0000FF"/>
              </w:rPr>
              <w:t>LLC Units</w:t>
            </w:r>
          </w:p>
        </w:tc>
        <w:tc>
          <w:tcPr>
            <w:tcW w:w="700" w:type="dxa"/>
            <w:vAlign w:val="bottom"/>
            <w:vMerge w:val="continue"/>
          </w:tcPr>
          <w:p>
            <w:pPr>
              <w:spacing w:after="0"/>
              <w:rPr>
                <w:sz w:val="4"/>
                <w:szCs w:val="4"/>
                <w:color w:val="auto"/>
              </w:rPr>
            </w:pPr>
          </w:p>
        </w:tc>
        <w:tc>
          <w:tcPr>
            <w:tcW w:w="960" w:type="dxa"/>
            <w:vAlign w:val="bottom"/>
            <w:vMerge w:val="restart"/>
          </w:tcPr>
          <w:p>
            <w:pPr>
              <w:ind w:left="320"/>
              <w:spacing w:after="0" w:line="123" w:lineRule="exact"/>
              <w:rPr>
                <w:sz w:val="20"/>
                <w:szCs w:val="20"/>
                <w:color w:val="auto"/>
              </w:rPr>
            </w:pPr>
            <w:r>
              <w:rPr>
                <w:rFonts w:ascii="Arial" w:cs="Arial" w:eastAsia="Arial" w:hAnsi="Arial"/>
                <w:sz w:val="13"/>
                <w:szCs w:val="13"/>
                <w:color w:val="0000FF"/>
                <w:w w:val="95"/>
              </w:rPr>
              <w:t>02/26/2016</w:t>
            </w: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580" w:type="dxa"/>
            <w:vAlign w:val="bottom"/>
            <w:gridSpan w:val="4"/>
            <w:vMerge w:val="restart"/>
          </w:tcPr>
          <w:p>
            <w:pPr>
              <w:ind w:left="20"/>
              <w:spacing w:after="0" w:line="123" w:lineRule="exact"/>
              <w:rPr>
                <w:sz w:val="20"/>
                <w:szCs w:val="20"/>
                <w:color w:val="auto"/>
              </w:rPr>
            </w:pPr>
            <w:r>
              <w:rPr>
                <w:rFonts w:ascii="Arial" w:cs="Arial" w:eastAsia="Arial" w:hAnsi="Arial"/>
                <w:sz w:val="13"/>
                <w:szCs w:val="13"/>
                <w:color w:val="0000FF"/>
                <w:w w:val="93"/>
              </w:rPr>
              <w:t>7,492,861</w:t>
            </w: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560" w:type="dxa"/>
            <w:vAlign w:val="bottom"/>
            <w:vMerge w:val="restart"/>
          </w:tcPr>
          <w:p>
            <w:pPr>
              <w:jc w:val="center"/>
              <w:spacing w:after="0" w:line="123" w:lineRule="exact"/>
              <w:rPr>
                <w:sz w:val="20"/>
                <w:szCs w:val="20"/>
                <w:color w:val="auto"/>
              </w:rPr>
            </w:pPr>
            <w:r>
              <w:rPr>
                <w:rFonts w:ascii="Arial" w:cs="Arial" w:eastAsia="Arial" w:hAnsi="Arial"/>
                <w:sz w:val="13"/>
                <w:szCs w:val="13"/>
                <w:color w:val="0000FF"/>
                <w:w w:val="90"/>
              </w:rPr>
              <w:t>Common</w:t>
            </w:r>
          </w:p>
        </w:tc>
        <w:tc>
          <w:tcPr>
            <w:tcW w:w="740" w:type="dxa"/>
            <w:vAlign w:val="bottom"/>
            <w:gridSpan w:val="2"/>
            <w:vMerge w:val="continue"/>
          </w:tcPr>
          <w:p>
            <w:pPr>
              <w:spacing w:after="0"/>
              <w:rPr>
                <w:sz w:val="4"/>
                <w:szCs w:val="4"/>
                <w:color w:val="auto"/>
              </w:rPr>
            </w:pPr>
          </w:p>
        </w:tc>
        <w:tc>
          <w:tcPr>
            <w:tcW w:w="780" w:type="dxa"/>
            <w:vAlign w:val="bottom"/>
            <w:gridSpan w:val="2"/>
            <w:vMerge w:val="restart"/>
          </w:tcPr>
          <w:p>
            <w:pPr>
              <w:jc w:val="center"/>
              <w:spacing w:after="0" w:line="123" w:lineRule="exact"/>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00" w:type="dxa"/>
            <w:vAlign w:val="bottom"/>
            <w:gridSpan w:val="2"/>
            <w:vMerge w:val="restart"/>
          </w:tcPr>
          <w:p>
            <w:pPr>
              <w:jc w:val="center"/>
              <w:spacing w:after="0" w:line="123" w:lineRule="exact"/>
              <w:rPr>
                <w:sz w:val="20"/>
                <w:szCs w:val="20"/>
                <w:color w:val="auto"/>
              </w:rPr>
            </w:pPr>
            <w:r>
              <w:rPr>
                <w:rFonts w:ascii="Arial" w:cs="Arial" w:eastAsia="Arial" w:hAnsi="Arial"/>
                <w:sz w:val="13"/>
                <w:szCs w:val="13"/>
                <w:color w:val="0000FF"/>
                <w:w w:val="86"/>
              </w:rPr>
              <w:t>83,309,940</w:t>
            </w:r>
          </w:p>
        </w:tc>
        <w:tc>
          <w:tcPr>
            <w:tcW w:w="520" w:type="dxa"/>
            <w:vAlign w:val="bottom"/>
            <w:vMerge w:val="restart"/>
          </w:tcPr>
          <w:p>
            <w:pPr>
              <w:ind w:left="400"/>
              <w:spacing w:after="0" w:line="123" w:lineRule="exact"/>
              <w:rPr>
                <w:sz w:val="20"/>
                <w:szCs w:val="20"/>
                <w:color w:val="auto"/>
              </w:rPr>
            </w:pPr>
            <w:r>
              <w:rPr>
                <w:rFonts w:ascii="Arial" w:cs="Arial" w:eastAsia="Arial" w:hAnsi="Arial"/>
                <w:sz w:val="13"/>
                <w:szCs w:val="13"/>
                <w:color w:val="0000FF"/>
              </w:rPr>
              <w:t>I</w:t>
            </w:r>
          </w:p>
        </w:tc>
        <w:tc>
          <w:tcPr>
            <w:tcW w:w="3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580" w:type="dxa"/>
            <w:vAlign w:val="bottom"/>
            <w:gridSpan w:val="4"/>
            <w:vMerge w:val="continue"/>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gridSpan w:val="3"/>
          </w:tcPr>
          <w:p>
            <w:pPr>
              <w:ind w:left="460"/>
              <w:spacing w:after="0" w:line="77" w:lineRule="exact"/>
              <w:rPr>
                <w:sz w:val="20"/>
                <w:szCs w:val="20"/>
                <w:color w:val="auto"/>
              </w:rPr>
            </w:pPr>
            <w:r>
              <w:rPr>
                <w:rFonts w:ascii="Arial" w:cs="Arial" w:eastAsia="Arial" w:hAnsi="Arial"/>
                <w:sz w:val="8"/>
                <w:szCs w:val="8"/>
                <w:color w:val="008000"/>
              </w:rPr>
              <w:t>(4)</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5"/>
              </w:rPr>
              <w:t>Stock</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gridSpan w:val="3"/>
          </w:tcPr>
          <w:p>
            <w:pPr>
              <w:spacing w:after="0" w:line="139" w:lineRule="exact"/>
              <w:rPr>
                <w:sz w:val="20"/>
                <w:szCs w:val="20"/>
                <w:color w:val="auto"/>
              </w:rPr>
            </w:pPr>
            <w:r>
              <w:rPr>
                <w:rFonts w:ascii="Arial" w:cs="Arial" w:eastAsia="Arial" w:hAnsi="Arial"/>
                <w:sz w:val="13"/>
                <w:szCs w:val="13"/>
                <w:color w:val="0000FF"/>
              </w:rPr>
              <w:t>footnotes</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6"/>
          </w:tcPr>
          <w:p>
            <w:pPr>
              <w:ind w:left="60"/>
              <w:spacing w:after="0" w:line="229"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6"/>
          </w:tcPr>
          <w:p>
            <w:pPr>
              <w:spacing w:after="0" w:line="210" w:lineRule="exact"/>
              <w:rPr>
                <w:rFonts w:ascii="Arial" w:cs="Arial" w:eastAsia="Arial" w:hAnsi="Arial"/>
                <w:sz w:val="20"/>
                <w:szCs w:val="20"/>
                <w:color w:val="0000EE"/>
              </w:rPr>
            </w:pPr>
            <w:hyperlink r:id="rId12">
              <w:r>
                <w:rPr>
                  <w:rFonts w:ascii="Arial" w:cs="Arial" w:eastAsia="Arial" w:hAnsi="Arial"/>
                  <w:sz w:val="20"/>
                  <w:szCs w:val="20"/>
                  <w:color w:val="0000EE"/>
                </w:rPr>
                <w:t>Fidelity National Financial, Inc.</w:t>
              </w:r>
            </w:hyperlink>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3"/>
                <w:szCs w:val="13"/>
                <w:color w:val="auto"/>
                <w:w w:val="93"/>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601 RIVERSIDE AVE</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160" w:type="dxa"/>
            <w:vAlign w:val="bottom"/>
            <w:gridSpan w:val="2"/>
          </w:tcPr>
          <w:p>
            <w:pPr>
              <w:ind w:left="200"/>
              <w:spacing w:after="0"/>
              <w:rPr>
                <w:sz w:val="20"/>
                <w:szCs w:val="20"/>
                <w:color w:val="auto"/>
              </w:rPr>
            </w:pPr>
            <w:r>
              <w:rPr>
                <w:rFonts w:ascii="Arial" w:cs="Arial" w:eastAsia="Arial" w:hAnsi="Arial"/>
                <w:sz w:val="16"/>
                <w:szCs w:val="16"/>
                <w:color w:val="0000FF"/>
              </w:rPr>
              <w:t>FL</w:t>
            </w:r>
          </w:p>
        </w:tc>
        <w:tc>
          <w:tcPr>
            <w:tcW w:w="960" w:type="dxa"/>
            <w:vAlign w:val="bottom"/>
            <w:gridSpan w:val="2"/>
          </w:tcPr>
          <w:p>
            <w:pPr>
              <w:ind w:left="500"/>
              <w:spacing w:after="0"/>
              <w:rPr>
                <w:sz w:val="20"/>
                <w:szCs w:val="20"/>
                <w:color w:val="auto"/>
              </w:rPr>
            </w:pPr>
            <w:r>
              <w:rPr>
                <w:rFonts w:ascii="Arial" w:cs="Arial" w:eastAsia="Arial" w:hAnsi="Arial"/>
                <w:sz w:val="16"/>
                <w:szCs w:val="16"/>
                <w:color w:val="0000FF"/>
                <w:w w:val="98"/>
              </w:rPr>
              <w:t>32204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4"/>
          </w:tcPr>
          <w:p>
            <w:pPr>
              <w:spacing w:after="0" w:line="210" w:lineRule="exact"/>
              <w:rPr>
                <w:rFonts w:ascii="Arial" w:cs="Arial" w:eastAsia="Arial" w:hAnsi="Arial"/>
                <w:sz w:val="20"/>
                <w:szCs w:val="20"/>
                <w:color w:val="0000EE"/>
                <w:w w:val="99"/>
              </w:rPr>
            </w:pPr>
            <w:hyperlink r:id="rId14">
              <w:r>
                <w:rPr>
                  <w:rFonts w:ascii="Arial" w:cs="Arial" w:eastAsia="Arial" w:hAnsi="Arial"/>
                  <w:sz w:val="20"/>
                  <w:szCs w:val="20"/>
                  <w:color w:val="0000EE"/>
                  <w:w w:val="99"/>
                </w:rPr>
                <w:t>Chicago Title Insurance Co</w:t>
              </w:r>
            </w:hyperlink>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3"/>
                <w:szCs w:val="13"/>
                <w:color w:val="auto"/>
                <w:w w:val="93"/>
              </w:rPr>
              <w:t>(Middle)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4"/>
          </w:tcPr>
          <w:p>
            <w:pPr>
              <w:spacing w:after="0"/>
              <w:rPr>
                <w:sz w:val="20"/>
                <w:szCs w:val="20"/>
                <w:color w:val="auto"/>
              </w:rPr>
            </w:pPr>
            <w:r>
              <w:rPr>
                <w:rFonts w:ascii="Arial" w:cs="Arial" w:eastAsia="Arial" w:hAnsi="Arial"/>
                <w:sz w:val="16"/>
                <w:szCs w:val="16"/>
                <w:color w:val="0000FF"/>
              </w:rPr>
              <w:t>601 RIVERSIDE AVE</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160" w:type="dxa"/>
            <w:vAlign w:val="bottom"/>
            <w:gridSpan w:val="2"/>
          </w:tcPr>
          <w:p>
            <w:pPr>
              <w:ind w:left="200"/>
              <w:spacing w:after="0"/>
              <w:rPr>
                <w:sz w:val="20"/>
                <w:szCs w:val="20"/>
                <w:color w:val="auto"/>
              </w:rPr>
            </w:pPr>
            <w:r>
              <w:rPr>
                <w:rFonts w:ascii="Arial" w:cs="Arial" w:eastAsia="Arial" w:hAnsi="Arial"/>
                <w:sz w:val="16"/>
                <w:szCs w:val="16"/>
                <w:color w:val="0000FF"/>
              </w:rPr>
              <w:t>FL</w:t>
            </w:r>
          </w:p>
        </w:tc>
        <w:tc>
          <w:tcPr>
            <w:tcW w:w="960" w:type="dxa"/>
            <w:vAlign w:val="bottom"/>
            <w:gridSpan w:val="2"/>
          </w:tcPr>
          <w:p>
            <w:pPr>
              <w:ind w:left="500"/>
              <w:spacing w:after="0"/>
              <w:rPr>
                <w:sz w:val="20"/>
                <w:szCs w:val="20"/>
                <w:color w:val="auto"/>
              </w:rPr>
            </w:pPr>
            <w:r>
              <w:rPr>
                <w:rFonts w:ascii="Arial" w:cs="Arial" w:eastAsia="Arial" w:hAnsi="Arial"/>
                <w:sz w:val="16"/>
                <w:szCs w:val="16"/>
                <w:color w:val="0000FF"/>
                <w:w w:val="98"/>
              </w:rPr>
              <w:t>32204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16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7291705</wp:posOffset>
            </wp:positionH>
            <wp:positionV relativeFrom="paragraph">
              <wp:posOffset>-5263515</wp:posOffset>
            </wp:positionV>
            <wp:extent cx="23495" cy="2197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3495" cy="2197735"/>
                    </a:xfrm>
                    <a:prstGeom prst="rect">
                      <a:avLst/>
                    </a:prstGeom>
                    <a:noFill/>
                  </pic:spPr>
                </pic:pic>
              </a:graphicData>
            </a:graphic>
          </wp:anchor>
        </w:drawing>
      </w:r>
    </w:p>
    <w:p>
      <w:pPr>
        <w:spacing w:after="0" w:line="101"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Fidelity National Title Insurance Co</w:t>
        </w:r>
      </w:hyperlink>
    </w:p>
    <w:p>
      <w:pPr>
        <w:sectPr>
          <w:pgSz w:w="11900" w:h="16839" w:orient="portrait"/>
          <w:cols w:equalWidth="0" w:num="1">
            <w:col w:w="11520"/>
          </w:cols>
          <w:pgMar w:left="240" w:top="219" w:right="139" w:bottom="0" w:gutter="0" w:footer="0" w:header="0"/>
          <w:type w:val="continuous"/>
        </w:sectPr>
      </w:pPr>
    </w:p>
    <w:p>
      <w:pPr>
        <w:spacing w:after="0" w:line="303"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9" w:orient="portrait"/>
          <w:cols w:equalWidth="0" w:num="1">
            <w:col w:w="11520"/>
          </w:cols>
          <w:pgMar w:left="240" w:top="219"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6"/>
          <w:szCs w:val="16"/>
          <w:color w:val="0000FF"/>
        </w:rPr>
        <w:t>601 RIVERSIDE 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-110490</wp:posOffset>
            </wp:positionV>
            <wp:extent cx="2927350" cy="5624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7350" cy="5624830"/>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5"/>
        </w:trPr>
        <w:tc>
          <w:tcPr>
            <w:tcW w:w="1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50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1520" w:type="dxa"/>
            <w:vAlign w:val="bottom"/>
          </w:tcPr>
          <w:p>
            <w:pPr>
              <w:ind w:left="80"/>
              <w:spacing w:after="0"/>
              <w:rPr>
                <w:sz w:val="20"/>
                <w:szCs w:val="20"/>
                <w:color w:val="auto"/>
              </w:rPr>
            </w:pPr>
            <w:r>
              <w:rPr>
                <w:rFonts w:ascii="Arial" w:cs="Arial" w:eastAsia="Arial" w:hAnsi="Arial"/>
                <w:sz w:val="16"/>
                <w:szCs w:val="16"/>
                <w:color w:val="0000FF"/>
              </w:rPr>
              <w:t>32204</w:t>
            </w:r>
          </w:p>
        </w:tc>
        <w:tc>
          <w:tcPr>
            <w:tcW w:w="80" w:type="dxa"/>
            <w:vAlign w:val="bottom"/>
          </w:tcPr>
          <w:p>
            <w:pPr>
              <w:spacing w:after="0"/>
              <w:rPr>
                <w:sz w:val="19"/>
                <w:szCs w:val="19"/>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4"/>
        </w:trPr>
        <w:tc>
          <w:tcPr>
            <w:tcW w:w="29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1"/>
        </w:trPr>
        <w:tc>
          <w:tcPr>
            <w:tcW w:w="100" w:type="dxa"/>
            <w:vAlign w:val="bottom"/>
          </w:tcPr>
          <w:p>
            <w:pPr>
              <w:spacing w:after="0"/>
              <w:rPr>
                <w:sz w:val="18"/>
                <w:szCs w:val="18"/>
                <w:color w:val="auto"/>
              </w:rPr>
            </w:pPr>
          </w:p>
        </w:tc>
        <w:tc>
          <w:tcPr>
            <w:tcW w:w="2840" w:type="dxa"/>
            <w:vAlign w:val="bottom"/>
            <w:gridSpan w:val="6"/>
          </w:tcPr>
          <w:p>
            <w:pPr>
              <w:spacing w:after="0" w:line="210" w:lineRule="exact"/>
              <w:rPr>
                <w:rFonts w:ascii="Arial" w:cs="Arial" w:eastAsia="Arial" w:hAnsi="Arial"/>
                <w:sz w:val="20"/>
                <w:szCs w:val="20"/>
                <w:color w:val="0000EE"/>
              </w:rPr>
            </w:pPr>
            <w:hyperlink r:id="rId18">
              <w:r>
                <w:rPr>
                  <w:rFonts w:ascii="Arial" w:cs="Arial" w:eastAsia="Arial" w:hAnsi="Arial"/>
                  <w:sz w:val="20"/>
                  <w:szCs w:val="20"/>
                  <w:color w:val="0000EE"/>
                </w:rPr>
                <w:t>Black Knight Holdings, Inc.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840" w:type="dxa"/>
            <w:vAlign w:val="bottom"/>
            <w:gridSpan w:val="6"/>
          </w:tcPr>
          <w:p>
            <w:pPr>
              <w:spacing w:after="0"/>
              <w:rPr>
                <w:sz w:val="20"/>
                <w:szCs w:val="20"/>
                <w:color w:val="auto"/>
              </w:rPr>
            </w:pPr>
            <w:r>
              <w:rPr>
                <w:rFonts w:ascii="Arial" w:cs="Arial" w:eastAsia="Arial" w:hAnsi="Arial"/>
                <w:sz w:val="16"/>
                <w:szCs w:val="16"/>
                <w:color w:val="0000FF"/>
              </w:rPr>
              <w:t>601 RIVERSIDE AVE</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7"/>
        </w:trPr>
        <w:tc>
          <w:tcPr>
            <w:tcW w:w="120" w:type="dxa"/>
            <w:vAlign w:val="bottom"/>
            <w:gridSpan w:val="2"/>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50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1520" w:type="dxa"/>
            <w:vAlign w:val="bottom"/>
          </w:tcPr>
          <w:p>
            <w:pPr>
              <w:ind w:left="80"/>
              <w:spacing w:after="0"/>
              <w:rPr>
                <w:sz w:val="20"/>
                <w:szCs w:val="20"/>
                <w:color w:val="auto"/>
              </w:rPr>
            </w:pPr>
            <w:r>
              <w:rPr>
                <w:rFonts w:ascii="Arial" w:cs="Arial" w:eastAsia="Arial" w:hAnsi="Arial"/>
                <w:sz w:val="16"/>
                <w:szCs w:val="16"/>
                <w:color w:val="0000FF"/>
              </w:rPr>
              <w:t>32204</w:t>
            </w:r>
          </w:p>
        </w:tc>
        <w:tc>
          <w:tcPr>
            <w:tcW w:w="80" w:type="dxa"/>
            <w:vAlign w:val="bottom"/>
          </w:tcPr>
          <w:p>
            <w:pPr>
              <w:spacing w:after="0"/>
              <w:rPr>
                <w:sz w:val="19"/>
                <w:szCs w:val="19"/>
                <w:color w:val="auto"/>
              </w:rPr>
            </w:pPr>
          </w:p>
        </w:tc>
      </w:tr>
      <w:tr>
        <w:trPr>
          <w:trHeight w:val="147"/>
        </w:trPr>
        <w:tc>
          <w:tcPr>
            <w:tcW w:w="100" w:type="dxa"/>
            <w:vAlign w:val="bottom"/>
          </w:tcPr>
          <w:p>
            <w:pPr>
              <w:spacing w:after="0"/>
              <w:rPr>
                <w:sz w:val="12"/>
                <w:szCs w:val="12"/>
                <w:color w:val="auto"/>
              </w:rPr>
            </w:pPr>
          </w:p>
        </w:tc>
        <w:tc>
          <w:tcPr>
            <w:tcW w:w="13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19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4"/>
        </w:trPr>
        <w:tc>
          <w:tcPr>
            <w:tcW w:w="29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1"/>
        </w:trPr>
        <w:tc>
          <w:tcPr>
            <w:tcW w:w="100" w:type="dxa"/>
            <w:vAlign w:val="bottom"/>
          </w:tcPr>
          <w:p>
            <w:pPr>
              <w:spacing w:after="0"/>
              <w:rPr>
                <w:sz w:val="18"/>
                <w:szCs w:val="18"/>
                <w:color w:val="auto"/>
              </w:rPr>
            </w:pPr>
          </w:p>
        </w:tc>
        <w:tc>
          <w:tcPr>
            <w:tcW w:w="2840" w:type="dxa"/>
            <w:vAlign w:val="bottom"/>
            <w:gridSpan w:val="6"/>
          </w:tcPr>
          <w:p>
            <w:pPr>
              <w:spacing w:after="0" w:line="210" w:lineRule="exact"/>
              <w:rPr>
                <w:rFonts w:ascii="Arial" w:cs="Arial" w:eastAsia="Arial" w:hAnsi="Arial"/>
                <w:sz w:val="20"/>
                <w:szCs w:val="20"/>
                <w:color w:val="0000EE"/>
              </w:rPr>
            </w:pPr>
            <w:hyperlink r:id="rId19">
              <w:r>
                <w:rPr>
                  <w:rFonts w:ascii="Arial" w:cs="Arial" w:eastAsia="Arial" w:hAnsi="Arial"/>
                  <w:sz w:val="20"/>
                  <w:szCs w:val="20"/>
                  <w:color w:val="0000EE"/>
                </w:rPr>
                <w:t>FNTG Holdings, LLC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840" w:type="dxa"/>
            <w:vAlign w:val="bottom"/>
            <w:gridSpan w:val="6"/>
          </w:tcPr>
          <w:p>
            <w:pPr>
              <w:spacing w:after="0"/>
              <w:rPr>
                <w:sz w:val="20"/>
                <w:szCs w:val="20"/>
                <w:color w:val="auto"/>
              </w:rPr>
            </w:pPr>
            <w:r>
              <w:rPr>
                <w:rFonts w:ascii="Arial" w:cs="Arial" w:eastAsia="Arial" w:hAnsi="Arial"/>
                <w:sz w:val="16"/>
                <w:szCs w:val="16"/>
                <w:color w:val="0000FF"/>
              </w:rPr>
              <w:t>601 RIVERSIDE AVE</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7"/>
        </w:trPr>
        <w:tc>
          <w:tcPr>
            <w:tcW w:w="120" w:type="dxa"/>
            <w:vAlign w:val="bottom"/>
            <w:gridSpan w:val="2"/>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50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1520" w:type="dxa"/>
            <w:vAlign w:val="bottom"/>
          </w:tcPr>
          <w:p>
            <w:pPr>
              <w:ind w:left="80"/>
              <w:spacing w:after="0"/>
              <w:rPr>
                <w:sz w:val="20"/>
                <w:szCs w:val="20"/>
                <w:color w:val="auto"/>
              </w:rPr>
            </w:pPr>
            <w:r>
              <w:rPr>
                <w:rFonts w:ascii="Arial" w:cs="Arial" w:eastAsia="Arial" w:hAnsi="Arial"/>
                <w:sz w:val="16"/>
                <w:szCs w:val="16"/>
                <w:color w:val="0000FF"/>
              </w:rPr>
              <w:t>32204</w:t>
            </w:r>
          </w:p>
        </w:tc>
        <w:tc>
          <w:tcPr>
            <w:tcW w:w="80" w:type="dxa"/>
            <w:vAlign w:val="bottom"/>
          </w:tcPr>
          <w:p>
            <w:pPr>
              <w:spacing w:after="0"/>
              <w:rPr>
                <w:sz w:val="19"/>
                <w:szCs w:val="19"/>
                <w:color w:val="auto"/>
              </w:rPr>
            </w:pPr>
          </w:p>
        </w:tc>
      </w:tr>
      <w:tr>
        <w:trPr>
          <w:trHeight w:val="147"/>
        </w:trPr>
        <w:tc>
          <w:tcPr>
            <w:tcW w:w="100" w:type="dxa"/>
            <w:vAlign w:val="bottom"/>
          </w:tcPr>
          <w:p>
            <w:pPr>
              <w:spacing w:after="0"/>
              <w:rPr>
                <w:sz w:val="12"/>
                <w:szCs w:val="12"/>
                <w:color w:val="auto"/>
              </w:rPr>
            </w:pPr>
          </w:p>
        </w:tc>
        <w:tc>
          <w:tcPr>
            <w:tcW w:w="13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1"/>
        </w:trPr>
        <w:tc>
          <w:tcPr>
            <w:tcW w:w="1900" w:type="dxa"/>
            <w:vAlign w:val="bottom"/>
            <w:tcBorders>
              <w:bottom w:val="single" w:sz="8" w:color="2C2C2C"/>
            </w:tcBorders>
            <w:gridSpan w:val="4"/>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4"/>
        </w:trPr>
        <w:tc>
          <w:tcPr>
            <w:tcW w:w="29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1"/>
        </w:trPr>
        <w:tc>
          <w:tcPr>
            <w:tcW w:w="100" w:type="dxa"/>
            <w:vAlign w:val="bottom"/>
          </w:tcPr>
          <w:p>
            <w:pPr>
              <w:spacing w:after="0"/>
              <w:rPr>
                <w:sz w:val="18"/>
                <w:szCs w:val="18"/>
                <w:color w:val="auto"/>
              </w:rPr>
            </w:pPr>
          </w:p>
        </w:tc>
        <w:tc>
          <w:tcPr>
            <w:tcW w:w="2840" w:type="dxa"/>
            <w:vAlign w:val="bottom"/>
            <w:gridSpan w:val="6"/>
          </w:tcPr>
          <w:p>
            <w:pPr>
              <w:spacing w:after="0" w:line="210" w:lineRule="exact"/>
              <w:rPr>
                <w:rFonts w:ascii="Arial" w:cs="Arial" w:eastAsia="Arial" w:hAnsi="Arial"/>
                <w:sz w:val="20"/>
                <w:szCs w:val="20"/>
                <w:color w:val="0000EE"/>
                <w:w w:val="97"/>
              </w:rPr>
            </w:pPr>
            <w:hyperlink r:id="rId20">
              <w:r>
                <w:rPr>
                  <w:rFonts w:ascii="Arial" w:cs="Arial" w:eastAsia="Arial" w:hAnsi="Arial"/>
                  <w:sz w:val="20"/>
                  <w:szCs w:val="20"/>
                  <w:color w:val="0000EE"/>
                  <w:w w:val="97"/>
                </w:rPr>
                <w:t>Fidelity National Title Group, Inc.</w:t>
              </w:r>
            </w:hyperlink>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2"/>
        </w:trPr>
        <w:tc>
          <w:tcPr>
            <w:tcW w:w="10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2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50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(Last)</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r>
        <w:trPr>
          <w:trHeight w:val="263"/>
        </w:trPr>
        <w:tc>
          <w:tcPr>
            <w:tcW w:w="100" w:type="dxa"/>
            <w:vAlign w:val="bottom"/>
          </w:tcPr>
          <w:p>
            <w:pPr>
              <w:spacing w:after="0"/>
              <w:rPr>
                <w:sz w:val="22"/>
                <w:szCs w:val="22"/>
                <w:color w:val="auto"/>
              </w:rPr>
            </w:pPr>
          </w:p>
        </w:tc>
        <w:tc>
          <w:tcPr>
            <w:tcW w:w="2840" w:type="dxa"/>
            <w:vAlign w:val="bottom"/>
            <w:gridSpan w:val="6"/>
          </w:tcPr>
          <w:p>
            <w:pPr>
              <w:spacing w:after="0"/>
              <w:rPr>
                <w:sz w:val="20"/>
                <w:szCs w:val="20"/>
                <w:color w:val="auto"/>
              </w:rPr>
            </w:pPr>
            <w:r>
              <w:rPr>
                <w:rFonts w:ascii="Arial" w:cs="Arial" w:eastAsia="Arial" w:hAnsi="Arial"/>
                <w:sz w:val="16"/>
                <w:szCs w:val="16"/>
                <w:color w:val="0000FF"/>
              </w:rPr>
              <w:t>601 RIVERSIDE AVE</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7"/>
        </w:trPr>
        <w:tc>
          <w:tcPr>
            <w:tcW w:w="120" w:type="dxa"/>
            <w:vAlign w:val="bottom"/>
            <w:gridSpan w:val="2"/>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460" w:type="dxa"/>
            <w:vAlign w:val="bottom"/>
            <w:tcBorders>
              <w:bottom w:val="single" w:sz="8" w:color="9A9A9A"/>
            </w:tcBorders>
          </w:tcPr>
          <w:p>
            <w:pPr>
              <w:spacing w:after="0"/>
              <w:rPr>
                <w:sz w:val="17"/>
                <w:szCs w:val="17"/>
                <w:color w:val="auto"/>
              </w:rPr>
            </w:pPr>
          </w:p>
        </w:tc>
        <w:tc>
          <w:tcPr>
            <w:tcW w:w="48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r>
      <w:tr>
        <w:trPr>
          <w:trHeight w:val="253"/>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10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Arial" w:cs="Arial" w:eastAsia="Arial" w:hAnsi="Arial"/>
                <w:sz w:val="16"/>
                <w:szCs w:val="16"/>
                <w:color w:val="0000FF"/>
              </w:rPr>
              <w:t>JACKSONVILLE</w:t>
            </w:r>
          </w:p>
        </w:tc>
        <w:tc>
          <w:tcPr>
            <w:tcW w:w="1500" w:type="dxa"/>
            <w:vAlign w:val="bottom"/>
            <w:gridSpan w:val="4"/>
          </w:tcPr>
          <w:p>
            <w:pPr>
              <w:ind w:left="120"/>
              <w:spacing w:after="0"/>
              <w:rPr>
                <w:sz w:val="20"/>
                <w:szCs w:val="20"/>
                <w:color w:val="auto"/>
              </w:rPr>
            </w:pPr>
            <w:r>
              <w:rPr>
                <w:rFonts w:ascii="Arial" w:cs="Arial" w:eastAsia="Arial" w:hAnsi="Arial"/>
                <w:sz w:val="16"/>
                <w:szCs w:val="16"/>
                <w:color w:val="0000FF"/>
              </w:rPr>
              <w:t>FL</w:t>
            </w:r>
          </w:p>
        </w:tc>
        <w:tc>
          <w:tcPr>
            <w:tcW w:w="1520" w:type="dxa"/>
            <w:vAlign w:val="bottom"/>
          </w:tcPr>
          <w:p>
            <w:pPr>
              <w:ind w:left="80"/>
              <w:spacing w:after="0"/>
              <w:rPr>
                <w:sz w:val="20"/>
                <w:szCs w:val="20"/>
                <w:color w:val="auto"/>
              </w:rPr>
            </w:pPr>
            <w:r>
              <w:rPr>
                <w:rFonts w:ascii="Arial" w:cs="Arial" w:eastAsia="Arial" w:hAnsi="Arial"/>
                <w:sz w:val="16"/>
                <w:szCs w:val="16"/>
                <w:color w:val="0000FF"/>
              </w:rPr>
              <w:t>32204</w:t>
            </w:r>
          </w:p>
        </w:tc>
        <w:tc>
          <w:tcPr>
            <w:tcW w:w="80" w:type="dxa"/>
            <w:vAlign w:val="bottom"/>
          </w:tcPr>
          <w:p>
            <w:pPr>
              <w:spacing w:after="0"/>
              <w:rPr>
                <w:sz w:val="19"/>
                <w:szCs w:val="19"/>
                <w:color w:val="auto"/>
              </w:rPr>
            </w:pPr>
          </w:p>
        </w:tc>
      </w:tr>
      <w:tr>
        <w:trPr>
          <w:trHeight w:val="147"/>
        </w:trPr>
        <w:tc>
          <w:tcPr>
            <w:tcW w:w="100" w:type="dxa"/>
            <w:vAlign w:val="bottom"/>
          </w:tcPr>
          <w:p>
            <w:pPr>
              <w:spacing w:after="0"/>
              <w:rPr>
                <w:sz w:val="12"/>
                <w:szCs w:val="12"/>
                <w:color w:val="auto"/>
              </w:rPr>
            </w:pPr>
          </w:p>
        </w:tc>
        <w:tc>
          <w:tcPr>
            <w:tcW w:w="1340" w:type="dxa"/>
            <w:vAlign w:val="bottom"/>
            <w:tcBorders>
              <w:bottom w:val="single" w:sz="8" w:color="9A9A9A"/>
            </w:tcBorders>
            <w:gridSpan w:val="2"/>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r>
      <w:tr>
        <w:trPr>
          <w:trHeight w:val="291"/>
        </w:trPr>
        <w:tc>
          <w:tcPr>
            <w:tcW w:w="10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3"/>
                <w:szCs w:val="13"/>
                <w:color w:val="auto"/>
              </w:rPr>
              <w:t>(City)</w:t>
            </w:r>
          </w:p>
        </w:tc>
        <w:tc>
          <w:tcPr>
            <w:tcW w:w="1500" w:type="dxa"/>
            <w:vAlign w:val="bottom"/>
            <w:gridSpan w:val="4"/>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3"/>
                <w:szCs w:val="13"/>
                <w:color w:val="auto"/>
              </w:rPr>
              <w:t>(Zip)</w:t>
            </w:r>
          </w:p>
        </w:tc>
      </w:tr>
    </w:tbl>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0"/>
          <w:szCs w:val="20"/>
          <w:color w:val="auto"/>
        </w:rPr>
      </w:pPr>
    </w:p>
    <w:p>
      <w:pPr>
        <w:ind w:left="20" w:hanging="1"/>
        <w:spacing w:after="0" w:line="251" w:lineRule="auto"/>
        <w:tabs>
          <w:tab w:leader="none" w:pos="14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Through a series of internal transactions that began on February 26, 2016 and completed on March 1, 2016, all shares of Class B common stock of the registrant and all limited liability company units of Black Knight Financial Services, LLC (the "LLC Units") held by each of Fidelity National Title Insurance Company ("FNTIC") and Chicago Title Insurance Company ("CTIC") were distributed to Fidelity National Financial, Inc. ("FNF"). As part of the same series of transactions, FNF contributed all such shares of Class B common stock and LLC Units to Black Knight Holdings, Inc. ("BKHI"), a wholly owned subsidiary of FNF. The total number of shares of Class B common stock and LLC Units held by FNF and its subsidiaries did not change as a result of the transactions. Shares of Class B common stock do not have economic rights. Upon any exchange of LLC Units for Class A common stock, the corresponding shares of Class B common stock then owned by such holder will be cancelled.</w:t>
      </w:r>
    </w:p>
    <w:p>
      <w:pPr>
        <w:spacing w:after="0" w:line="23" w:lineRule="exact"/>
        <w:rPr>
          <w:rFonts w:ascii="Arial" w:cs="Arial" w:eastAsia="Arial" w:hAnsi="Arial"/>
          <w:sz w:val="12"/>
          <w:szCs w:val="12"/>
          <w:color w:val="008000"/>
        </w:rPr>
      </w:pPr>
    </w:p>
    <w:p>
      <w:pPr>
        <w:ind w:left="20" w:hanging="1"/>
        <w:spacing w:after="0" w:line="254" w:lineRule="auto"/>
        <w:tabs>
          <w:tab w:leader="none" w:pos="14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Class B common shares of the registrant and LLC Units held directly by CTIC. CTIC is a wholly owned subsidiary of Fidelity National Title Group, Inc. ("FNTG Inc."). FNTG Inc. is a wholly owned subsidiary of FNTG Holdings, LLC ("FNTG LLC"). FNTG LLC is a wholly owned subsidiary of FNF. Prior to the series of transactions described in footnote 1, each of FNTG Inc., FNTG LLC and FNF could have been deemed to indirectly beneficially own the securities. Each of FNTG Inc., FNTG LLC and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21" w:lineRule="exact"/>
        <w:rPr>
          <w:rFonts w:ascii="Arial" w:cs="Arial" w:eastAsia="Arial" w:hAnsi="Arial"/>
          <w:sz w:val="12"/>
          <w:szCs w:val="12"/>
          <w:color w:val="008000"/>
        </w:rPr>
      </w:pPr>
    </w:p>
    <w:p>
      <w:pPr>
        <w:ind w:left="20" w:right="40" w:hanging="1"/>
        <w:spacing w:after="0" w:line="231"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Class B common shares of the registrant and LLC Units held directly by FNTIC. FNTIC is a wholly owned subsidiary of FNTG Inc. FNTG Inc. is a wholly owned subsidiary of FNTG LLC. FNTG LLC is a wholly owned subsidiary of FNF. Prior to the series of transactions described in footnote 1, each of FNTG Inc., FNTG LLC and FNF could have been deemed to indirectly beneficially own the securities. Each of FNTG Inc., FNTG LLC and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30" w:lineRule="exact"/>
        <w:rPr>
          <w:rFonts w:ascii="Arial" w:cs="Arial" w:eastAsia="Arial" w:hAnsi="Arial"/>
          <w:sz w:val="13"/>
          <w:szCs w:val="13"/>
          <w:color w:val="008000"/>
        </w:rPr>
      </w:pPr>
    </w:p>
    <w:p>
      <w:pPr>
        <w:ind w:left="20" w:right="120" w:hanging="1"/>
        <w:spacing w:after="0" w:line="234" w:lineRule="auto"/>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Class B common shares of the registrant and LLC Units held directly by BKHI. BKHI is a wholly owned subsidiary of FNF. FNF may be deemed to indirectly beneficially own the securities held directly by BKHI. FNF disclaims beneficial ownership of these securities except to the extent of its pecuniary interest therein, and the inclusion of these shares in this report shall not be deemed an admission of beneficial ownership of all of the reported shares for purposes of Section 16 or for any other purpose.</w:t>
      </w:r>
    </w:p>
    <w:p>
      <w:pPr>
        <w:spacing w:after="0" w:line="29" w:lineRule="exact"/>
        <w:rPr>
          <w:rFonts w:ascii="Arial" w:cs="Arial" w:eastAsia="Arial" w:hAnsi="Arial"/>
          <w:sz w:val="13"/>
          <w:szCs w:val="13"/>
          <w:color w:val="008000"/>
        </w:rPr>
      </w:pPr>
    </w:p>
    <w:p>
      <w:pPr>
        <w:ind w:left="20" w:right="460" w:hanging="1"/>
        <w:spacing w:after="0"/>
        <w:tabs>
          <w:tab w:leader="none" w:pos="14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terms of and subject to the limitations and restrictions set forth in the Amended and Restated Operating Agreement of Black Knight Financial Services, LLC, dated May 26, 2015, and any exchange agreement, units of Black Knight Financial Services, LLC are exchangeable for shares of Class A common stock on a one-for-one basis.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40"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FIDELITY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-6350</wp:posOffset>
            </wp:positionV>
            <wp:extent cx="10217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021715" cy="8255"/>
                    </a:xfrm>
                    <a:prstGeom prst="rect">
                      <a:avLst/>
                    </a:prstGeom>
                    <a:noFill/>
                  </pic:spPr>
                </pic:pic>
              </a:graphicData>
            </a:graphic>
          </wp:anchor>
        </w:drawing>
      </w:r>
    </w:p>
    <w:p>
      <w:pPr>
        <w:spacing w:after="0" w:line="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FINANCIAL,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146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840"/>
        <w:spacing w:after="0"/>
        <w:tabs>
          <w:tab w:leader="none" w:pos="9120" w:val="left"/>
        </w:tabs>
        <w:rPr>
          <w:sz w:val="20"/>
          <w:szCs w:val="20"/>
          <w:color w:val="auto"/>
        </w:rPr>
      </w:pPr>
      <w:r>
        <w:rPr>
          <w:rFonts w:ascii="Arial" w:cs="Arial" w:eastAsia="Arial" w:hAnsi="Arial"/>
          <w:sz w:val="16"/>
          <w:szCs w:val="16"/>
          <w:color w:val="0000FF"/>
        </w:rPr>
        <w:t>Michael L. Gravelle, Executive</w:t>
      </w:r>
      <w:r>
        <w:rPr>
          <w:sz w:val="20"/>
          <w:szCs w:val="20"/>
          <w:color w:val="auto"/>
        </w:rPr>
        <w:tab/>
      </w:r>
      <w:r>
        <w:rPr>
          <w:rFonts w:ascii="Arial" w:cs="Arial" w:eastAsia="Arial" w:hAnsi="Arial"/>
          <w:sz w:val="14"/>
          <w:szCs w:val="14"/>
          <w:color w:val="0000FF"/>
        </w:rPr>
        <w:t>03/01/2016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925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925955"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Vice President,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3538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-10160</wp:posOffset>
            </wp:positionV>
            <wp:extent cx="10128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12825" cy="8255"/>
                    </a:xfrm>
                    <a:prstGeom prst="rect">
                      <a:avLst/>
                    </a:prstGeom>
                    <a:noFill/>
                  </pic:spPr>
                </pic:pic>
              </a:graphicData>
            </a:graphic>
          </wp:anchor>
        </w:drawing>
      </w:r>
    </w:p>
    <w:p>
      <w:pPr>
        <w:spacing w:after="0" w:line="50" w:lineRule="exact"/>
        <w:rPr>
          <w:sz w:val="20"/>
          <w:szCs w:val="20"/>
          <w:color w:val="auto"/>
        </w:rPr>
      </w:pPr>
    </w:p>
    <w:p>
      <w:pPr>
        <w:ind w:left="684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20" w:right="4060" w:hanging="1"/>
        <w:spacing w:after="0" w:line="325" w:lineRule="auto"/>
        <w:tabs>
          <w:tab w:leader="none" w:pos="15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60" w:top="1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12" Type="http://schemas.openxmlformats.org/officeDocument/2006/relationships/hyperlink" Target="http://www.sec.govhttp//www.sec.gov/cgi-bin/browse-edgar?action=getcompany&amp;CIK=0001331875" TargetMode="External"/><Relationship Id="rId13" Type="http://schemas.openxmlformats.org/officeDocument/2006/relationships/hyperlink" Target="http://www.sec.gov/cgi-bin/browse-edgar?action=getcompany&amp;CIK=0001627014" TargetMode="External"/><Relationship Id="rId14" Type="http://schemas.openxmlformats.org/officeDocument/2006/relationships/hyperlink" Target="http://www.sec.gov/cgi-bin/browse-edgar?action=getcompany&amp;CIK=0001642928" TargetMode="External"/><Relationship Id="rId16" Type="http://schemas.openxmlformats.org/officeDocument/2006/relationships/hyperlink" Target="http://www.sec.gov/cgi-bin/browse-edgar?action=getcompany&amp;CIK=0001642978" TargetMode="External"/><Relationship Id="rId18" Type="http://schemas.openxmlformats.org/officeDocument/2006/relationships/hyperlink" Target="http://www.sec.gov/cgi-bin/browse-edgar?action=getcompany&amp;CIK=0001642929" TargetMode="External"/><Relationship Id="rId19" Type="http://schemas.openxmlformats.org/officeDocument/2006/relationships/hyperlink" Target="http://www.sec.gov/cgi-bin/browse-edgar?action=getcompany&amp;CIK=0001642933" TargetMode="External"/><Relationship Id="rId20" Type="http://schemas.openxmlformats.org/officeDocument/2006/relationships/hyperlink" Target="http://www.sec.gov/cgi-bin/browse-edgar?action=getcompany&amp;CIK=00016430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2019-12-08T08:06:23Z</dcterms:created>
  <dcterms:modified xsi:type="dcterms:W3CDTF">2019-12-08T08:06:23Z</dcterms:modified>
</cp:coreProperties>
</file>