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9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820" w:val="left"/>
          <w:tab w:leader="none" w:pos="4960" w:val="left"/>
          <w:tab w:leader="none" w:pos="70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204" w:lineRule="exact"/>
        <w:rPr>
          <w:sz w:val="24"/>
          <w:szCs w:val="24"/>
          <w:color w:val="auto"/>
        </w:rPr>
      </w:pPr>
    </w:p>
    <w:p>
      <w:pPr>
        <w:jc w:val="both"/>
        <w:ind w:right="20"/>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September 30, 2018 were:</w:t>
      </w:r>
    </w:p>
    <w:p>
      <w:pPr>
        <w:spacing w:after="0" w:line="117" w:lineRule="exact"/>
        <w:rPr>
          <w:sz w:val="24"/>
          <w:szCs w:val="24"/>
          <w:color w:val="auto"/>
        </w:rPr>
      </w:pPr>
    </w:p>
    <w:p>
      <w:pPr>
        <w:spacing w:after="0"/>
        <w:tabs>
          <w:tab w:leader="none" w:pos="166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275,224,747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September 30, 2018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9"/>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2"/>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September 30, 2018 and December 31,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 Condensed Consolidated Statements of Earnings for the three-month and nine-month periods ended September 30, 2018 and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Statements of Comprehensive Earnings for the three-month and nine-month periods ended September 30,</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2018 and 2017</w:t>
              </w:r>
            </w:hyperlink>
          </w:p>
        </w:tc>
        <w:tc>
          <w:tcPr>
            <w:tcW w:w="8580" w:type="dxa"/>
            <w:vAlign w:val="bottom"/>
            <w:tcBorders>
              <w:top w:val="single" w:sz="8" w:color="0000EE"/>
            </w:tcBorders>
            <w:gridSpan w:val="16"/>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Equity for the nine-month periods ended September 30, 2018 and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Condensed Consolidated Statements of Cash Flows for the nine-month periods ended September 30, 2018 and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F. Notes to Condensed Consolidated Financial Statements</w:t>
              </w:r>
            </w:hyperlink>
          </w:p>
        </w:tc>
        <w:tc>
          <w:tcPr>
            <w:tcW w:w="4380" w:type="dxa"/>
            <w:vAlign w:val="bottom"/>
            <w:tcBorders>
              <w:top w:val="single" w:sz="8" w:color="0000EE"/>
            </w:tcBorders>
            <w:gridSpan w:val="6"/>
          </w:tcPr>
          <w:p>
            <w:pPr>
              <w:spacing w:after="0"/>
              <w:rPr>
                <w:sz w:val="21"/>
                <w:szCs w:val="21"/>
                <w:color w:val="auto"/>
              </w:rPr>
            </w:pPr>
          </w:p>
        </w:tc>
        <w:tc>
          <w:tcPr>
            <w:tcW w:w="11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40" w:type="dxa"/>
            <w:vAlign w:val="bottom"/>
            <w:gridSpan w:val="11"/>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4.</w:t>
              </w:r>
            </w:hyperlink>
          </w:p>
        </w:tc>
        <w:tc>
          <w:tcPr>
            <w:tcW w:w="4320" w:type="dxa"/>
            <w:vAlign w:val="bottom"/>
            <w:gridSpan w:val="10"/>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488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1.</w:t>
              </w:r>
            </w:hyperlink>
          </w:p>
        </w:tc>
        <w:tc>
          <w:tcPr>
            <w:tcW w:w="1360" w:type="dxa"/>
            <w:vAlign w:val="bottom"/>
            <w:tcBorders>
              <w:top w:val="single" w:sz="8" w:color="0000FF"/>
            </w:tcBorders>
            <w:gridSpan w:val="4"/>
          </w:tcPr>
          <w:p>
            <w:pPr>
              <w:ind w:left="20"/>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000" w:type="dxa"/>
            <w:vAlign w:val="bottom"/>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482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2"/>
        </w:trPr>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6"/>
              </w:rPr>
              <w:t>Fixed maturity securities available for sale, at fair value, at September 30, 2018 and December 31, 2017 includes pledged fixed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maturity securities of $420 and $364, respectively, related to secured trust deposits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securities, at fair value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Short-term investments, at December 31, 2017 includes short-term investments of $3 related to secured trust deposits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1"/>
              </w:rPr>
              <w:t>Cash and cash equivalents, at September 30, 2018 and December 31, 2017 includes $431 and $475, respectively, of pledged cash related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to secured trust deposits</w:t>
            </w:r>
          </w:p>
        </w:tc>
        <w:tc>
          <w:tcPr>
            <w:tcW w:w="120" w:type="dxa"/>
            <w:vAlign w:val="bottom"/>
          </w:tcPr>
          <w:p>
            <w:pPr>
              <w:spacing w:after="0"/>
              <w:rPr>
                <w:sz w:val="17"/>
                <w:szCs w:val="17"/>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$19 and $18 at September 30, 2018 and December 31, 2017,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Title plants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0"/>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4,339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4,340</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gridSpan w:val="2"/>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0"/>
              </w:rPr>
              <w:t>FNF common stock, $0.0001 par value; authorized 487,000,000 shares as of September 30, 2018 and December 31, 2017; outstanding</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4"/>
              </w:rPr>
              <w:t>of 275,224,747 and 274,431,737 as of September 30, 2018 and December 31, 2017, respectively, and issued of 288,514,249 and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287,718,304 as of September 30, 2018 and December 31, 2017, respectively</w:t>
            </w: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(loss) earnings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89"/>
              </w:rPr>
              <w:t>Less: Treasury stock, 13,289,502 shares and 13,286,567 shares as of September 30, 2018 and December 31, 2017, respectively, at cost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4,689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4,447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4,688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9,371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right"/>
        <w:ind w:right="312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millions, except per share data)</w:t>
      </w:r>
    </w:p>
    <w:p>
      <w:pPr>
        <w:sectPr>
          <w:pgSz w:w="11900" w:h="16838" w:orient="portrait"/>
          <w:cols w:equalWidth="0" w:num="1">
            <w:col w:w="11420"/>
          </w:cols>
          <w:pgMar w:left="240" w:top="121" w:right="239" w:bottom="921" w:gutter="0" w:footer="0" w:header="0"/>
        </w:sectPr>
      </w:pPr>
    </w:p>
    <w:p>
      <w:pPr>
        <w:spacing w:after="0" w:line="186" w:lineRule="exact"/>
        <w:rPr>
          <w:sz w:val="20"/>
          <w:szCs w:val="20"/>
          <w:color w:val="auto"/>
        </w:rPr>
      </w:pPr>
    </w:p>
    <w:p>
      <w:pPr>
        <w:jc w:val="center"/>
        <w:ind w:left="81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7" w:lineRule="exact"/>
        <w:rPr>
          <w:sz w:val="20"/>
          <w:szCs w:val="20"/>
          <w:color w:val="auto"/>
        </w:rPr>
      </w:pPr>
    </w:p>
    <w:p>
      <w:pPr>
        <w:ind w:left="8160"/>
        <w:spacing w:after="0"/>
        <w:tabs>
          <w:tab w:leader="none" w:pos="90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89"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13335</wp:posOffset>
            </wp:positionV>
            <wp:extent cx="1063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31115</wp:posOffset>
            </wp:positionV>
            <wp:extent cx="1063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(Unaudited)</w:t>
      </w:r>
    </w:p>
    <w:p>
      <w:pPr>
        <w:spacing w:after="0" w:line="68" w:lineRule="exact"/>
        <w:rPr>
          <w:sz w:val="20"/>
          <w:szCs w:val="20"/>
          <w:color w:val="auto"/>
        </w:rPr>
      </w:pPr>
    </w:p>
    <w:p>
      <w:pPr>
        <w:sectPr>
          <w:pgSz w:w="11900" w:h="16838" w:orient="portrait"/>
          <w:cols w:equalWidth="0" w:num="2">
            <w:col w:w="9420" w:space="580"/>
            <w:col w:w="1420"/>
          </w:cols>
          <w:pgMar w:left="240" w:top="121" w:right="239" w:bottom="921" w:gutter="0" w:footer="0" w:header="0"/>
          <w:type w:val="continuous"/>
        </w:sectPr>
      </w:pPr>
    </w:p>
    <w:p>
      <w:pPr>
        <w:ind w:left="40"/>
        <w:spacing w:after="0"/>
        <w:rPr>
          <w:sz w:val="20"/>
          <w:szCs w:val="20"/>
          <w:color w:val="auto"/>
        </w:rPr>
      </w:pPr>
      <w:r>
        <w:rPr>
          <w:rFonts w:ascii="Arial" w:cs="Arial" w:eastAsia="Arial" w:hAnsi="Arial"/>
          <w:sz w:val="16"/>
          <w:szCs w:val="16"/>
          <w:color w:val="auto"/>
        </w:rPr>
        <w:t>Revenues: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Agent commissions</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5,044</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common shareholders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FNF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from discontinued operations attributable to FNFV Group common 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common shareholders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common shareholders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per share from discontinued operations attributable to FNFV Group common 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 attributable to FNF common shareholders</w:t>
            </w:r>
          </w:p>
        </w:tc>
        <w:tc>
          <w:tcPr>
            <w:tcW w:w="2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common shareholders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0.62</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earnings per share from discontinued operations attributable to FNFV Group common shareholders</w:t>
            </w:r>
          </w:p>
        </w:tc>
        <w:tc>
          <w:tcPr>
            <w:tcW w:w="2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common stock, basic basis</w:t>
            </w: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921" w:gutter="0" w:footer="0" w:header="0"/>
          <w:type w:val="continuous"/>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921"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92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Nine months ended September</w:t>
            </w:r>
          </w:p>
        </w:tc>
        <w:tc>
          <w:tcPr>
            <w:tcW w:w="0" w:type="dxa"/>
            <w:vAlign w:val="bottom"/>
          </w:tcPr>
          <w:p>
            <w:pPr>
              <w:spacing w:after="0"/>
              <w:rPr>
                <w:sz w:val="1"/>
                <w:szCs w:val="1"/>
                <w:color w:val="auto"/>
              </w:rPr>
            </w:pPr>
          </w:p>
        </w:tc>
      </w:tr>
      <w:tr>
        <w:trPr>
          <w:trHeight w:val="192"/>
        </w:trPr>
        <w:tc>
          <w:tcPr>
            <w:tcW w:w="7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w w:val="97"/>
              </w:rPr>
              <w:t>(Unaudited)</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5"/>
          </w:tcPr>
          <w:p>
            <w:pPr>
              <w:jc w:val="right"/>
              <w:ind w:right="49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Unrealized gain (loss) on investments and other financial instruments, net (excluding investments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 unconsolidated affiliates) (1)</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rPr>
              <w:t>Unrealized gain on investments in unconsolidated affiliates (2)</w:t>
            </w:r>
          </w:p>
        </w:tc>
        <w:tc>
          <w:tcPr>
            <w:tcW w:w="2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foreign currency translation (3)</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400" w:type="dxa"/>
            <w:vAlign w:val="bottom"/>
          </w:tcPr>
          <w:p>
            <w:pPr>
              <w:ind w:left="280"/>
              <w:spacing w:after="0"/>
              <w:rPr>
                <w:sz w:val="20"/>
                <w:szCs w:val="20"/>
                <w:color w:val="auto"/>
              </w:rPr>
            </w:pPr>
            <w:r>
              <w:rPr>
                <w:rFonts w:ascii="Arial" w:cs="Arial" w:eastAsia="Arial" w:hAnsi="Arial"/>
                <w:sz w:val="18"/>
                <w:szCs w:val="18"/>
                <w:color w:val="auto"/>
                <w:w w:val="90"/>
              </w:rPr>
              <w:t>Reclassification adjustments for change in unrealized gains and losses included in net earnings (4)</w:t>
            </w:r>
          </w:p>
        </w:tc>
        <w:tc>
          <w:tcPr>
            <w:tcW w:w="2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Comprehensive earnings attributable to Fidelity National Financial, Inc. common shareholders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1"/>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(loss) earnings attributable to FNFV Group common shareholders</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 million and $5 million for the three-month periods ended September 30, 2018 and 2017, respectively, and $(4) million and $20 million for the nine-month periods ended September 30, 2018 and 2017,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$3 million for the three-month period ended September 30, 2017, and $1 million and $10 million for the nine-month periods ended September 30, 2018 and 2017, respectively.</w:t>
      </w:r>
    </w:p>
    <w:p>
      <w:pPr>
        <w:spacing w:after="0" w:line="116" w:lineRule="exact"/>
        <w:rPr>
          <w:rFonts w:ascii="Arial" w:cs="Arial" w:eastAsia="Arial" w:hAnsi="Arial"/>
          <w:sz w:val="18"/>
          <w:szCs w:val="18"/>
          <w:color w:val="auto"/>
        </w:rPr>
      </w:pPr>
    </w:p>
    <w:p>
      <w:pPr>
        <w:ind w:left="980" w:hanging="972"/>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(benefit) expense of less than $(1) million and $2 million for the three-month periods ended September 30, 2018 and 2017, respectively, and $(1) million and $5 million for the nine-month periods ended September 30, 2018 and 2017, respectively.</w:t>
      </w:r>
    </w:p>
    <w:p>
      <w:pPr>
        <w:spacing w:after="0" w:line="92" w:lineRule="exact"/>
        <w:rPr>
          <w:rFonts w:ascii="Arial" w:cs="Arial" w:eastAsia="Arial" w:hAnsi="Arial"/>
          <w:sz w:val="17"/>
          <w:szCs w:val="17"/>
          <w:color w:val="auto"/>
        </w:rPr>
      </w:pPr>
    </w:p>
    <w:p>
      <w:pPr>
        <w:ind w:left="980" w:hanging="972"/>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of income tax (benefit) expense less than $(1) million and $1 million for the nine-month periods ended September 30, 2018 and 2017.</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Spin-off of Black Knight, Inc.</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unrealized gain on investments and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adjustments for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Equity portion of debt conversions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Black Knight repurchases of BKFS</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Shares withheld for taxes and in</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treasury</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Dividends declared, $0.75 per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common share</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Purchase of additional share in</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consolidated subsidiaries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Sale of OneDigital</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September 30, 2017</w:t>
            </w:r>
          </w:p>
        </w:tc>
        <w:tc>
          <w:tcPr>
            <w:tcW w:w="460" w:type="dxa"/>
            <w:vAlign w:val="bottom"/>
          </w:tcPr>
          <w:p>
            <w:pPr>
              <w:jc w:val="right"/>
              <w:spacing w:after="0"/>
              <w:rPr>
                <w:sz w:val="20"/>
                <w:szCs w:val="20"/>
                <w:color w:val="auto"/>
              </w:rPr>
            </w:pPr>
            <w:r>
              <w:rPr>
                <w:rFonts w:ascii="Arial" w:cs="Arial" w:eastAsia="Arial" w:hAnsi="Arial"/>
                <w:sz w:val="13"/>
                <w:szCs w:val="13"/>
                <w:color w:val="auto"/>
              </w:rPr>
              <w:t>286</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4,582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(647)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5,369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144"/>
        </w:trPr>
        <w:tc>
          <w:tcPr>
            <w:tcW w:w="19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2017</w:t>
            </w:r>
          </w:p>
        </w:tc>
        <w:tc>
          <w:tcPr>
            <w:tcW w:w="460" w:type="dxa"/>
            <w:vAlign w:val="bottom"/>
          </w:tcPr>
          <w:p>
            <w:pPr>
              <w:jc w:val="right"/>
              <w:spacing w:after="0"/>
              <w:rPr>
                <w:sz w:val="20"/>
                <w:szCs w:val="20"/>
                <w:color w:val="auto"/>
              </w:rPr>
            </w:pPr>
            <w:r>
              <w:rPr>
                <w:rFonts w:ascii="Arial" w:cs="Arial" w:eastAsia="Arial" w:hAnsi="Arial"/>
                <w:sz w:val="13"/>
                <w:szCs w:val="13"/>
                <w:color w:val="auto"/>
              </w:rPr>
              <w:t>288</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4,587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(468)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Adjustment for cumulative effect for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adoption of ASU 2016-01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unrealized losses on investments and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unrealized losses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Dilution resulting from subsidiary</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equity issuance</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Dividends declared, $0.90 per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 share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Subsidiary equity repurchase</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Equity portion of debt conversions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Pacific Union Sale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September 30, 2018</w:t>
            </w:r>
          </w:p>
        </w:tc>
        <w:tc>
          <w:tcPr>
            <w:tcW w:w="460" w:type="dxa"/>
            <w:vAlign w:val="bottom"/>
          </w:tcPr>
          <w:p>
            <w:pPr>
              <w:jc w:val="right"/>
              <w:spacing w:after="0"/>
              <w:rPr>
                <w:sz w:val="20"/>
                <w:szCs w:val="20"/>
                <w:color w:val="auto"/>
              </w:rPr>
            </w:pPr>
            <w:r>
              <w:rPr>
                <w:rFonts w:ascii="Arial" w:cs="Arial" w:eastAsia="Arial" w:hAnsi="Arial"/>
                <w:sz w:val="13"/>
                <w:szCs w:val="13"/>
                <w:color w:val="auto"/>
              </w:rPr>
              <w:t>289</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4,488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(468)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4,688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0" w:gutter="0" w:footer="0" w:header="0"/>
          <w:type w:val="continuous"/>
        </w:sectPr>
      </w:pPr>
    </w:p>
    <w:bookmarkStart w:id="6" w:name="page7"/>
    <w:bookmarkEnd w:id="6"/>
    <w:p>
      <w:pPr>
        <w:spacing w:after="0" w:line="3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2"/>
              </w:rPr>
              <w:t>For the nine months ended</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9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loss on sales of investments and other assets,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Gain on sale of subsidiaries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Stock-based compensation cost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 in valuation of equity and preferred securities available for sale,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(increase) in trade receivables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reserve for title claim losses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investment securities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calls and maturities of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property and equipment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cost method and other investments</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proceeds from (purchases of) short-term investment securities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other long-term investments</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Additional investments in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Title Guaranty of Hawaii, net of cash acquired</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the sale of OneDigital</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Pacific Union Sale, net of cash transferred</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Debt service payments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Black Knight treasury stock repurchases of BKFS stock</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1"/>
        </w:trPr>
        <w:tc>
          <w:tcPr>
            <w:tcW w:w="9360" w:type="dxa"/>
            <w:vAlign w:val="bottom"/>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55"/>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Subsidiary equity repurchase</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change in secured trust deposits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1"/>
        </w:trPr>
        <w:tc>
          <w:tcPr>
            <w:tcW w:w="9360" w:type="dxa"/>
            <w:vAlign w:val="bottom"/>
          </w:tcPr>
          <w:p>
            <w:pPr>
              <w:ind w:left="280"/>
              <w:spacing w:after="0"/>
              <w:rPr>
                <w:sz w:val="20"/>
                <w:szCs w:val="20"/>
                <w:color w:val="auto"/>
              </w:rPr>
            </w:pPr>
            <w:r>
              <w:rPr>
                <w:rFonts w:ascii="Arial" w:cs="Arial" w:eastAsia="Arial" w:hAnsi="Arial"/>
                <w:sz w:val="14"/>
                <w:szCs w:val="14"/>
                <w:color w:val="auto"/>
              </w:rPr>
              <w:t>Cash transferred in Black Knight spin-off</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5"/>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Payment for withholding taxes on stock-based compensation for shares withheld from participants and in treasury</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treasury stock</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9019"/>
          </w:cols>
          <w:pgMar w:left="1440" w:top="197"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97"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2017.</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Certain reclassifications have been made in the 2017 Condensed Consolidated Financial Statements to conform to classifications used in 2018. See the Recent Accounting Pronouncements section below and Note K.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material reclassifications.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and home warranty products and (ii) technology and transaction services to the real estate and mortgage industries. FNF is one of the nation’s largest title insurance companies and operates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Acquisition of Stewart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2018, we signed a merger agreement (the "Merger Agreement") to acquire Stewart Information Services Corporation ("Stewart") (NYSE: STC) (the "Stewart Merger"), pursuant to which each share of Stewart common stock issued and outstanding immediately prior to the effective time of the Stewart Merger (other than shares owned by Stewart, its subsidiaries, FNF or the wholly-owned subsidiaries of FNF party to the Merger Agreement and shares in respect of which appraisal rights have been properly exercised and perfected under Delaware law), will be converted into the right to receive, at the election of the holder of such share, (i) $50.00 in cash, (ii) 1.2850 shares of FNF common stock, or (iii) $25.00 in cash and 0.6425 shares of FNF common stock, subject to potential adjustment (as described below) and proration to the extent the option to receive cash or the option to receive stock is oversubscribed.</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FNF currently intends to fund the $1.2 billion purchase price through a combination of cash on hand at FNF, the issuance of FNF common stock to Stewart stockholders, and borrowings under the revolving credit facility, if necessary, and will be paid 50% in cash and 50% in FNF common stock. Including the assumption of $109 million of Stewart debt, our pro forma debt to total capital ratio is expected to be no more than approximately 20% at the close of the transaction.</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terms of the Merger Agreement, if the combined company is required to divest assets or businesses for which 2017 annual revenues exceed $75 million, up to a cap of $225 million, in order to receive required regulatory approvals, the purchase price will be adjusted down on a pro-rata basis to a minimum purchase price of $45.50 per share of common stock of Stewart. If the Stewart Merger is not completed for failure to obtain the required regulatory approvals, we are required to pay a reverse break-up fee of $50 million to Stewart.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May 30, 2018, we filed a preliminary registration statement on Form S-4 with the U.S. Securities and Exchange Commission (the "SEC").</w:t>
      </w:r>
    </w:p>
    <w:p>
      <w:pPr>
        <w:spacing w:after="0" w:line="2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2018, we received a request for additional information and documentary material, often referred to as a “Second Request,” from the United States Federal Trade Commission (the “FTC”) in connection with the FTC’s Hart-Scott-Rodino Antitrust Improvements Act of 1976, as amended (the “HSR Act”), regulatory review of the Stewart Merger.</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special meeting of Stewart stockholders to vote on the Stewart Merger was held on September 5, 2018 and a majority of the Stewart stockholders voted to approve the Stewart Merger. More than 99% of the votes cast, representing approximately 79% of the outstanding shares of Stewart common stock as of July 10, 2018, the record date for the special meeting, were cast in favor of adopting the Merger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August 21, 2018, we received a “no-action letter” from the Canadian Competition Bureau (the “Bureau”), indicating that the Bureau does not intend to oppose completion of the Stewart Merger.</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continue to work through the regulatory process for the Stewart Merger and are currently engaged in the Second Request related to the FTC's HSR Act regulatory review of the transaction. Responses to nearly all the FTC's requests for information and documentation have been submitted. The Form A filings with the states of Texas and New York are being reviewed by those states.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closing of the Stewart Merger is subject to certain closing conditions, including federal and state regulatory approvals and the satisfaction of other customary closing conditions. Closing of the Stewart Merger is expected in the first or second quarter of 2019.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September 24, 2018, we closed on the sale of all of our 62% equity interest in, and notes outstanding from, Pacific Union International, Inc. ("Pacific Union"), a luxury real estate broker based in California, and its subsidiaries to Urban Compass, Inc. ("Compass") for $43 million in cash and up to $21 million in potential earnout payments (the "Pacific Union Sale"). The potential earnout payments range in value from $0 to $21 million, are based on certain gross profit and earnings targets for Pacific Union and are payable in approximately 60% cash and 40% Compass stock annually over the course of the next three years. Compass was not a related party prior to, and is not a related party subsequent to, the Pacific Union Sale.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13, 2018, we completed an offering of $450 million in aggregate principal amount of notes due August 2028 with stated interest of 4.50%.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E. </w:t>
      </w:r>
      <w:r>
        <w:rPr>
          <w:rFonts w:ascii="Arial" w:cs="Arial" w:eastAsia="Arial" w:hAnsi="Arial"/>
          <w:sz w:val="18"/>
          <w:szCs w:val="18"/>
          <w:i w:val="1"/>
          <w:iCs w:val="1"/>
          <w:color w:val="auto"/>
        </w:rPr>
        <w:t>Notes Payable</w:t>
      </w:r>
      <w:r>
        <w:rPr>
          <w:rFonts w:ascii="Arial" w:cs="Arial" w:eastAsia="Arial" w:hAnsi="Arial"/>
          <w:sz w:val="18"/>
          <w:szCs w:val="18"/>
          <w:color w:val="auto"/>
        </w:rPr>
        <w:t xml:space="preserve"> for further details.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no antidilutive options outstanding during the three- or nine-month periods ended September 30, 2018 or September 30,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Our effective tax rate was 17.8% and 36.4% in the three months ended September 30, 2018 and 2017, respectively, and 15.1% and 40.1% in the nine months ended September 30, 2018 and 2017, respectively. The decrease in the effective tax rate in both periods is primarily attributable to the decreased federal tax rate associated with the passage of the Tax Reform Act. The decrease in the three-month period is also attributable to an $8 million reversal of certain tax contingencies in the period and for certain return-to-provision adjustments. The decrease in the nine-month period was also attributable to a $45 million change in tax estimate in the three-month period ended June 30, 2018 regarding the timing of payments for, and tax rate applicable to, our tax liability resulting from the decrease in our statutory premium reserves associated with the redomestication of certain of our title insurance underwriters in 2017 and increased tax expense of $21 million in the 2017 period resulting from a change in judgment of the tax deductibility of legal settlements finalized in the period.</w:t>
      </w:r>
    </w:p>
    <w:p>
      <w:pPr>
        <w:spacing w:after="0" w:line="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 Staff Accounting Bulletin No. 118 ("SAB 118"), has provided guidance for companies that have not completed their accounting for the income tax effects of the Tax Reform Act in the period of enactment, allowing for a measurement period of up to one year after the enactment date to finalize the recording of the related tax impacts. As of September 30, 2018, we have not completed our accounting for the tax effects of the enactment of the Tax Reform Act; however, we have made a reasonable estimate of the effects on our deferred tax balances. In other cases, we have not been able to make a reasonable estimate and will continue to analyze the Tax Reform Act in order to finalize any related impacts within the measurement period. Areas of continued analysis with respect to the Tax Reform Act include the tax deductibility of certain executive compensation, applicable foreign and state tax rates, and final tax return to provision adjustments.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of each outstanding share of FNFV common stock for one share of Cannae common stock, as of November 17, 2017. As a result of the FNFV Split-Off, Cannae became a separate, publicly-traded company (NYSE: CNNE) as of November 20, 2017. All of the Company’s core title insurance, real estate, technology and mortgage related businesses, assets and liabilities currently attributed to the Company’s FNF common stock that are not held by Cannae remain with the Company. As a result of the FNFV Split-Off, the financial results of FNFV Group have been reclassified to discontinued operations for the three and nine months ended September 30, 2017.</w:t>
      </w:r>
    </w:p>
    <w:p>
      <w:pPr>
        <w:spacing w:after="0" w:line="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29, 2017 we completed our tax-free distribution to FNF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 traded holding company, Black Knight, Inc. ("New Black Knight"). Holders of FNF common stock received approximately 0.30663 shares of New Black Knight common stock for every one share of FNF common stock held at the close of business on September 20, 2017, the record date for the BK Distribution. New Black Knight's common stock is now listed under the symbol “BKI” on the New York Stock Exchange. The BK Distribution was generally tax-free to FNF shareholders for U.S. federal income tax purposes, except to the extent of any cash received in lieu of New Black Knight's fractional shares. As a result of the BK Distribution, the financial results of Black Knight have been reclassified to discontinued operations for the three and nine months ended September 30, 2017.</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K.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details of the results and financial position of FNFV and Black Knight.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aforementioned updates and to add practical expedients for contracts at various stages of completion.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was issued by the FASB in December 2016 which includes thirteen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corrections and improvements affecting narrow aspects of the guidance issued in ASU 2014-09.</w:t>
      </w:r>
    </w:p>
    <w:p>
      <w:pPr>
        <w:spacing w:after="0" w:line="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adopted these revenue standards on January 1, 2018 using the modified retrospective approach. As there was no material impact to our historical revenue recognition, we did not record a cumulative-effect adjustment to the opening balance of retained earnings in the current year. See Note J.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for further discussion of our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Adopted Pronouncements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The primary amendments required by the ASU include: requiring equity investments with readily determinable fair values to</w:t>
      </w:r>
      <w:r>
        <w:rPr>
          <w:rFonts w:ascii="Arial" w:cs="Arial" w:eastAsia="Arial" w:hAnsi="Arial"/>
          <w:sz w:val="17"/>
          <w:szCs w:val="17"/>
          <w:i w:val="1"/>
          <w:iCs w:val="1"/>
          <w:color w:val="auto"/>
        </w:rPr>
        <w:t xml:space="preserve"> </w:t>
      </w:r>
      <w:r>
        <w:rPr>
          <w:rFonts w:ascii="Arial" w:cs="Arial" w:eastAsia="Arial" w:hAnsi="Arial"/>
          <w:sz w:val="17"/>
          <w:szCs w:val="17"/>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adopted this new guidance on January 1, 2018, which resulted in the reclassification of our unrealized gains and losses on our equity and preferred securities available for sale previously included in accumulated other comprehensive income to beginning retained earnings. Changes in the fair value of our investments in equity and preferred securities subsequent to January 1, 2018 are now included in Realized gains and losses, net in our Condensed Consolidated Statements of Earnings. See Note D.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further details. We reclassified a total of $109 million from Accumulated other comprehensive income to beginning Retained earnings as of January 1, 2018. The total cumulative effect on opening equity, including an increase in Retained earnings of $19 million attributable to an increase in value of certain Other long term investments resulting from recording at fair value, was an increase in Retained earnings of $128 million and decrease in Accumulated other comprehensive income of $109 million.</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The amendments in this ASU require that a statement of cash flows explain the change during the period in the total of cash, cash equivalents, and amounts generally described as restricted cash or restricted cash equivalents. GAAP previously did not include specific guidance on the cash flow classification and presentation of changes in restricted cash. The Company previously excluded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The ASU requires retrospective application to all prior periods presented upon adoption.</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adopted this ASU on January 1, 2018. The adoption of this ASU resulted in the following retrospective changes to our Statement of Cash Flows for the nine months ended September 30, 2017: an increase in the net change in cash and cash equivalents of $237 million due to the inclusion of the change in our cash pledged against secured trust deposits, an increase in investing cash inflow of $177 million related to the movement of cash paid for investments pledged against secured trust deposits from operating to investing activities, and a decrease in financing cash outflow of $63 million related to the movement of the change in secured trust deposits from operating to financing activities.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from Accumulated Other Comprehensive Income. </w:t>
      </w:r>
      <w:r>
        <w:rPr>
          <w:rFonts w:ascii="Arial" w:cs="Arial" w:eastAsia="Arial" w:hAnsi="Arial"/>
          <w:sz w:val="18"/>
          <w:szCs w:val="18"/>
          <w:color w:val="auto"/>
        </w:rPr>
        <w:t>The amendments in this ASU allow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Tax Reform. We adopted this ASU on April 1, 2018. Adoption of this ASU resulted in no net reclassification from Accumulated other comprehensive loss to Retained earnings.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 Not Yet Adopted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allows for a modified retrospective approach to transitioning which allows for the use of practical expedients to effectively account for leases commenced prior to the effective date in accordance with previous GAAP. In July 2018, the FASB issued ASU 2018-11 </w:t>
      </w:r>
      <w:r>
        <w:rPr>
          <w:rFonts w:ascii="Arial" w:cs="Arial" w:eastAsia="Arial" w:hAnsi="Arial"/>
          <w:sz w:val="17"/>
          <w:szCs w:val="17"/>
          <w:i w:val="1"/>
          <w:iCs w:val="1"/>
          <w:color w:val="auto"/>
        </w:rPr>
        <w:t>Leases (Topic 842):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w:t>
      </w:r>
      <w:r>
        <w:rPr>
          <w:rFonts w:ascii="Arial" w:cs="Arial" w:eastAsia="Arial" w:hAnsi="Arial"/>
          <w:sz w:val="17"/>
          <w:szCs w:val="17"/>
          <w:color w:val="auto"/>
        </w:rPr>
        <w:t>which allows entities the option to adopt this standard prospectively with a cumulative-effect adjustment to opening equity and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disclosures for prior periods.</w:t>
      </w:r>
    </w:p>
    <w:p>
      <w:pPr>
        <w:spacing w:after="0" w:line="7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identified a vendor with software suited to track and account for leases under the new standard and are in process of transitioning our lease accounting within the software. We anticipate this standard will have a material impact on our consolidated balance sheets. However, while we are still completing our analysis, we do not anticipate that adoption of this ASU will have a material impact on our consolidated statements of earnings. While we are continuing to assess all potential impacts of the standard, we currently believe the most significant impact relates to our accounting for leased office space. We plan to prospectively adopt this standard on January 1, 2019 and to use the package of practical expedients available upon adoption.</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Measurement of Credit Losses 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17"/>
          <w:szCs w:val="17"/>
          <w:color w:val="auto"/>
        </w:rPr>
        <w:t>. The amendments in this ASU introduce broad changes to accounting for credit impairment of financial instruments.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still evaluating the effect this new guidance will have on our consolidated financial statements and related disclosures and have not yet concluded on its effects. We do not plan to early adopt the standard.</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consolidated financial statements and related disclosures and have not yet concluded on its effects.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2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8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(Dollars in millions)</w:t>
            </w:r>
          </w:p>
        </w:tc>
        <w:tc>
          <w:tcPr>
            <w:tcW w:w="96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1,487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94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174</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 loss provision</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181</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1,491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1,496</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hierarchy for those assets and liabilities measured at fair value on a recurring basis as of September 30, 2018 and December 31, 2017, respectively: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1"/>
              </w:rPr>
              <w:t>September 30,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1,329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714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2,957</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681</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704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2 fair value measures for preferred securities and fixed 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0"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available trade information, dealer quotes, cash flows, relevant indices and market data for similar assets in active markets.</w:t>
      </w:r>
    </w:p>
    <w:p>
      <w:pPr>
        <w:spacing w:after="0" w:line="23" w:lineRule="exact"/>
        <w:rPr>
          <w:sz w:val="20"/>
          <w:szCs w:val="20"/>
          <w:color w:val="auto"/>
        </w:rPr>
      </w:pPr>
    </w:p>
    <w:p>
      <w:pPr>
        <w:ind w:left="660" w:hanging="328"/>
        <w:spacing w:after="0" w:line="27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conjunction with our adoption of ASU No. 2016-01, beginning January 1, 2018, we began recording certain equity investments included in other long term investments at fair value which were previously accounted for as cost method investments. See discussion of Recent Accounting Pronouncements in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for further information on the impact of the adoption of ASU No. 2016-01.</w:t>
      </w:r>
    </w:p>
    <w:p>
      <w:pPr>
        <w:spacing w:after="0" w:line="4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September 30, 2018 was a range of 7.9% - 8.1% and a weighted-average of 8.0%. Based on the total fair value of our Level 3 other long-term investment as of September 30, 2018, changes in the discount rate utilized will not result in a fair value significantly different than the amount recorded.</w:t>
      </w:r>
    </w:p>
    <w:p>
      <w:pPr>
        <w:spacing w:after="0" w:line="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and nine months ended September 30,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717"/>
              <w:spacing w:after="0"/>
              <w:rPr>
                <w:sz w:val="20"/>
                <w:szCs w:val="20"/>
                <w:color w:val="auto"/>
              </w:rPr>
            </w:pPr>
            <w:r>
              <w:rPr>
                <w:rFonts w:ascii="Arial" w:cs="Arial" w:eastAsia="Arial" w:hAnsi="Arial"/>
                <w:sz w:val="14"/>
                <w:szCs w:val="14"/>
                <w:b w:val="1"/>
                <w:bCs w:val="1"/>
                <w:color w:val="auto"/>
                <w:w w:val="91"/>
              </w:rPr>
              <w:t>Three months ended September 30, 2018</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Other long-term</w:t>
            </w:r>
          </w:p>
        </w:tc>
        <w:tc>
          <w:tcPr>
            <w:tcW w:w="20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Corporate debt</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June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Paid-in-kind dividends (1)</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September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717"/>
              <w:spacing w:after="0"/>
              <w:rPr>
                <w:sz w:val="20"/>
                <w:szCs w:val="20"/>
                <w:color w:val="auto"/>
              </w:rPr>
            </w:pPr>
            <w:r>
              <w:rPr>
                <w:rFonts w:ascii="Arial" w:cs="Arial" w:eastAsia="Arial" w:hAnsi="Arial"/>
                <w:sz w:val="14"/>
                <w:szCs w:val="14"/>
                <w:b w:val="1"/>
                <w:bCs w:val="1"/>
                <w:color w:val="auto"/>
                <w:w w:val="91"/>
              </w:rPr>
              <w:t>Nine months ended September 30, 2018</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Other long-term</w:t>
            </w:r>
          </w:p>
        </w:tc>
        <w:tc>
          <w:tcPr>
            <w:tcW w:w="20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Corporate debt</w:t>
            </w: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assets associated with the adoption of ASU 2016-01</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Level 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Paid-in-kind dividends (1)</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valuation loss included in earnings (2)</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Fair value, September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Condensed Consolidated Statements of Earnings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Realized gains and losses, net on the Condensed Consolidated Statements of Earnings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For the nine months ended September 30,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 There were no transfers between Level 2 and Level 3 in the three months ended September 30, 2018. The Company’s policy is to recognize transfers between levels in the fair value hierarchy at the end of the reporting period.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September 30, 2017, we held no material assets or liabilities measured at fair value using Level 3 inputs.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Substantially all of the unrealized gain (loss) on investments and other financial instruments, net (excluding investments in unconsolidated affiliates) on our Condensed Consolidated Statements of Comprehensive Income relate to fixed maturity securities , which are considered Level 2 fair value measures.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D.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September 30, 2018 and December 31, 2017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232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1,329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681</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conjunction with our adoption of ASU No. 2016-01, beginning January 1, 2018, unrealized gains and losses on equity and preferred securities are included in Realized gains and losses, net on the Condensed Consolidated Statement of Earnings. Accordingly, they are excluded from the table as of September 30, 2018 above. Refer to discussion under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included in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for further discussion of the effects of the adoption of ASU 2016-01.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September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September 30, 2018</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67</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unrealized losses on investment securities and the fair value of the related securities, aggregated by investment category and length of time that individual securities have been in a continuous unrealized loss position at September 30, 2018 and December 31, 2017, were as follows (in millions):</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recorded no impairment charges relating to investments during the three-month periods ended September 30, 2018 or 2017. We recorded $3 million and $1 million of impairment charges relating to investments during the nine-month periods ended September 30, 2018 and 2017, respectively. Impairment in the nine-month periods relate to fixed maturity securities of investees entering Chapter 11 bankruptcy which exhibited decreasing fair market values and from which we are uncertain of our ability to recover our initial investment.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2018, we held $2 million of investment securities for which an other-than-temporary impairment had been previously recognized. As of December 31, 2017, we held no investment securities for which an other-than-temporary impairment had been previously recognized. It is possible that future events may lead us to recognize impairment losses related</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our investment portfolio and that unanticipated future events may lead us to dispose of certain investment holdings and recognize the effects of any market movements in our condensed consolidated financial statements.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present realized gains and losses on investments and other assets and proceeds from the sale or maturity of investments and other assets for the three and nine-month periods ended September 30, 2018 and 2017, respectively:</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400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1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375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580" w:space="100"/>
            <w:col w:w="3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119</w:t>
            </w:r>
          </w:p>
        </w:tc>
        <w:tc>
          <w:tcPr>
            <w:tcW w:w="640" w:type="dxa"/>
            <w:vAlign w:val="bottom"/>
            <w:gridSpan w:val="2"/>
            <w:shd w:val="clear" w:color="auto" w:fill="CCEEFF"/>
          </w:tcPr>
          <w:p>
            <w:pPr>
              <w:jc w:val="center"/>
              <w:ind w:right="19"/>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Valuation gain on equity securities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loss on preferred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Pacific Union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realized gains and losses, net</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267</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4"/>
          </w:tcPr>
          <w:p>
            <w:pPr>
              <w:jc w:val="right"/>
              <w:ind w:right="375"/>
              <w:spacing w:after="0"/>
              <w:rPr>
                <w:sz w:val="20"/>
                <w:szCs w:val="20"/>
                <w:color w:val="auto"/>
              </w:rPr>
            </w:pPr>
            <w:r>
              <w:rPr>
                <w:rFonts w:ascii="Arial" w:cs="Arial" w:eastAsia="Arial" w:hAnsi="Arial"/>
                <w:sz w:val="14"/>
                <w:szCs w:val="14"/>
                <w:b w:val="1"/>
                <w:bCs w:val="1"/>
                <w:color w:val="auto"/>
              </w:rPr>
              <w:t>Three months ended September 30, 2017</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2"/>
          </w:tcPr>
          <w:p>
            <w:pPr>
              <w:jc w:val="center"/>
              <w:ind w:right="651"/>
              <w:spacing w:after="0"/>
              <w:rPr>
                <w:sz w:val="20"/>
                <w:szCs w:val="20"/>
                <w:color w:val="auto"/>
              </w:rPr>
            </w:pPr>
            <w:r>
              <w:rPr>
                <w:rFonts w:ascii="Arial" w:cs="Arial" w:eastAsia="Arial" w:hAnsi="Arial"/>
                <w:sz w:val="14"/>
                <w:szCs w:val="14"/>
                <w:b w:val="1"/>
                <w:bCs w:val="1"/>
                <w:color w:val="auto"/>
                <w:w w:val="92"/>
              </w:rPr>
              <w:t>Nine months ended September 30, 2017</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center"/>
              <w:ind w:left="2"/>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14"/>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Net Realized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Realized</w:t>
            </w:r>
          </w:p>
        </w:tc>
        <w:tc>
          <w:tcPr>
            <w:tcW w:w="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71"/>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3"/>
              </w:rPr>
              <w:t>(Losses)</w:t>
            </w:r>
          </w:p>
        </w:tc>
        <w:tc>
          <w:tcPr>
            <w:tcW w:w="11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8"/>
              </w:rPr>
              <w:t>Sale/Maturity</w:t>
            </w:r>
          </w:p>
        </w:tc>
        <w:tc>
          <w:tcPr>
            <w:tcW w:w="100" w:type="dxa"/>
            <w:vAlign w:val="bottom"/>
          </w:tcPr>
          <w:p>
            <w:pPr>
              <w:spacing w:after="0"/>
              <w:rPr>
                <w:sz w:val="16"/>
                <w:szCs w:val="16"/>
                <w:color w:val="auto"/>
              </w:rPr>
            </w:pPr>
          </w:p>
        </w:tc>
        <w:tc>
          <w:tcPr>
            <w:tcW w:w="5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4"/>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(Losses)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5"/>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redemptions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E —Notes Payable</w:t>
            </w: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2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ind w:left="1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11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60" w:type="dxa"/>
            <w:vAlign w:val="bottom"/>
            <w:tcBorders>
              <w:bottom w:val="single" w:sz="8" w:color="CCEEFF"/>
            </w:tcBorders>
            <w:gridSpan w:val="16"/>
            <w:shd w:val="clear" w:color="auto" w:fill="CCEEFF"/>
          </w:tcPr>
          <w:p>
            <w:pPr>
              <w:ind w:left="40"/>
              <w:spacing w:after="0"/>
              <w:rPr>
                <w:sz w:val="20"/>
                <w:szCs w:val="20"/>
                <w:color w:val="auto"/>
              </w:rPr>
            </w:pPr>
            <w:r>
              <w:rPr>
                <w:rFonts w:ascii="Arial" w:cs="Arial" w:eastAsia="Arial" w:hAnsi="Arial"/>
                <w:sz w:val="18"/>
                <w:szCs w:val="18"/>
                <w:color w:val="auto"/>
                <w:w w:val="96"/>
              </w:rPr>
              <w:t>Unsecured notes, net of discount, interest payable semi-annually at 4.50%, due August 2028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16"/>
          </w:tcPr>
          <w:p>
            <w:pPr>
              <w:ind w:left="40"/>
              <w:spacing w:after="0"/>
              <w:rPr>
                <w:sz w:val="20"/>
                <w:szCs w:val="20"/>
                <w:color w:val="auto"/>
              </w:rPr>
            </w:pPr>
            <w:r>
              <w:rPr>
                <w:rFonts w:ascii="Arial" w:cs="Arial" w:eastAsia="Arial" w:hAnsi="Arial"/>
                <w:sz w:val="18"/>
                <w:szCs w:val="18"/>
                <w:color w:val="auto"/>
                <w:w w:val="92"/>
              </w:rPr>
              <w:t>Unsecured notes, net of discount, interest payable semi-annually at 5.50%, due September 2022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19"/>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8120" w:type="dxa"/>
            <w:vAlign w:val="bottom"/>
            <w:gridSpan w:val="21"/>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1"/>
            <w:shd w:val="clear" w:color="auto" w:fill="CCEEFF"/>
          </w:tcPr>
          <w:p>
            <w:pPr>
              <w:ind w:left="40"/>
              <w:spacing w:after="0"/>
              <w:rPr>
                <w:sz w:val="20"/>
                <w:szCs w:val="20"/>
                <w:color w:val="auto"/>
              </w:rPr>
            </w:pPr>
            <w:r>
              <w:rPr>
                <w:rFonts w:ascii="Arial" w:cs="Arial" w:eastAsia="Arial" w:hAnsi="Arial"/>
                <w:sz w:val="18"/>
                <w:szCs w:val="18"/>
                <w:color w:val="auto"/>
                <w:w w:val="97"/>
              </w:rPr>
              <w:t>Unsecured convertible notes, net of discount, interest payable semi-annually at 4.25%, due August 2018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480" w:type="dxa"/>
            <w:vAlign w:val="bottom"/>
            <w:gridSpan w:val="23"/>
          </w:tcPr>
          <w:p>
            <w:pPr>
              <w:ind w:left="40"/>
              <w:spacing w:after="0"/>
              <w:rPr>
                <w:sz w:val="20"/>
                <w:szCs w:val="20"/>
                <w:color w:val="auto"/>
              </w:rPr>
            </w:pPr>
            <w:r>
              <w:rPr>
                <w:rFonts w:ascii="Arial" w:cs="Arial" w:eastAsia="Arial" w:hAnsi="Arial"/>
                <w:sz w:val="18"/>
                <w:szCs w:val="18"/>
                <w:color w:val="auto"/>
                <w:w w:val="97"/>
              </w:rPr>
              <w:t>Revolving Credit Facility, unsecured, unused portion of $800, due April 2022 with interest payable monthly at</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3620" w:type="dxa"/>
            <w:vAlign w:val="bottom"/>
          </w:tcPr>
          <w:p>
            <w:pPr>
              <w:ind w:left="40"/>
              <w:spacing w:after="0"/>
              <w:rPr>
                <w:sz w:val="20"/>
                <w:szCs w:val="20"/>
                <w:color w:val="auto"/>
              </w:rPr>
            </w:pPr>
            <w:r>
              <w:rPr>
                <w:rFonts w:ascii="Arial" w:cs="Arial" w:eastAsia="Arial" w:hAnsi="Arial"/>
                <w:sz w:val="18"/>
                <w:szCs w:val="18"/>
                <w:color w:val="auto"/>
              </w:rPr>
              <w:t>LIBOR + 1.40%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2018, the estimated fair value of our unsecured notes payable was approximately $867 million, which was $17 million higher than its carrying value, excluding $14 million of net unamortized debt issuance costs and discount. The fair</w:t>
      </w:r>
    </w:p>
    <w:p>
      <w:pPr>
        <w:sectPr>
          <w:pgSz w:w="11900" w:h="16838" w:orient="portrait"/>
          <w:cols w:equalWidth="0" w:num="1">
            <w:col w:w="11420"/>
          </w:cols>
          <w:pgMar w:left="240" w:top="121"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values of our unsecured notes payable are based on established market prices for the securities on September 30, 2018 and are considered Level 2 financial liabilities.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13, 2018, we completed an offering of $450 million in aggregate principal amount of notes due August 2028 with stated interest of 4.50% per annum (the "4.50% Notes"), pursuant to Rule 144A and Regulation S under the Securities Act of 1933, as amended. The 4.50% Notes were priced at 99.252% of par to yield 4.594% annual interest. The proceeds were used to settle the remaining balance of the Notes (defined below), payoff the outstanding borrowings under the Revolving Credit Facility (defined below), and for general corporate purposes. The 4.50% Notes will pay interest semi-annually on the 15th of February and August, beginning February 15, 2019. The 4.50% Notes contain customary covenants and events of default for investment grade public debt, which primarily relate to failure to make principal or interest payments.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Existing Credit Agreement was amended (the "Restated Credit Agreement").The material terms of the Revolving Credit Facility are set forth in our Annual Report for the year ended December 31, 2017. As of September 30, 2018, there was no principal outstanding, $4 million of unamortized debt issuance costs, and $800 million of remaining borrowing capacity under the Revolving Credit Facility.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2017.</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 2011, FNF completed an offering of $300 million in aggregate principal amount of 4.25% convertible senior notes due August 2018 (the " 4.25% Notes") in an offering conducted in accordance with Rule 144A under the Securities Act of 1933, as amended. The material terms of the 4.25% Notes are set forth in our Annual Report for the year ended December 31, 2017. During the nine months ended September 30, 2018, we settled all of our remaining obligations under the 4.25% Notes for an aggregate of $211 million.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September 30, 2018 are as follows (in millions):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Pr>
          <w:p>
            <w:pPr>
              <w:ind w:left="20"/>
              <w:spacing w:after="0"/>
              <w:rPr>
                <w:sz w:val="20"/>
                <w:szCs w:val="20"/>
                <w:color w:val="auto"/>
              </w:rPr>
            </w:pPr>
            <w:r>
              <w:rPr>
                <w:rFonts w:ascii="Arial" w:cs="Arial" w:eastAsia="Arial" w:hAnsi="Arial"/>
                <w:sz w:val="18"/>
                <w:szCs w:val="18"/>
                <w:color w:val="auto"/>
              </w:rPr>
              <w:t>2018 (remaining)</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10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F — Commitments and Contingencies</w:t>
            </w: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4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3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$13 million and $2 million as of September 30, 2018 and December 31, 2017, respectively. None of the amounts we have currently recorded are considered to be material to our financial condition individually or in the aggregate. Actual losses may materially differ from the amounts recorded and the ultimate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 class action captioned </w:t>
      </w:r>
      <w:r>
        <w:rPr>
          <w:rFonts w:ascii="Arial" w:cs="Arial" w:eastAsia="Arial" w:hAnsi="Arial"/>
          <w:sz w:val="16"/>
          <w:szCs w:val="16"/>
          <w:i w:val="1"/>
          <w:iCs w:val="1"/>
          <w:color w:val="auto"/>
        </w:rPr>
        <w:t>Patterson, et al. v. Fidelity National Title Insurance Company, et al.</w:t>
      </w:r>
      <w:r>
        <w:rPr>
          <w:rFonts w:ascii="Arial" w:cs="Arial" w:eastAsia="Arial" w:hAnsi="Arial"/>
          <w:sz w:val="16"/>
          <w:szCs w:val="16"/>
          <w:color w:val="auto"/>
        </w:rPr>
        <w:t>, Case No. GD 03-021176,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which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finding that the Company failed to advise it’s agents how to interpret the rate rule so that it would be uniformly applied, thereby having engaged in “deceptive conduct.” The Company plans to seek interlocutory review of the summary judgment order. The court approved the parties’ stipulation in which they agreed that before interlocutory review is appropriate, the court will first determine which party should bear the burden of ascertaining the class and calculating damages, and determine whether the damages should be trebled. Briefing on these issues is ongoing, with oral argument scheduled for December 3, 2018. There has been no determination as to the size of the class. It is unknown whether plaintiffs will seek statutory or actual damages, whether the judge will exercise discretion to award treble damages or award prejudgment interest, or what plaintiffs’ counsel will seek as reasonable attorneys’ fees. Accordingly, damages are not reasonably estimable at this time. We will continue to vigorously defend this matter, and we do not believe the result will have a material adverse effect on our financial condition.</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24, 2018, our Board of Directors declared cash dividends of $0.30 per share, payable on December 28, 2018, to FNF common shareholders of record as of December 14,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1,296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691</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1,987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1,948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2,085</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287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236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237</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9,371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2,719</w:t>
            </w:r>
          </w:p>
        </w:tc>
        <w:tc>
          <w:tcPr>
            <w:tcW w:w="0" w:type="dxa"/>
            <w:vAlign w:val="bottom"/>
          </w:tcPr>
          <w:p>
            <w:pPr>
              <w:spacing w:after="0"/>
              <w:rPr>
                <w:sz w:val="1"/>
                <w:szCs w:val="1"/>
                <w:color w:val="auto"/>
              </w:rPr>
            </w:pPr>
          </w:p>
        </w:tc>
      </w:tr>
      <w:tr>
        <w:trPr>
          <w:trHeight w:val="336"/>
        </w:trPr>
        <w:tc>
          <w:tcPr>
            <w:tcW w:w="8120" w:type="dxa"/>
            <w:vAlign w:val="bottom"/>
          </w:tcPr>
          <w:p>
            <w:pPr>
              <w:ind w:left="340"/>
              <w:spacing w:after="0"/>
              <w:rPr>
                <w:sz w:val="20"/>
                <w:szCs w:val="20"/>
                <w:color w:val="auto"/>
              </w:rPr>
            </w:pPr>
            <w:r>
              <w:rPr>
                <w:rFonts w:ascii="Arial" w:cs="Arial" w:eastAsia="Arial" w:hAnsi="Arial"/>
                <w:sz w:val="18"/>
                <w:szCs w:val="18"/>
                <w:color w:val="auto"/>
              </w:rPr>
              <w:t>As of and for the three months ended September 30, 2017: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1,277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678</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1,955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1,872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1,986</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154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10,501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2,683</w:t>
            </w:r>
          </w:p>
        </w:tc>
        <w:tc>
          <w:tcPr>
            <w:tcW w:w="0" w:type="dxa"/>
            <w:vAlign w:val="bottom"/>
          </w:tcPr>
          <w:p>
            <w:pPr>
              <w:spacing w:after="0"/>
              <w:rPr>
                <w:sz w:val="1"/>
                <w:szCs w:val="1"/>
                <w:color w:val="auto"/>
              </w:rPr>
            </w:pPr>
          </w:p>
        </w:tc>
      </w:tr>
      <w:tr>
        <w:trPr>
          <w:trHeight w:val="471"/>
        </w:trPr>
        <w:tc>
          <w:tcPr>
            <w:tcW w:w="8120" w:type="dxa"/>
            <w:vAlign w:val="bottom"/>
          </w:tcPr>
          <w:p>
            <w:pPr>
              <w:ind w:left="56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3,663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1,684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2,072</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5,735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5,901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689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639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589</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9,371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2,719</w:t>
            </w:r>
          </w:p>
        </w:tc>
        <w:tc>
          <w:tcPr>
            <w:tcW w:w="0" w:type="dxa"/>
            <w:vAlign w:val="bottom"/>
          </w:tcPr>
          <w:p>
            <w:pPr>
              <w:spacing w:after="0"/>
              <w:rPr>
                <w:sz w:val="1"/>
                <w:szCs w:val="1"/>
                <w:color w:val="auto"/>
              </w:rPr>
            </w:pPr>
          </w:p>
        </w:tc>
      </w:tr>
      <w:tr>
        <w:trPr>
          <w:trHeight w:val="336"/>
        </w:trPr>
        <w:tc>
          <w:tcPr>
            <w:tcW w:w="8120" w:type="dxa"/>
            <w:vAlign w:val="bottom"/>
          </w:tcPr>
          <w:p>
            <w:pPr>
              <w:ind w:left="340"/>
              <w:spacing w:after="0"/>
              <w:rPr>
                <w:sz w:val="20"/>
                <w:szCs w:val="20"/>
                <w:color w:val="auto"/>
              </w:rPr>
            </w:pPr>
            <w:r>
              <w:rPr>
                <w:rFonts w:ascii="Arial" w:cs="Arial" w:eastAsia="Arial" w:hAnsi="Arial"/>
                <w:sz w:val="18"/>
                <w:szCs w:val="18"/>
                <w:color w:val="auto"/>
              </w:rPr>
              <w:t>As of and for the nine months ended September 30, 2017: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3,626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1,634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1,969</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5,595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5,359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5,688</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644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258</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386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393</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10,501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2,683</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This segment consists of the operations of the parent holding company, our real estate technology subsidiaries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real estate brokerage businesses. This segment includes the result of operations of Pacific Union through the date of the Pacific Union Sale. This segment also includes certain other unallocated corporate overhead expenses and eliminations of revenues and expenses between it and our Title segment, as well as the assets of discontinued operations of FNFV as of September 30, 2017.</w:t>
      </w:r>
    </w:p>
    <w:p>
      <w:pPr>
        <w:sectPr>
          <w:pgSz w:w="11900" w:h="16838" w:orient="portrait"/>
          <w:cols w:equalWidth="0" w:num="1">
            <w:col w:w="11420"/>
          </w:cols>
          <w:pgMar w:left="240" w:top="121"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supplemental cash flow information is provided with respect to certain cash payment and non-cash investing and financing activities.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76"/>
        </w:trPr>
        <w:tc>
          <w:tcPr>
            <w:tcW w:w="900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287</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 for non-cash earnout proceeds for the Pacific Union Sale</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189"/>
        </w:trPr>
        <w:tc>
          <w:tcPr>
            <w:tcW w:w="9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accrual for unsettled debt service payments related to the Notes</w:t>
            </w:r>
          </w:p>
        </w:tc>
        <w:tc>
          <w:tcPr>
            <w:tcW w:w="740" w:type="dxa"/>
            <w:vAlign w:val="bottom"/>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accrual for the equity portion of unsettled repurchases of the Notes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Debt extinguished through the sale of OneDigital</w:t>
            </w:r>
          </w:p>
        </w:tc>
        <w:tc>
          <w:tcPr>
            <w:tcW w:w="7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Revenue Recognition</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 2018, we adopted ASC Topic 606 by applying the modified retrospective method. Results for reporting periods beginning after January 1, 2018 are presented under Topic 606, while prior period amounts are not adjusted and continue to be reported under the accounting standards in effect for the prior period.</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right"/>
        <w:ind w:right="9400"/>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206" w:lineRule="exact"/>
        <w:rPr>
          <w:sz w:val="20"/>
          <w:szCs w:val="20"/>
          <w:color w:val="auto"/>
        </w:rPr>
      </w:pPr>
    </w:p>
    <w:p>
      <w:pPr>
        <w:jc w:val="right"/>
        <w:ind w:right="9340"/>
        <w:spacing w:after="0"/>
        <w:rPr>
          <w:sz w:val="20"/>
          <w:szCs w:val="20"/>
          <w:color w:val="auto"/>
        </w:rPr>
      </w:pPr>
      <w:r>
        <w:rPr>
          <w:rFonts w:ascii="Arial" w:cs="Arial" w:eastAsia="Arial" w:hAnsi="Arial"/>
          <w:sz w:val="18"/>
          <w:szCs w:val="18"/>
          <w:color w:val="auto"/>
        </w:rPr>
        <w:t>Our revenue consists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1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2017</w:t>
            </w:r>
          </w:p>
        </w:tc>
      </w:tr>
      <w:tr>
        <w:trPr>
          <w:trHeight w:val="250"/>
        </w:trPr>
        <w:tc>
          <w:tcPr>
            <w:tcW w:w="354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21"/>
                <w:szCs w:val="21"/>
                <w:color w:val="auto"/>
              </w:rPr>
            </w:pPr>
          </w:p>
        </w:tc>
        <w:tc>
          <w:tcPr>
            <w:tcW w:w="29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Income Statement Classification</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Total Revenue</w:t>
            </w:r>
          </w:p>
        </w:tc>
        <w:tc>
          <w:tcPr>
            <w:tcW w:w="780" w:type="dxa"/>
            <w:vAlign w:val="bottom"/>
            <w:tcBorders>
              <w:bottom w:val="single" w:sz="8" w:color="auto"/>
            </w:tcBorders>
          </w:tcPr>
          <w:p>
            <w:pPr>
              <w:spacing w:after="0"/>
              <w:rPr>
                <w:sz w:val="21"/>
                <w:szCs w:val="2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Revenue from insurance contracts:</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22"/>
                <w:szCs w:val="22"/>
                <w:color w:val="auto"/>
              </w:rPr>
            </w:pPr>
          </w:p>
        </w:tc>
      </w:tr>
      <w:tr>
        <w:trPr>
          <w:trHeight w:val="226"/>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Direct title insurance premiums;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Title insurance premiums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title insurance premiums</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Title</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1,296</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   1,277</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   3,663</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   3,626</w:t>
            </w:r>
          </w:p>
        </w:tc>
      </w:tr>
      <w:tr>
        <w:trPr>
          <w:trHeight w:val="237"/>
        </w:trPr>
        <w:tc>
          <w:tcPr>
            <w:tcW w:w="3660" w:type="dxa"/>
            <w:vAlign w:val="bottom"/>
            <w:gridSpan w:val="2"/>
          </w:tcPr>
          <w:p>
            <w:pPr>
              <w:ind w:left="180"/>
              <w:spacing w:after="0"/>
              <w:rPr>
                <w:sz w:val="20"/>
                <w:szCs w:val="20"/>
                <w:color w:val="auto"/>
              </w:rPr>
            </w:pPr>
            <w:r>
              <w:rPr>
                <w:rFonts w:ascii="Arial" w:cs="Arial" w:eastAsia="Arial" w:hAnsi="Arial"/>
                <w:sz w:val="16"/>
                <w:szCs w:val="16"/>
                <w:color w:val="auto"/>
              </w:rPr>
              <w:t>Home warranty</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131</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revenue from insurance contracts</w:t>
            </w: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1,342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1,324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3,800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3,757</w:t>
            </w: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Revenue from contracts with customers:</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Escrow fees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Title</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w:t>
            </w:r>
          </w:p>
        </w:tc>
      </w:tr>
      <w:tr>
        <w:trPr>
          <w:trHeight w:val="237"/>
        </w:trPr>
        <w:tc>
          <w:tcPr>
            <w:tcW w:w="3660" w:type="dxa"/>
            <w:vAlign w:val="bottom"/>
            <w:gridSpan w:val="2"/>
          </w:tcPr>
          <w:p>
            <w:pPr>
              <w:ind w:left="180"/>
              <w:spacing w:after="0"/>
              <w:rPr>
                <w:sz w:val="20"/>
                <w:szCs w:val="20"/>
                <w:color w:val="auto"/>
              </w:rPr>
            </w:pPr>
            <w:r>
              <w:rPr>
                <w:rFonts w:ascii="Arial" w:cs="Arial" w:eastAsia="Arial" w:hAnsi="Arial"/>
                <w:sz w:val="16"/>
                <w:szCs w:val="16"/>
                <w:color w:val="auto"/>
              </w:rPr>
              <w:t>Other title-related fees and income</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456</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Corporate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Real estate brokerage</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other</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r>
      <w:tr>
        <w:trPr>
          <w:trHeight w:val="220"/>
        </w:trPr>
        <w:tc>
          <w:tcPr>
            <w:tcW w:w="3660" w:type="dxa"/>
            <w:vAlign w:val="bottom"/>
            <w:gridSpan w:val="2"/>
          </w:tcPr>
          <w:p>
            <w:pPr>
              <w:ind w:left="180"/>
              <w:spacing w:after="0"/>
              <w:rPr>
                <w:sz w:val="20"/>
                <w:szCs w:val="20"/>
                <w:color w:val="auto"/>
              </w:rPr>
            </w:pPr>
            <w:r>
              <w:rPr>
                <w:rFonts w:ascii="Arial" w:cs="Arial" w:eastAsia="Arial" w:hAnsi="Arial"/>
                <w:sz w:val="16"/>
                <w:szCs w:val="16"/>
                <w:color w:val="auto"/>
              </w:rPr>
              <w:t>ServiceLink, excluding title premiums, escrow</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3660" w:type="dxa"/>
            <w:vAlign w:val="bottom"/>
            <w:gridSpan w:val="2"/>
          </w:tcPr>
          <w:p>
            <w:pPr>
              <w:ind w:left="180"/>
              <w:spacing w:after="0"/>
              <w:rPr>
                <w:sz w:val="20"/>
                <w:szCs w:val="20"/>
                <w:color w:val="auto"/>
              </w:rPr>
            </w:pPr>
            <w:r>
              <w:rPr>
                <w:rFonts w:ascii="Arial" w:cs="Arial" w:eastAsia="Arial" w:hAnsi="Arial"/>
                <w:sz w:val="16"/>
                <w:szCs w:val="16"/>
                <w:color w:val="auto"/>
              </w:rPr>
              <w:t>fees, and subservicing fees</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Title</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Corporate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Real estate technology</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other</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20"/>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Corporate and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366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other</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revenue from contracts with customers</w:t>
            </w: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1,715</w:t>
            </w: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Loan subservicing revenue</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Escrow, title-related and other fees</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Title</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r>
      <w:tr>
        <w:trPr>
          <w:trHeight w:val="237"/>
        </w:trPr>
        <w:tc>
          <w:tcPr>
            <w:tcW w:w="3660" w:type="dxa"/>
            <w:vAlign w:val="bottom"/>
            <w:gridSpan w:val="2"/>
          </w:tcPr>
          <w:p>
            <w:pPr>
              <w:ind w:left="180"/>
              <w:spacing w:after="0"/>
              <w:rPr>
                <w:sz w:val="20"/>
                <w:szCs w:val="20"/>
                <w:color w:val="auto"/>
              </w:rPr>
            </w:pPr>
            <w:r>
              <w:rPr>
                <w:rFonts w:ascii="Arial" w:cs="Arial" w:eastAsia="Arial" w:hAnsi="Arial"/>
                <w:sz w:val="16"/>
                <w:szCs w:val="16"/>
                <w:color w:val="auto"/>
              </w:rPr>
              <w:t>Interest and investment income</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Interest and investment income</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Various</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Realized gains and losses, net</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Realized gains and losses, net</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Various</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3660" w:type="dxa"/>
            <w:vAlign w:val="bottom"/>
            <w:gridSpan w:val="2"/>
          </w:tcPr>
          <w:p>
            <w:pPr>
              <w:ind w:left="380"/>
              <w:spacing w:after="0"/>
              <w:rPr>
                <w:sz w:val="20"/>
                <w:szCs w:val="20"/>
                <w:color w:val="auto"/>
              </w:rPr>
            </w:pPr>
            <w:r>
              <w:rPr>
                <w:rFonts w:ascii="Arial" w:cs="Arial" w:eastAsia="Arial" w:hAnsi="Arial"/>
                <w:sz w:val="16"/>
                <w:szCs w:val="16"/>
                <w:color w:val="auto"/>
              </w:rPr>
              <w:t>Total revenues</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2,085</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5,901</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5,688</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September 30, 2018</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December 31, 2017</w:t>
            </w:r>
          </w:p>
        </w:tc>
      </w:t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3"/>
          </w:tcPr>
          <w:p>
            <w:pPr>
              <w:jc w:val="right"/>
              <w:ind w:right="1296"/>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90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292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292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(contract liabilities)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three months ended September 30, 2018, we recognized $43 million of revenue which was included in deferred revenue at the beginning of the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BK Distribution, we have reclassified the financial results of Black Knight to discontinued operations in our Condensed Consolidated Statements of Earnings for the three and nine months ended September 30, 2017. We retained no ownership in Black Knight. Subsequent to the BK Distribution, Black Knight is considered a related party to FNF.</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various agreements with Black Knight to provide technology, data and analytics services, as well as corporate shared services and information technology. We are also a party to certain other agreements under which we incur other expenses or receive revenues from Black Knight. We expect to continue utilizing Black Knight to provide technology and data and analytics services for the foreseeable future. The cash inflows and outflows from and to Black Knight as well as revenues and expenses included in continuing operations in the nine months ended September 30, 2018 which were previously eliminated in our condensed consolidated financial statements as intra-entity transactions are not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Black Knight included in discontinued operations is shown below (in millions):</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7"/>
                <w:szCs w:val="17"/>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Nine months ended</w:t>
            </w:r>
          </w:p>
        </w:tc>
      </w:tr>
      <w:tr>
        <w:trPr>
          <w:trHeight w:val="210"/>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74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7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r>
      <w:tr>
        <w:trPr>
          <w:trHeight w:val="217"/>
        </w:trPr>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4"/>
          </w:tcPr>
          <w:p>
            <w:pPr>
              <w:jc w:val="right"/>
              <w:ind w:right="147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74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w:t>
            </w: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w:t>
            </w: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145</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r>
      <w:tr>
        <w:trPr>
          <w:trHeight w:val="237"/>
        </w:trPr>
        <w:tc>
          <w:tcPr>
            <w:tcW w:w="74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42</w:t>
            </w:r>
          </w:p>
        </w:tc>
      </w:tr>
      <w:tr>
        <w:trPr>
          <w:trHeight w:val="33"/>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r>
      <w:tr>
        <w:trPr>
          <w:trHeight w:val="217"/>
        </w:trPr>
        <w:tc>
          <w:tcPr>
            <w:tcW w:w="7400" w:type="dxa"/>
            <w:vAlign w:val="bottom"/>
          </w:tcPr>
          <w:p>
            <w:pPr>
              <w:ind w:left="20"/>
              <w:spacing w:after="0"/>
              <w:rPr>
                <w:sz w:val="20"/>
                <w:szCs w:val="20"/>
                <w:color w:val="auto"/>
              </w:rPr>
            </w:pPr>
            <w:r>
              <w:rPr>
                <w:rFonts w:ascii="Arial" w:cs="Arial" w:eastAsia="Arial" w:hAnsi="Arial"/>
                <w:sz w:val="16"/>
                <w:szCs w:val="16"/>
                <w:color w:val="auto"/>
              </w:rPr>
              <w:t>Earnings from discontinued operations before income taxes</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r>
      <w:tr>
        <w:trPr>
          <w:trHeight w:val="217"/>
        </w:trPr>
        <w:tc>
          <w:tcPr>
            <w:tcW w:w="740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r>
      <w:tr>
        <w:trPr>
          <w:trHeight w:val="28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discontinued operations data:</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Net cash provided by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240</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7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FNFV Split-Off we have reclassified the financial results of FNFV Group to discontinued operations for the three and nine months ended September 30, 2017 in our Condensed Consolidated Statements of Earnings. Subsequent to the FNFV Split-Off, Cannae is considered a related party to FNF. The cash inflows and outflows from and to Cannae as well as revenues and expenses included in continuing operations in the nine months ended September 30, 2017 which were previously eliminated in our condensed consolidated financial statements as intra-entity transactions, are not material to our results of operations.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conjunction with the FNFV Split-Off, FNTIC, Chicago Title, and Commonwealth Title contributed an aggregate of $100 million to Cannae in exchange for 5,706,134 shares of Cannae common stock. As of September 30, 2018, we own approximately 7.9% of Cannae's outstanding common equity. In addition, we issued to Cannae a revolver note (the "Cannae Revolver") in the aggregate principal amount of up to $100 million, which accrues interest at LIBOR plus 450 basis points and matures on the five-year anniversary of the date of the Cannae Revolver. The maturity date is automatically extended for additional five-year terms unless notice of non-renewal is otherwise provided by either FNF or Cannae, in their sole discretion. As of September 30, 2018, there is no outstanding balance under the Cannae Revolver.</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FNFV Split-Off, the following material agreements were entered into by and between the Company and Cannae (the “Split-Off Agreements”):</w:t>
      </w:r>
    </w:p>
    <w:p>
      <w:pPr>
        <w:spacing w:after="0" w:line="170" w:lineRule="exact"/>
        <w:rPr>
          <w:sz w:val="20"/>
          <w:szCs w:val="20"/>
          <w:color w:val="auto"/>
        </w:rPr>
      </w:pPr>
    </w:p>
    <w:p>
      <w:pPr>
        <w:jc w:val="both"/>
        <w:ind w:left="660" w:firstLine="320"/>
        <w:spacing w:after="0" w:line="311"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Reorganization Agreement, dated as of November 17, 2017, by and between the Company and Cannae, which provides for, among other things, the principal corporate transactions required to effect the Split-Off, certain conditions to the Split-Off and provisions governing the relationship between the Company and Cannae with respect to and resulting from the Split-Off;</w:t>
      </w:r>
    </w:p>
    <w:p>
      <w:pPr>
        <w:spacing w:after="0" w:line="154" w:lineRule="exact"/>
        <w:rPr>
          <w:rFonts w:ascii="Arial" w:cs="Arial" w:eastAsia="Arial" w:hAnsi="Arial"/>
          <w:sz w:val="18"/>
          <w:szCs w:val="18"/>
          <w:color w:val="auto"/>
        </w:rPr>
      </w:pPr>
    </w:p>
    <w:p>
      <w:pPr>
        <w:jc w:val="both"/>
        <w:ind w:left="660" w:firstLine="320"/>
        <w:spacing w:after="0" w:line="311"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Tax Matters Agreement, dated as of November 17, 2017, by and between the Company and Cannae, which governs the Company’s and Cannae’s respective rights, responsibilities and obligations with respect to taxes and tax benefits, the filing of tax returns, the control of audits and other tax matters; and</w:t>
      </w:r>
    </w:p>
    <w:p>
      <w:pPr>
        <w:spacing w:after="0" w:line="154" w:lineRule="exact"/>
        <w:rPr>
          <w:rFonts w:ascii="Arial" w:cs="Arial" w:eastAsia="Arial" w:hAnsi="Arial"/>
          <w:sz w:val="18"/>
          <w:szCs w:val="18"/>
          <w:color w:val="auto"/>
        </w:rPr>
      </w:pPr>
    </w:p>
    <w:p>
      <w:pPr>
        <w:jc w:val="both"/>
        <w:ind w:left="660" w:firstLine="320"/>
        <w:spacing w:after="0" w:line="306"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Voting Agreement, dated as of November 17, 2017, by and between the Company and Cannae, pursuant to which the Company agrees to appear or cause all shares of Cannae common stock that the Company or its subsidiaries, as applicable, own after the Split-Off to be counted as present at any meeting of the stockholders of Cannae for the purpose of establishing a quorum, and agrees to vote all of such shares of Cannae common stock (or cause them to be voted) in</w:t>
      </w:r>
    </w:p>
    <w:p>
      <w:pPr>
        <w:sectPr>
          <w:pgSz w:w="11900" w:h="16838" w:orient="portrait"/>
          <w:cols w:equalWidth="0" w:num="1">
            <w:col w:w="11420"/>
          </w:cols>
          <w:pgMar w:left="240" w:top="121" w:right="239" w:bottom="1054"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054"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the same manner as, and in the same proportion to, all shares voted by holders of Cannae common stock (other than the Company and its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FNFV included in discontinued operations is shown below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7"/>
                <w:szCs w:val="17"/>
                <w:color w:val="auto"/>
              </w:rPr>
            </w:pPr>
          </w:p>
        </w:tc>
        <w:tc>
          <w:tcPr>
            <w:tcW w:w="172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Nine months ended</w:t>
            </w: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8"/>
                <w:szCs w:val="18"/>
                <w:color w:val="auto"/>
              </w:rPr>
            </w:pPr>
          </w:p>
        </w:tc>
        <w:tc>
          <w:tcPr>
            <w:tcW w:w="17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4"/>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4"/>
          </w:tcPr>
          <w:p>
            <w:pPr>
              <w:jc w:val="right"/>
              <w:ind w:right="147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18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830</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277</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7440" w:type="dxa"/>
            <w:vAlign w:val="bottom"/>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996</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continuing operations before equity in losses of unconsolidated 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from discontinued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 attributable to Fidelity National Financial, Inc.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57"/>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to Condensed Consolidated Financial Statements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net earnings of Black Knight and FNFV to the Condensed Consolidated Statements of Earnings is shown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7"/>
                <w:szCs w:val="17"/>
                <w:color w:val="auto"/>
              </w:rPr>
            </w:pPr>
          </w:p>
        </w:tc>
        <w:tc>
          <w:tcPr>
            <w:tcW w:w="172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Nine months ended</w:t>
            </w: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72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September 30,</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right="95"/>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center"/>
              <w:ind w:right="114"/>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4"/>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4"/>
          </w:tcPr>
          <w:p>
            <w:pPr>
              <w:jc w:val="right"/>
              <w:ind w:right="1474"/>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attributable to Black Knight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earnings from discontinued operations attributable to FNFV</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106</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 from discontinued operations,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8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9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02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4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8"/>
              </w:rPr>
              <w:t>NOTES TO CONDENSED CONSOLIDATED FINANCIAL STATEMENTS (UNAUDITED) — continued</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Note L.</w:t>
            </w:r>
          </w:p>
        </w:tc>
        <w:tc>
          <w:tcPr>
            <w:tcW w:w="7180" w:type="dxa"/>
            <w:vAlign w:val="bottom"/>
            <w:gridSpan w:val="2"/>
          </w:tcPr>
          <w:p>
            <w:pPr>
              <w:ind w:left="360"/>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Goodwill consists of the following:</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6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Goodwill acquired during the year</w:t>
            </w: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360" w:type="dxa"/>
            <w:vAlign w:val="bottom"/>
            <w:gridSpan w:val="2"/>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Pacific Union Sale (1)</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gridSpan w:val="2"/>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(1) See Note A for further discussion of the Pacific Union Sale.</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Acquisitions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 Guaranty of Hawaii</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August 31, 2017, we completed our acquisition of 90% of the membership interest of Title Guaranty of Hawaii ("Title Guaranty") for $98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Title Guaranty was previously an unaffiliated agent and will continue to be closely aligned with Chicago Title as part of the FNF title company family.</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paid total consideration, net of cash received, of $93 million in exchange for 90% of the equity interests of Title Guaranty. The total cash consideration paid was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4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consideration paid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10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purchase price has been allocated to Title Guaranty's assets acquired and liabilities assumed based on our best estimates of their fair values as of the acquisition date. Goodwill has been recorded based on the amount that the purchase price exceeds the fair value of the net assets acquired. The goodwill recorded is expected to be deductible for tax purposes.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fair value amounts recognized for the assets acquired and liabilities assumed as of the acquisition date (dollars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9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98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Title plant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37"/>
        </w:trPr>
        <w:tc>
          <w:tcPr>
            <w:tcW w:w="988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9880" w:type="dxa"/>
            <w:vAlign w:val="bottom"/>
          </w:tcPr>
          <w:p>
            <w:pPr>
              <w:ind w:left="260"/>
              <w:spacing w:after="0"/>
              <w:rPr>
                <w:sz w:val="20"/>
                <w:szCs w:val="20"/>
                <w:color w:val="auto"/>
              </w:rPr>
            </w:pPr>
            <w:r>
              <w:rPr>
                <w:rFonts w:ascii="Arial" w:cs="Arial" w:eastAsia="Arial" w:hAnsi="Arial"/>
                <w:sz w:val="18"/>
                <w:szCs w:val="18"/>
                <w:color w:val="auto"/>
              </w:rPr>
              <w:t>Non-controlling interests assumed</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equity assumed</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64"/>
        </w:trPr>
        <w:tc>
          <w:tcPr>
            <w:tcW w:w="98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r>
      <w:tr>
        <w:trPr>
          <w:trHeight w:val="257"/>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08"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Property and equipment and Other intangible assets acquired in the Title Guaranty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560" w:type="dxa"/>
            <w:vAlign w:val="bottom"/>
            <w:gridSpan w:val="2"/>
          </w:tcPr>
          <w:p>
            <w:pPr>
              <w:jc w:val="right"/>
              <w:ind w:right="1499"/>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8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8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43</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Tradename</w:t>
            </w:r>
          </w:p>
        </w:tc>
        <w:tc>
          <w:tcPr>
            <w:tcW w:w="28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Software</w:t>
            </w:r>
          </w:p>
        </w:tc>
        <w:tc>
          <w:tcPr>
            <w:tcW w:w="28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w:t>
            </w:r>
          </w:p>
        </w:tc>
        <w:tc>
          <w:tcPr>
            <w:tcW w:w="28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49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53</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60" w:type="dxa"/>
            <w:vAlign w:val="bottom"/>
            <w:vMerge w:val="restart"/>
          </w:tcPr>
          <w:p>
            <w:pPr>
              <w:jc w:val="right"/>
              <w:ind w:right="1050"/>
              <w:spacing w:after="0"/>
              <w:rPr>
                <w:sz w:val="20"/>
                <w:szCs w:val="20"/>
                <w:color w:val="auto"/>
              </w:rPr>
            </w:pPr>
            <w:r>
              <w:rPr>
                <w:rFonts w:ascii="Arial" w:cs="Arial" w:eastAsia="Arial" w:hAnsi="Arial"/>
                <w:sz w:val="18"/>
                <w:szCs w:val="18"/>
                <w:color w:val="auto"/>
              </w:rPr>
              <w:t>26</w:t>
            </w: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the risk that the necessary regulatory approvals for the Stewart Merger may not be obtained or may be obtained subject to conditions that are not anticipated; risks that any of the closing conditions to the proposed Stewart Merger may not be satisfied in a timely manner; the risk that our and Stewart's businesses will not be integrated successfully, that such integration may be more difficult, time-consuming or more costly than expected or that the expected benefits of the Stewart Merger will not be realized; and other risks detailed in the “Statement Regarding Forward-Looking Information,” “Risk Factors” and other sections of our Annual Report on Form 10-K (our "Annual Report") for the year ended December 31, 2017 and other filings with the SEC.</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9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housing inventory and home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16, 2018, the Mortgage Bankers Association ("MBA") estimated (actual for fiscal year 2017) the size of the U.S. mortgage originations market as shown in the following table for 2017 - 2021 in its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7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2017, total originations were reflective of a generally improving residential real estate market driven by increasing home prices and historically low mortgage interest rates. Mortgage interest rates increased slightly in 2017 from 2016, but remained low compared to historical rates. Through the nine months ended September 30, 2018, average interest rates on 30 year fixed-rate mortgages have risen approximately 15% according to rates published by mortgage buyer FreddieMac. Refinance transactions decreased in 2017 and through the nine months ended September 30, 2018 from the historically high levels experienced in preceding years. Existing home sales increased through 2017 and began leveling out and decreasing through the nine months ended September 30, 2018. Over the same time period, there has been a consistent decline in total housing inventory and increase in average home prices. The combination of reduced housing inventory, increasing mortgage interest rates and increasing home prices has led the MBA to lower mortgage origination forecasts in recent months.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remainder of 2018 and beyond, increasing mortgage interest rates driven by gradual increases in the target federal funds rate are expected to adversely impact mortgage originations. In a rising interest rate environment, refinance transactions are expected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continue to decline. The MBA predicts overall mortgage originations in 2018 through 2020 will remain relatively flat compared to the 2017 period driven by a decrease in refinance transactions, offset by a gradual increase in purchase transactions. Purchase transactions involve the issuance of both a lender’s policy and an owner’s policy, resulting in higher title premiums, whereas refinance transactions only require a lender’s policy, resulting in lower title premiums.</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a historically low 3.7% in September 2018. Additionally, the Conference Board's monthly Consumer Confidence Index has remained at historically high levels through 2018. We believe continued strong readings in both of these economic indicators, among other indicators that support a generally strong United States economy, present potential tailwinds for mortgage originations.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the positive effects of a change in mix of purchase to refinance transactions and of a generally strong United States economy and the negative effects of stagnant levels of mortgage originations and increases in interest rates will impact our future results of operations. We continually monitor mortgage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Over the last few years, we have continued to experience strong demand in commercial real estate markets. In 2015 through 2017, the volume and fee-per-file of our commercial transactions were at historical highs. Through the nine months ended September 30, 2018, we have continued to see strong demand for commercial transactions.</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 The first calendar quarter is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1,598</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1,969</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5,688</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1,557</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3"/>
              </w:rPr>
              <w:t>Earnings from continuing operations before income taxes and equity in earnings of</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unconsolidated affiliates</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644</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increased by $99 million in the three months ended September 30, 2018 and increased by $213 million in the nine months ended September 30, 2018, compared to the corresponding periods in 2017.</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from continuing operations increased by $80 million in the three months ended September 30, 2018 and increased by $196 million in the nine months ended September 30, 2018, compared to the corresponding periods in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title agency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ServiceLink product offerings and other title-related products, postage and courier services, computer services, professional services, travel expenses, general insurance, and bad debt expense on our trade and notes receivable.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Income tax expense was $51 million and $88 million in the three-month periods ended September 30, 2018 and 2017, respectively, and $104 million and $258 million in the nine-month periods ended September 30, 2018 and 2017, respectively. Income tax expense as a percentage of earnings before income taxes was 17.8% and 36.4% for the three-month periods ended September 30, 2018 and 2017, respectively, and 15.1% and 40.1% for the nine-month periods ended September 30, 2018 and 2017, respectively. Income tax expense as a percentage of earnings before income taxes fluctuates depending on our estimate of ultimate income tax liability and changes in the characteristics of net earnings, such as the weighting of operating income versus investment income. 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The decrease in the effective tax rate in the 2018 periods from the comparative 2017 periods is primarily attributable to the decreased federal tax rate associated with the passage of the Tax Reform Act. The decrease in the three month period is also attributable to an $8 million reversal of certain tax contingencies in the period and for certain return-to-provision adjustments. The decrease in the nine month period was also attributable to a $45 million change in tax estimate in the three-month period ended June 30, 2018 regarding the timing of payments for, and tax rate applicable to, our tax liability resulting from the decrease in our statutory premium reserves associated with the redomestication of certain of our title insurance underwriters in 2017 and increased tax expense of $21 million in the 2017 period resulting from a change in judgment of the tax deductibility of legal settlements finalized in the period.</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Equity in earnings of unconsolidated affiliates was $1 million and $3 million for the three-month periods ended September 30, 2018 and 2017, respectively, and $4 million and $7 million for the nine-month periods ended September 30, 2018 and 2017, respectively. The equity in earnings in 2018 and 2017 are attributable to various individually immaterial unconsolidated affiliates.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09"/>
        </w:trPr>
        <w:tc>
          <w:tcPr>
            <w:tcW w:w="652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 before income taxes and equity in earnings of</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12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1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$76 million, or 4%, in the three months ended September 30, 2018 and increased by $141 million, or 3%, in the nine months ended September 30, 2018, from the corresponding periods in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Nine months ended September 30,</w:t>
            </w:r>
          </w:p>
        </w:tc>
        <w:tc>
          <w:tcPr>
            <w:tcW w:w="680" w:type="dxa"/>
            <w:vAlign w:val="bottom"/>
            <w:tcBorders>
              <w:bottom w:val="single" w:sz="8" w:color="auto"/>
            </w:tcBorders>
          </w:tcPr>
          <w:p>
            <w:pPr>
              <w:spacing w:after="0"/>
              <w:rPr>
                <w:sz w:val="16"/>
                <w:szCs w:val="16"/>
                <w:color w:val="auto"/>
              </w:rPr>
            </w:pPr>
          </w:p>
        </w:tc>
      </w:tr>
      <w:tr>
        <w:trPr>
          <w:trHeight w:val="258"/>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722</w:t>
            </w:r>
          </w:p>
        </w:tc>
        <w:tc>
          <w:tcPr>
            <w:tcW w:w="1040" w:type="dxa"/>
            <w:vAlign w:val="bottom"/>
            <w:gridSpan w:val="3"/>
          </w:tcPr>
          <w:p>
            <w:pPr>
              <w:jc w:val="right"/>
              <w:ind w:right="12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2,018</w:t>
            </w:r>
          </w:p>
        </w:tc>
        <w:tc>
          <w:tcPr>
            <w:tcW w:w="1020" w:type="dxa"/>
            <w:vAlign w:val="bottom"/>
            <w:gridSpan w:val="3"/>
          </w:tcPr>
          <w:p>
            <w:pPr>
              <w:jc w:val="right"/>
              <w:ind w:right="108"/>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4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1% in the three months ended September 30, 2018 as compared to the corresponding period in 2017. The increase is comprised of an increase in Title premiums from direct operations of $16 million, or 3%, and an increase in Title premiums from agency operations of $3 million, or less than 1%, in the three months ended September 30, 2018.</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by 1% in the nine months ended September 30, 2018 as compared to the corresponding period in 2017. The increase is comprised of an increase in Title premiums from direct operations of $47 million, or 3%, partially offset by a decrease in Title premiums from agency operations of $10 million, or less than 1%, in the nine months ended September 30,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6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2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Title premiums from direct operations increased in the three and nine months ended September 30, 2018 as compared to the corresponding period in 2017. The increase is primarily attributable to an increase in the fee per file driven by a favorable change in the mix of closed orders from purchase and refinance transactions, partially offset by a decrease in overall closed order volume. We experienced flat closed title insurance order volumes from purchase transactions and a decrease in closed title insurance order volumes from refinance transactions in the three and nine months ended September 30, 2018 as compared to the corresponding periods in 2017. Total closed order volumes were 339,000 in the three months ended September 30, 2018 compared with 367,000 in the three months ended September 30, 2017 and 1,014,000 in the nine months ended September 30, 2018 compared with 1,071,000 in the nine months ended September 30, 2017. This represented an overall decrease of 8% and 5%, respectively. Opened title order volumes trended directionally consistent with closed order volumes.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average fee per file in our direct operations was $2,623 and $2,521 in the three and nine months ended September 30, 2018, respectively, compared to $2,368 and $2,320 in the three and nine months ended September 30, 2017, respectively. The increase in average fee per file reflects the favorable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Title premiums from agency operations increased $3 million, or less than 1%, in the three months ended September 30, 2018 and decreased $10 million, or less than 1%, in the nine months ended September 30, 2018 as compared to the corresponding period in 2017.</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Escrow, title-related and other fees increased by $3 million, or 1%, in the three months ended September 30, 2018 and increased by $50 million, or 3%, in the nine months ended September 30, 2018 from the corresponding periods in 2017. Escrow fees, which are more closely related to our direct operations, increased by $1 million, or less than 1%, in the three months ended September 30, 2018 and increased by $25 million, or 4%, in the nine months ended September 30, 2018 compared to the corresponding periods in 2017. The increase is consistent with the trend in title premiums from direct operations. Other fees in the Title segment, excluding escrow fees, increased $2 million, or less than 1%, in the three months ended September 30, 2018 and increased $25 million, or 2%, in the nine months ended September 30, 2018, from the corresponding periods in 2017. The increase in the nine-month period is primarily attributable to revenue growth associated with our home warranty businesses, increased subservicing revenue at ServiceLink and acquisitions, partially offset by decreases in revenue at FNF Canada and at certain other ServiceLink subsidiaries.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by $14 million in the three months ended September 30, 2018 and increased $35 million in the nine months ended September 30, 2018, compared to the corresponding periods in 2017. The increase is primarily driven by increased interest rates earned in our tax-deferred property exchange business, interest earned on short-term investments, and increased interest on our fixed maturity holdings and other long-term investments, partially offset by a decrease in our fixed maturity holdings period over period.</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Realized gains and losses, net increased $40 million in the three months ended September 30, 2018 and increased $19 million in the nine months ended September 30, 2018 from the comparable periods in 2017. The increase is primarily attributable to the inclusion of non-cash valuation gains on our equity security holdings in the 2018 periods associated with the adoption of ASU 2016-01 on January 1, 2018. The increase in the nine months ended September 30, 2018 from the comparable 2017 period was partially offset by the inclusion of gains of $8 million on sales of other long term investments in the 2017 period.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increased $19 million, or 3%, in the three months ended September 30, 2018 and increased $83 million, or 5%, in the nine months ended September 30, 2018, compared to the corresponding periods in 2017. The increase in the 2018 period is primarily attributable to higher commissions and bonuses and to increased salaries. Personnel costs as a percentage of total revenues from direct title premiums and escrow, title-related and other fees were 55% and 54% for the three-month periods ended September 30, 2018 and 2017, respectively, and 55% and 54% for the nine-month periods ended September 30, 2018 and 2017, respectively. Average employee count in the Title segment was 23,511 and 23,671 in the three-month periods ended September 30, 2018 and 2017, respectively, and 23,289 and 23,129 in the nine-month periods ended September 30, 2018 and 2017, respectively.</w:t>
      </w:r>
    </w:p>
    <w:p>
      <w:pPr>
        <w:spacing w:after="0" w:line="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Other operating expenses increased by $17 million, or 5% in the three months ended September 30, 2018 and increased by $20 million, or 2%, in the nine months ended September 30, 2018, from the corresponding periods in 2017. Other operating expenses as a percentage of total revenue excluding agency premiums, interest and investment income, and realized gains and losses increased 1% in the three months ended September 30, 2018 and remained flat in the nine months ended September 30, 2018 compared to the comparable periods in 2017. The increase as a percentage of revenue in the three-month period was primarily attributable to a state sales tax contingency recorded in the 2018 period.</w:t>
      </w:r>
    </w:p>
    <w:p>
      <w:pPr>
        <w:spacing w:after="0" w:line="6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4"/>
              </w:rPr>
              <w:t>Nine months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2,018</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554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1,546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claim loss provision for title insurance was $58 million and $64 million for the three-month periods ended September 30, 2018 and 2017, respectively, and reflects an average provision rate of 4.5% and 5.0% of title premiums, respectively. The claim loss provision for title insurance was $165 million and $181 million for the nine-month periods ended September 30, 2018 and 2017, respectively, and reflects an average provision rate of 4.5% and 5.0% of title premiums, respectively.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On September 24, 2018, we closed on the Pacific Union Sale. Refer to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included in Item 1 of Part 1 of this Quarterly Report for further information. The results of operations of Pacific Union are included through the date of sale.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44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20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64"/>
        </w:trPr>
        <w:tc>
          <w:tcPr>
            <w:tcW w:w="636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7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36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7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36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 and equity in earnings of</w:t>
            </w:r>
          </w:p>
        </w:tc>
        <w:tc>
          <w:tcPr>
            <w:tcW w:w="720" w:type="dxa"/>
            <w:vAlign w:val="bottom"/>
            <w:vMerge w:val="restart"/>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(22)</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 revenue in the Corporate and Other segment for all periods represents revenue generated by our real estate brokerage and technology subsidiaries offset by the elimination of certain revenues between segments. See Note J.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included in Item 1 of Part 1 of this Quarterly Report for further discussion and disaggregation of our revenue.</w:t>
      </w:r>
    </w:p>
    <w:p>
      <w:pPr>
        <w:spacing w:after="0" w:line="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Total revenues in the Corporate and Other segment increased $23 million, or 20%, in the three-month period ended September 30, 2018 and increased $72 million, or 22%, in the nine-month period ended September 30, 2018, from the comparative periods in 2017. The increase is partially attributable to growth and acquisitions in our real estate technology businesses resulting in increased revenue of $8 million and $28 million in the three- and nine-month periods ended September 30, 2018 respectively, from the comparable 2017 periods. The segment includes revenues of $81 million and $84 million in the three-month periods ended September 30, 2018 and 2017, respectively, and $264 million and $243 million in the nine month periods ended September 30, 2018 and 2017, respectively, for Pacific Union and its subsidiaries.</w:t>
      </w:r>
    </w:p>
    <w:p>
      <w:pPr>
        <w:spacing w:after="0" w:line="8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Realized gains and losses, net increased $11 million in the three months ended September 30, 2018 and increased $16 million in the nine months ended September 30, 2018 from the comparable periods in 2017. The increase was primarily attributable to the gain on the Pacific Union Sale.</w:t>
      </w:r>
    </w:p>
    <w:p>
      <w:pPr>
        <w:spacing w:after="0" w:line="3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Personnel costs in the Corporate and Other segment increased $8 million, or 36%, in the three-month period ended September 30, 2018 and increased $21 million, or 31%, in the nine-month period ended September 30, 2018, from the corresponding periods in 2017. The increase is primarily attributable to increased costs resulting from acquisitions of real estate technology subsidiaries.</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Other operating expenses in the Corporate and Other segment increased $16 million, or 17%, in the three-month period ended September 30, 2018 and increased $74 million, or 27%, in the nine-month period ended September 30, 2018, from the corresponding periods in 2017. The increase is primarily attributable to increased costs associated with acquisitions, transaction costs associated with the Pacific Union Sale, and to the inclusion of $11 million and $33 million of expense eliminations (reduction to expense) in the three and nine months ended September 30, 2017, respectively, related to eliminations of transactions with Black Knight.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As a result of the FNFV Split-Off and BK Distribution, the results of operations of FNFV and Black Knight are included in discontinued operations. Earnings from discontinued operations, net of tax, were $18 million and $165 million in the three and nine months ended September 30, 2017. Refer to Note K.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Condensed Consolidated Financial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Statements in Item 1 of Part I of this Quarterly Report for further information, including a breakout of the results of operations of both FNFV and Black Knight.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on our debt, capital expenditures, business acquisitions, stock repurchases and dividends on our common stock. We paid dividends of $0.30 per share in the third quarter of 2018, or approximately $82 million to our FNF common shareholders. On October 24, 2018, our Board of Directors declared cash dividends of $0.30 per share, payable on December 28, 2018, to FNF common shareholders of record as of December 14, 2018.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2017, $1,700 million of our net assets were restricted from dividend payments without prior approval from the relevant departments of insurance. We anticipate that our title insurance subsidiaries will pay or make dividends in the remainder of 2018 of approximately $89 million. Our underwritten title companies and non-insurance subsidiaries are not regulated to the same extent as our insurance subsidiaries.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nine months ended September 30, 2018 and 2017 totaled $671 million and $563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of $108 million is primarily attributable to decreased payments for income taxes in the current period of $160 million, increased pre-tax earnings of $45 million and the payment of legal settlements of $65 million in the 2017 period, partially offset by $115 million of cash flow from operating activities attributable to discontinued operations in the 2017 period. The remaining variance is attributable to timing of receipt and payment of receivables and payables.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(used in) provided by investing activities for the nine months ended September 30, 2018 and 2017 were $(42)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$178 million, respectively. The 2017 period included $63 million of cash provided by investing activities of discontinued operations. The decrease in cash provided by (increase in cash used in) investing activities of $220 million in the 2018 period compared to the 2017 period is primarily attributable to a $253 million decrease in net inflows from the sales of, and distributions from, equity and fixed income investments, net of purchases and additional investments in unconsolidated investees in the 2018 period and proceeds from FNFV's sale of its subsidiary for $325 million in the 2017 period, partially offset by increased proceeds from the sale of property and equipment of $19 million, lower cash paid for acquisitions of $200 million and decreased capital expenditures of $76 million in the 2018 period compared to the corresponding period in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$56 million and $132 million for the nine-month periods ended September 30, 2018 and 2017, respectively. The decrease is primarily attributable to the inclusion of capital expenditures at Black Knight and FNFV in the 2017 period.</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Our cash flows used in financing activities for the nine months ended September 30, 2018 and 2017 were $317 million and $832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The decrease in cash used in financing activities of $515 million from the 2018 period to the 2017 period is primarily attributable to decreased net debt service payments, net of borrowings, of $465 million, and decreased equity repurchases of both FNF and Black Knight stock of $69 million, partially offset by a decrease in the change in secured trust deposits of $58 million and an increase in dividends paid of $42 million.</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July 20, 2015, our Board of Directors approved a three-year stock repurchase program (the "2015 Repurchase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under which we could purchase up to 25 million shares of our FNF common stock through July 31, 2018. On July 17, 2018, our Board of Directors terminated the 2015 Repurchase Program effective as of July 31, 2018 and approved a new three-year stock repurchase program effective August 1, 2018 (the "2018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Since the original commencement of the 2015 Repurchase Program through market close on July 31, 2018, we repurchased a total of 10,589,000 FNF common shares for $372 million, or an average of $35.10 per share. We have not made any repurchases under these programs in the three or nine months ended September 30, 2018 or in the subsequent period ended October 25, 2018.</w:t>
      </w:r>
    </w:p>
    <w:p>
      <w:pPr>
        <w:spacing w:after="0" w:line="1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Equity and Preferred Security Investments. </w:t>
      </w:r>
      <w:r>
        <w:rPr>
          <w:rFonts w:ascii="Arial" w:cs="Arial" w:eastAsia="Arial" w:hAnsi="Arial"/>
          <w:sz w:val="16"/>
          <w:szCs w:val="16"/>
          <w:color w:val="auto"/>
        </w:rPr>
        <w:t>Our equity and preferred security investments may be subject to significant volatility. Should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There have been no significant changes to our off-balance sheet arrangements since our Annual Report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There have been no material changes to our critical accounting policies described in our Annual Report for our fiscal year ended December 31, 2017.</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addition to the significant risks and uncertainties described in our Annual Report, we identified the following additional risk as a result of the pending Stewart Merger. See "Recent Developments" in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to our Condensed Consolidated Financial Statements included in Item 1 of Part 1 of this report for further discussion of the Stewart Merger.</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pending acquisition of Stewart may expose us to certain risks.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March 19, 2018, we signed a merger agreement (the "Merger Agreement") to acquire Stewart Information Services Corporation ("Stewart") (NYSE: STC) (the "Stewart Merger"). The closing of the Stewart Merger is subject to certain closing conditions, federal and state regulatory approvals and the satisfaction of other customary closing conditions. Closing of the Stewart Merger is expected in the first or second quarter of 2019. If the Stewart Merger is not completed for failure to obtain the required regulatory approvals, we are required to pay a reverse break-up fee of $50 million to Stewart. If the Stewart Merger is completed, we may face challenges in integrating Stewart. These challenges include eliminating redundant operations, facilities and systems, coordinating management and personnel, retaining key employees, managing different corporate cultures, and achieving cost reductions. There can be no assurance that we will be able to fully integrate all aspects of the acquired business successfully, and the process of integrating this acquisition may disrupt our business and divert our resources.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520" w:type="dxa"/>
            <w:vAlign w:val="bottom"/>
          </w:tcPr>
          <w:p>
            <w:pPr>
              <w:ind w:left="240"/>
              <w:spacing w:after="0"/>
              <w:rPr>
                <w:sz w:val="20"/>
                <w:szCs w:val="20"/>
                <w:color w:val="auto"/>
              </w:rPr>
            </w:pPr>
            <w:r>
              <w:rPr>
                <w:rFonts w:ascii="Arial" w:cs="Arial" w:eastAsia="Arial" w:hAnsi="Arial"/>
                <w:sz w:val="18"/>
                <w:szCs w:val="18"/>
                <w:color w:val="auto"/>
              </w:rPr>
              <w:t>(a) Exhibits:</w:t>
            </w: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2.1</w:t>
            </w:r>
          </w:p>
        </w:tc>
        <w:tc>
          <w:tcPr>
            <w:tcW w:w="9880" w:type="dxa"/>
            <w:vAlign w:val="bottom"/>
            <w:gridSpan w:val="10"/>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Agreement and Plan of Merger, dated as of March 18, 2018, by and among Stewart Information Services Corporation, Fidelity National</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Financial, Inc., A Holdco Corp., and S Holdco LLC (incorporated by reference to Exhibit 2.1 to the Registrant's Current Report on Form</w:t>
              </w:r>
            </w:hyperlink>
          </w:p>
        </w:tc>
      </w:tr>
      <w:tr>
        <w:trPr>
          <w:trHeight w:val="196"/>
        </w:trPr>
        <w:tc>
          <w:tcPr>
            <w:tcW w:w="1520" w:type="dxa"/>
            <w:vAlign w:val="bottom"/>
          </w:tcPr>
          <w:p>
            <w:pPr>
              <w:spacing w:after="0"/>
              <w:rPr>
                <w:sz w:val="17"/>
                <w:szCs w:val="17"/>
                <w:color w:val="auto"/>
              </w:rPr>
            </w:pPr>
          </w:p>
        </w:tc>
        <w:tc>
          <w:tcPr>
            <w:tcW w:w="214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8-K filed on March 19, 2018)</w:t>
              </w:r>
            </w:hyperlink>
          </w:p>
        </w:tc>
        <w:tc>
          <w:tcPr>
            <w:tcW w:w="7740" w:type="dxa"/>
            <w:vAlign w:val="bottom"/>
            <w:gridSpan w:val="7"/>
          </w:tcPr>
          <w:p>
            <w:pPr>
              <w:spacing w:after="0"/>
              <w:rPr>
                <w:sz w:val="17"/>
                <w:szCs w:val="17"/>
                <w:color w:val="auto"/>
              </w:rPr>
            </w:pPr>
          </w:p>
        </w:tc>
      </w:tr>
      <w:tr>
        <w:trPr>
          <w:trHeight w:val="58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3.1</w:t>
            </w:r>
          </w:p>
        </w:tc>
        <w:tc>
          <w:tcPr>
            <w:tcW w:w="9880" w:type="dxa"/>
            <w:vAlign w:val="bottom"/>
            <w:tcBorders>
              <w:bottom w:val="single" w:sz="8" w:color="0000FF"/>
            </w:tcBorders>
            <w:gridSpan w:val="10"/>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Fifth Amended and Restated Certificate of Incorporation of Fidelity National Financial, Inc. (incorporated by reference to Exhibit 3.1 to</w:t>
              </w:r>
            </w:hyperlink>
          </w:p>
        </w:tc>
      </w:tr>
      <w:tr>
        <w:trPr>
          <w:trHeight w:val="196"/>
        </w:trPr>
        <w:tc>
          <w:tcPr>
            <w:tcW w:w="1520" w:type="dxa"/>
            <w:vAlign w:val="bottom"/>
          </w:tcPr>
          <w:p>
            <w:pPr>
              <w:spacing w:after="0"/>
              <w:rPr>
                <w:sz w:val="17"/>
                <w:szCs w:val="17"/>
                <w:color w:val="auto"/>
              </w:rPr>
            </w:pPr>
          </w:p>
        </w:tc>
        <w:tc>
          <w:tcPr>
            <w:tcW w:w="49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the Registrant's Current Report on Form 8-K filed on June 13, 2018)</w:t>
              </w:r>
            </w:hyperlink>
          </w:p>
        </w:tc>
        <w:tc>
          <w:tcPr>
            <w:tcW w:w="4940" w:type="dxa"/>
            <w:vAlign w:val="bottom"/>
            <w:gridSpan w:val="5"/>
          </w:tcPr>
          <w:p>
            <w:pPr>
              <w:spacing w:after="0"/>
              <w:rPr>
                <w:sz w:val="17"/>
                <w:szCs w:val="17"/>
                <w:color w:val="auto"/>
              </w:rPr>
            </w:pPr>
          </w:p>
        </w:tc>
      </w:tr>
      <w:tr>
        <w:trPr>
          <w:trHeight w:val="372"/>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4.1</w:t>
            </w:r>
          </w:p>
        </w:tc>
        <w:tc>
          <w:tcPr>
            <w:tcW w:w="9880" w:type="dxa"/>
            <w:vAlign w:val="bottom"/>
            <w:tcBorders>
              <w:bottom w:val="single" w:sz="8" w:color="0000FF"/>
            </w:tcBorders>
            <w:gridSpan w:val="10"/>
          </w:tcPr>
          <w:p>
            <w:pPr>
              <w:spacing w:after="0"/>
              <w:rPr>
                <w:rFonts w:ascii="Arial" w:cs="Arial" w:eastAsia="Arial" w:hAnsi="Arial"/>
                <w:sz w:val="18"/>
                <w:szCs w:val="18"/>
                <w:color w:val="0000FF"/>
                <w:w w:val="94"/>
              </w:rPr>
            </w:pPr>
            <w:hyperlink r:id="rId21">
              <w:r>
                <w:rPr>
                  <w:rFonts w:ascii="Arial" w:cs="Arial" w:eastAsia="Arial" w:hAnsi="Arial"/>
                  <w:sz w:val="18"/>
                  <w:szCs w:val="18"/>
                  <w:color w:val="0000FF"/>
                  <w:w w:val="94"/>
                </w:rPr>
                <w:t>Fourth Supplemental Indenture, dated August 13, 2018, between the Registrant and The Bank of New York Mellon Trust Company,</w:t>
              </w:r>
            </w:hyperlink>
          </w:p>
        </w:tc>
      </w:tr>
      <w:tr>
        <w:trPr>
          <w:trHeight w:val="196"/>
        </w:trPr>
        <w:tc>
          <w:tcPr>
            <w:tcW w:w="1520" w:type="dxa"/>
            <w:vAlign w:val="bottom"/>
          </w:tcPr>
          <w:p>
            <w:pPr>
              <w:spacing w:after="0"/>
              <w:rPr>
                <w:sz w:val="17"/>
                <w:szCs w:val="17"/>
                <w:color w:val="auto"/>
              </w:rPr>
            </w:pPr>
          </w:p>
        </w:tc>
        <w:tc>
          <w:tcPr>
            <w:tcW w:w="9880" w:type="dxa"/>
            <w:vAlign w:val="bottom"/>
            <w:gridSpan w:val="10"/>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N.A. (incorporated by reference to Exhibit 4.4 to the Registrant's Current Report on Form 8-K filed on August 13, 2018)</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4.2</w:t>
            </w:r>
          </w:p>
        </w:tc>
        <w:tc>
          <w:tcPr>
            <w:tcW w:w="9880" w:type="dxa"/>
            <w:vAlign w:val="bottom"/>
            <w:gridSpan w:val="10"/>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4.</w:t>
              </w:r>
              <w:r>
                <w:rPr>
                  <w:rFonts w:ascii="Arial" w:cs="Arial" w:eastAsia="Arial" w:hAnsi="Arial"/>
                  <w:sz w:val="18"/>
                  <w:szCs w:val="18"/>
                  <w:u w:val="single" w:color="auto"/>
                  <w:color w:val="0000FF"/>
                  <w:w w:val="91"/>
                </w:rPr>
                <w:t>50%</w:t>
              </w:r>
              <w:r>
                <w:rPr>
                  <w:rFonts w:ascii="Arial" w:cs="Arial" w:eastAsia="Arial" w:hAnsi="Arial"/>
                  <w:sz w:val="18"/>
                  <w:szCs w:val="18"/>
                  <w:color w:val="0000FF"/>
                  <w:w w:val="91"/>
                </w:rPr>
                <w:t xml:space="preserve"> Senior Note due 2028 of the Registrant (incorporated by reference to Exhibit 4.5 to the Registrant's Current Report on Form 8-K</w:t>
              </w:r>
            </w:hyperlink>
          </w:p>
        </w:tc>
      </w:tr>
      <w:tr>
        <w:trPr>
          <w:trHeight w:val="196"/>
        </w:trPr>
        <w:tc>
          <w:tcPr>
            <w:tcW w:w="152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filed on August 13, 2018)</w:t>
              </w:r>
            </w:hyperlink>
          </w:p>
        </w:tc>
        <w:tc>
          <w:tcPr>
            <w:tcW w:w="8000" w:type="dxa"/>
            <w:vAlign w:val="bottom"/>
            <w:tcBorders>
              <w:top w:val="single" w:sz="8" w:color="0000FF"/>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4.3</w:t>
            </w:r>
          </w:p>
        </w:tc>
        <w:tc>
          <w:tcPr>
            <w:tcW w:w="9860" w:type="dxa"/>
            <w:vAlign w:val="bottom"/>
            <w:tcBorders>
              <w:bottom w:val="single" w:sz="8" w:color="0000FF"/>
            </w:tcBorders>
            <w:gridSpan w:val="9"/>
          </w:tcPr>
          <w:p>
            <w:pPr>
              <w:spacing w:after="0"/>
              <w:rPr>
                <w:rFonts w:ascii="Arial" w:cs="Arial" w:eastAsia="Arial" w:hAnsi="Arial"/>
                <w:sz w:val="18"/>
                <w:szCs w:val="18"/>
                <w:color w:val="0000FF"/>
                <w:w w:val="95"/>
              </w:rPr>
            </w:pPr>
            <w:hyperlink r:id="rId22">
              <w:r>
                <w:rPr>
                  <w:rFonts w:ascii="Arial" w:cs="Arial" w:eastAsia="Arial" w:hAnsi="Arial"/>
                  <w:sz w:val="18"/>
                  <w:szCs w:val="18"/>
                  <w:color w:val="0000FF"/>
                  <w:w w:val="95"/>
                </w:rPr>
                <w:t>Registration Rights Agreement, dated August 13, 2018, by and between the Registrant and Merrill Lynch, Pierce, Fenner &amp; Smith</w:t>
              </w:r>
            </w:hyperlink>
          </w:p>
        </w:tc>
        <w:tc>
          <w:tcPr>
            <w:tcW w:w="2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80" w:type="dxa"/>
            <w:vAlign w:val="bottom"/>
            <w:gridSpan w:val="10"/>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Incorporated, as the representative of itself and the Initial Purchasers (incorporated by reference to Exhibit 4.6 to the Registrant's Current</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Report on Form 8-K filed on August 13, 2018</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Chief Executive Officer pursuant to Section 302 of the Sarbanes-Oxley Act of 2002.</w:t>
              </w:r>
            </w:hyperlink>
          </w:p>
        </w:tc>
        <w:tc>
          <w:tcPr>
            <w:tcW w:w="2640" w:type="dxa"/>
            <w:vAlign w:val="bottom"/>
            <w:gridSpan w:val="3"/>
          </w:tcPr>
          <w:p>
            <w:pPr>
              <w:spacing w:after="0"/>
              <w:rPr>
                <w:sz w:val="24"/>
                <w:szCs w:val="24"/>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31.2</w:t>
            </w:r>
          </w:p>
        </w:tc>
        <w:tc>
          <w:tcPr>
            <w:tcW w:w="9880" w:type="dxa"/>
            <w:vAlign w:val="bottom"/>
            <w:gridSpan w:val="1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gridSpan w:val="5"/>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32.1</w:t>
            </w:r>
          </w:p>
        </w:tc>
        <w:tc>
          <w:tcPr>
            <w:tcW w:w="9880" w:type="dxa"/>
            <w:vAlign w:val="bottom"/>
            <w:gridSpan w:val="10"/>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Certification by Chief Executive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32.2</w:t>
            </w:r>
          </w:p>
        </w:tc>
        <w:tc>
          <w:tcPr>
            <w:tcW w:w="9880" w:type="dxa"/>
            <w:vAlign w:val="bottom"/>
            <w:gridSpan w:val="10"/>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Certification by Chief Financial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and nine-months ended September 30, 2018,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Date: October 26, 2018</w:t>
            </w: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340" w:type="dxa"/>
            <w:vAlign w:val="bottom"/>
          </w:tcPr>
          <w:p>
            <w:pPr>
              <w:spacing w:after="0"/>
              <w:rPr>
                <w:sz w:val="20"/>
                <w:szCs w:val="20"/>
                <w:color w:val="auto"/>
              </w:rPr>
            </w:pP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(registrant)</w:t>
            </w:r>
          </w:p>
        </w:tc>
      </w:tr>
      <w:tr>
        <w:trPr>
          <w:trHeight w:val="486"/>
        </w:trPr>
        <w:tc>
          <w:tcPr>
            <w:tcW w:w="3340" w:type="dxa"/>
            <w:vAlign w:val="bottom"/>
          </w:tcPr>
          <w:p>
            <w:pPr>
              <w:spacing w:after="0"/>
              <w:rPr>
                <w:sz w:val="24"/>
                <w:szCs w:val="24"/>
                <w:color w:val="auto"/>
              </w:rPr>
            </w:pPr>
          </w:p>
        </w:tc>
        <w:tc>
          <w:tcPr>
            <w:tcW w:w="6360" w:type="dxa"/>
            <w:vAlign w:val="bottom"/>
            <w:gridSpan w:val="2"/>
          </w:tcPr>
          <w:p>
            <w:pPr>
              <w:ind w:left="1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3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702"/>
        </w:trPr>
        <w:tc>
          <w:tcPr>
            <w:tcW w:w="334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2018</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2018</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October 26, 2018</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October 26, 2018</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9" Type="http://schemas.openxmlformats.org/officeDocument/2006/relationships/hyperlink" Target="http://www.sec.gov/Archives/edgar/data/1331875/000110465918018663/a18-8535_1ex2d1.htm" TargetMode="External"/><Relationship Id="rId20" Type="http://schemas.openxmlformats.org/officeDocument/2006/relationships/hyperlink" Target="http://www.sec.gov/Archives/edgar/data/1331875/000133187518000035/fnffifthamendedandrestated.htm" TargetMode="External"/><Relationship Id="rId21" Type="http://schemas.openxmlformats.org/officeDocument/2006/relationships/hyperlink" Target="http://www.sec.gov/Archives/edgar/data/1331875/000133187518000051/exhibit44-fourthsupplement.htm" TargetMode="External"/><Relationship Id="rId22" Type="http://schemas.openxmlformats.org/officeDocument/2006/relationships/hyperlink" Target="http://www.sec.gov/Archives/edgar/data/1331875/000133187518000051/exhibit46-registrationrig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2019-12-28T18:55:33Z</dcterms:created>
  <dcterms:modified xsi:type="dcterms:W3CDTF">2019-12-28T18:55:33Z</dcterms:modified>
</cp:coreProperties>
</file>