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581025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spacing w:after="0" w:line="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w:t>
      </w:r>
    </w:p>
    <w:p>
      <w:pPr>
        <w:spacing w:after="0" w:line="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May 8, 2026</w:t>
      </w:r>
    </w:p>
    <w:p>
      <w:pPr>
        <w:spacing w:after="0" w:line="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4"/>
          <w:szCs w:val="34"/>
          <w:b w:val="1"/>
          <w:bCs w:val="1"/>
          <w:color w:val="auto"/>
        </w:rPr>
        <w:t>Fidelity National Financial, Inc.</w:t>
      </w:r>
    </w:p>
    <w:p>
      <w:pPr>
        <w:spacing w:after="0" w:line="9" w:lineRule="exact"/>
        <w:rPr>
          <w:sz w:val="24"/>
          <w:szCs w:val="24"/>
          <w:color w:val="auto"/>
        </w:rPr>
      </w:pPr>
    </w:p>
    <w:tbl>
      <w:tblPr>
        <w:tblLayout w:type="fixed"/>
        <w:tblInd w:w="206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5460" w:type="dxa"/>
            <w:vAlign w:val="bottom"/>
          </w:tcPr>
          <w:p>
            <w:pPr>
              <w:jc w:val="center"/>
              <w:ind w:right="204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170"/>
        </w:trPr>
        <w:tc>
          <w:tcPr>
            <w:tcW w:w="1920" w:type="dxa"/>
            <w:vAlign w:val="bottom"/>
          </w:tcPr>
          <w:p>
            <w:pPr>
              <w:spacing w:after="0"/>
              <w:rPr>
                <w:sz w:val="14"/>
                <w:szCs w:val="14"/>
                <w:color w:val="auto"/>
              </w:rPr>
            </w:pPr>
          </w:p>
        </w:tc>
        <w:tc>
          <w:tcPr>
            <w:tcW w:w="5460" w:type="dxa"/>
            <w:vAlign w:val="bottom"/>
          </w:tcPr>
          <w:p>
            <w:pPr>
              <w:jc w:val="center"/>
              <w:ind w:right="2049"/>
              <w:spacing w:after="0"/>
              <w:rPr>
                <w:sz w:val="20"/>
                <w:szCs w:val="20"/>
                <w:color w:val="auto"/>
              </w:rPr>
            </w:pPr>
            <w:r>
              <w:rPr>
                <w:rFonts w:ascii="Times New Roman" w:cs="Times New Roman" w:eastAsia="Times New Roman" w:hAnsi="Times New Roman"/>
                <w:sz w:val="14"/>
                <w:szCs w:val="14"/>
                <w:color w:val="auto"/>
              </w:rPr>
              <w:t>001-32630</w:t>
            </w:r>
          </w:p>
        </w:tc>
      </w:tr>
      <w:tr>
        <w:trPr>
          <w:trHeight w:val="184"/>
        </w:trPr>
        <w:tc>
          <w:tcPr>
            <w:tcW w:w="1920" w:type="dxa"/>
            <w:vAlign w:val="bottom"/>
          </w:tcPr>
          <w:p>
            <w:pPr>
              <w:spacing w:after="0"/>
              <w:rPr>
                <w:sz w:val="16"/>
                <w:szCs w:val="16"/>
                <w:color w:val="auto"/>
              </w:rPr>
            </w:pPr>
          </w:p>
        </w:tc>
        <w:tc>
          <w:tcPr>
            <w:tcW w:w="5460" w:type="dxa"/>
            <w:vAlign w:val="bottom"/>
          </w:tcPr>
          <w:p>
            <w:pPr>
              <w:jc w:val="center"/>
              <w:ind w:right="2069"/>
              <w:spacing w:after="0"/>
              <w:rPr>
                <w:sz w:val="20"/>
                <w:szCs w:val="20"/>
                <w:color w:val="auto"/>
              </w:rPr>
            </w:pPr>
            <w:r>
              <w:rPr>
                <w:rFonts w:ascii="Times New Roman" w:cs="Times New Roman" w:eastAsia="Times New Roman" w:hAnsi="Times New Roman"/>
                <w:sz w:val="14"/>
                <w:szCs w:val="14"/>
                <w:color w:val="auto"/>
              </w:rPr>
              <w:t>(Commission File Number)</w:t>
            </w:r>
          </w:p>
        </w:tc>
      </w:tr>
      <w:tr>
        <w:trPr>
          <w:trHeight w:val="202"/>
        </w:trPr>
        <w:tc>
          <w:tcPr>
            <w:tcW w:w="19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Nevada</w:t>
            </w:r>
          </w:p>
        </w:tc>
        <w:tc>
          <w:tcPr>
            <w:tcW w:w="546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16-1725106</w:t>
            </w:r>
          </w:p>
        </w:tc>
      </w:tr>
      <w:tr>
        <w:trPr>
          <w:trHeight w:val="276"/>
        </w:trPr>
        <w:tc>
          <w:tcPr>
            <w:tcW w:w="192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460" w:type="dxa"/>
            <w:vAlign w:val="bottom"/>
          </w:tcPr>
          <w:p>
            <w:pPr>
              <w:spacing w:after="0"/>
              <w:rPr>
                <w:sz w:val="24"/>
                <w:szCs w:val="24"/>
                <w:color w:val="auto"/>
              </w:rPr>
            </w:pPr>
          </w:p>
        </w:tc>
      </w:tr>
      <w:tr>
        <w:trPr>
          <w:trHeight w:val="191"/>
        </w:trPr>
        <w:tc>
          <w:tcPr>
            <w:tcW w:w="192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460" w:type="dxa"/>
            <w:vAlign w:val="bottom"/>
          </w:tcPr>
          <w:p>
            <w:pPr>
              <w:jc w:val="center"/>
              <w:ind w:left="3189"/>
              <w:spacing w:after="0"/>
              <w:rPr>
                <w:sz w:val="20"/>
                <w:szCs w:val="20"/>
                <w:color w:val="auto"/>
              </w:rPr>
            </w:pPr>
            <w:r>
              <w:rPr>
                <w:rFonts w:ascii="Times New Roman" w:cs="Times New Roman" w:eastAsia="Times New Roman" w:hAnsi="Times New Roman"/>
                <w:sz w:val="14"/>
                <w:szCs w:val="14"/>
                <w:color w:val="auto"/>
              </w:rPr>
              <w:t>(IRS Employer Identification Number)</w:t>
            </w:r>
          </w:p>
        </w:tc>
      </w:tr>
    </w:tbl>
    <w:p>
      <w:pPr>
        <w:spacing w:after="0" w:line="4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601 Riverside Avenue</w:t>
      </w:r>
    </w:p>
    <w:p>
      <w:pPr>
        <w:spacing w:after="0" w:line="2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Jacksonville, Florida 32204</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(Addresses of Principal Executive Offices)</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(904) 854-8100</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6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35" w:lineRule="exact"/>
        <w:rPr>
          <w:sz w:val="24"/>
          <w:szCs w:val="24"/>
          <w:color w:val="auto"/>
        </w:rPr>
      </w:pPr>
    </w:p>
    <w:tbl>
      <w:tblPr>
        <w:tblLayout w:type="fixed"/>
        <w:tblInd w:w="1100" w:type="dxa"/>
        <w:tblCellMar>
          <w:top w:w="0" w:type="dxa"/>
          <w:left w:w="0" w:type="dxa"/>
          <w:bottom w:w="0" w:type="dxa"/>
          <w:right w:w="0" w:type="dxa"/>
        </w:tblCellMar>
      </w:tblPr>
      <w:tr>
        <w:trPr>
          <w:trHeight w:val="149"/>
        </w:trPr>
        <w:tc>
          <w:tcPr>
            <w:tcW w:w="460" w:type="dxa"/>
            <w:vAlign w:val="bottom"/>
          </w:tcPr>
          <w:p>
            <w:pPr>
              <w:spacing w:after="0"/>
              <w:rPr>
                <w:sz w:val="12"/>
                <w:szCs w:val="12"/>
                <w:color w:val="auto"/>
              </w:rPr>
            </w:pPr>
          </w:p>
        </w:tc>
        <w:tc>
          <w:tcPr>
            <w:tcW w:w="3200" w:type="dxa"/>
            <w:vAlign w:val="bottom"/>
            <w:gridSpan w:val="2"/>
          </w:tcPr>
          <w:p>
            <w:pPr>
              <w:jc w:val="center"/>
              <w:ind w:right="218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4380" w:type="dxa"/>
            <w:vAlign w:val="bottom"/>
            <w:gridSpan w:val="2"/>
          </w:tcPr>
          <w:p>
            <w:pPr>
              <w:jc w:val="center"/>
              <w:ind w:left="1816"/>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192"/>
        </w:trPr>
        <w:tc>
          <w:tcPr>
            <w:tcW w:w="366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color w:val="auto"/>
              </w:rPr>
              <w:t>Common Stock, $0.0001 par value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FNF</w:t>
            </w:r>
          </w:p>
        </w:tc>
        <w:tc>
          <w:tcPr>
            <w:tcW w:w="188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24" w:lineRule="exact"/>
        <w:rPr>
          <w:sz w:val="24"/>
          <w:szCs w:val="24"/>
          <w:color w:val="auto"/>
        </w:rPr>
      </w:pPr>
    </w:p>
    <w:p>
      <w:pPr>
        <w:ind w:right="320"/>
        <w:spacing w:after="0" w:line="28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6"/>
          <w:szCs w:val="16"/>
          <w:color w:val="auto"/>
        </w:rPr>
        <w:t>☐</w:t>
      </w:r>
    </w:p>
    <w:p>
      <w:pPr>
        <w:spacing w:after="0" w:line="126"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1018540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1178" w:right="579" w:bottom="1440" w:gutter="0" w:footer="0" w:header="0"/>
        </w:sectPr>
      </w:pPr>
    </w:p>
    <w:bookmarkStart w:id="1" w:name="page2"/>
    <w:bookmarkEnd w:id="1"/>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5.02</w:t>
        <w:tab/>
        <w:t>Departure of Directors or Certain Officers; Election of Directors; Appointment of Certain Officers; Compensatory Arrangements of Certain Officers</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On May 8, 2026 (the “Effective Date”), the Company entered into a First Amended and Restated Employment Agreement (the “A&amp;R Employment Agreement”) with Michael J. Nolan. The A&amp;R Employment Agreement has a three-year term, with a provision for automatic annual extensions beginning on the first anniversary of the effective date and continuing thereafter unless either party provides timely notice that the term should not be extended. Pursuant to the terms of Mr. Nolan's A&amp;R Employment Agreement, he shall serve as our Chief Executive Officer and, consistent with Mr. Nolan’s current compensation arrangements, his annual base salary is set at $1,100,000 and his annual incentive target is set at 200% of his annual base salary, with amounts payable depending on performance relative to targeted results. The A&amp;R Employment Agreement also provides that Mr. Nolan is eligible to participate in the Company’s equity incentive plans during the term of the agreement and is entitled to receive, on the later of the Effective Date or the second business day following the expiration of any trading blackout, a restricted stock award with a grant date value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$2,000,000 (the “Retention Award”). The number of shares subject to the Retention Award will be equal to $2,000,000, divided by the closing price of the Company’s common stock on the New York</w:t>
      </w:r>
    </w:p>
    <w:p>
      <w:pPr>
        <w:spacing w:after="0" w:line="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Stock Exchange on the grant date, rounded up to the nearest whole share. One-third of the shares subject to the Retention Award will vest on each of the first three anniversaries of the grant date, subject to Mr. Nolan’s continued employment with the Company. The A&amp;R Employment Agreement is otherwise generally consistent with the terms and conditions of Mr. Nolan’s prior employment agreement with the Company.</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determining to enter into the A&amp;R Employment Agreement and to grant the Retention Award, the compensation committee considered Mr. Nolan’s skills, qualifications and individual performance, and the Company’s strong performance during his tenure as Chief Executive Officer.</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foregoing description of the A&amp;R Employment Agreement is not complete and is qualified in its entirety by the full text of the A&amp;R Employment Agreement, which is attached hereto as Exhibit 10.1 and is incorporated by reference into this Item 5.02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Exhibits</w:t>
      </w:r>
    </w:p>
    <w:p>
      <w:pPr>
        <w:spacing w:after="0" w:line="200" w:lineRule="exact"/>
        <w:rPr>
          <w:sz w:val="20"/>
          <w:szCs w:val="20"/>
          <w:color w:val="auto"/>
        </w:rPr>
      </w:pPr>
    </w:p>
    <w:p>
      <w:pPr>
        <w:spacing w:after="0" w:line="273"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1"/>
          <w:szCs w:val="11"/>
          <w:b w:val="1"/>
          <w:bCs w:val="1"/>
          <w:color w:val="auto"/>
        </w:rPr>
        <w:t>Exhibit</w:t>
      </w:r>
      <w:r>
        <w:rPr>
          <w:sz w:val="20"/>
          <w:szCs w:val="20"/>
          <w:color w:val="auto"/>
        </w:rPr>
        <w:tab/>
      </w:r>
      <w:r>
        <w:rPr>
          <w:rFonts w:ascii="Times New Roman" w:cs="Times New Roman" w:eastAsia="Times New Roman" w:hAnsi="Times New Roman"/>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67576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57670" cy="6985"/>
                    </a:xfrm>
                    <a:prstGeom prst="rect">
                      <a:avLst/>
                    </a:prstGeom>
                    <a:noFill/>
                  </pic:spPr>
                </pic:pic>
              </a:graphicData>
            </a:graphic>
          </wp:anchor>
        </w:drawing>
      </w:r>
    </w:p>
    <w:p>
      <w:pPr>
        <w:spacing w:after="0" w:line="28"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u w:val="single" w:color="auto"/>
          <w:color w:val="0000FF"/>
        </w:rPr>
        <w:t>Employment Agreement between the Company and Michael J. Nolan dated May 8, 2026.</w:t>
      </w:r>
    </w:p>
    <w:p>
      <w:pPr>
        <w:spacing w:after="0" w:line="23" w:lineRule="exact"/>
        <w:rPr>
          <w:sz w:val="20"/>
          <w:szCs w:val="20"/>
          <w:color w:val="auto"/>
        </w:rPr>
      </w:pPr>
    </w:p>
    <w:p>
      <w:pPr>
        <w:ind w:left="700"/>
        <w:spacing w:after="0"/>
        <w:tabs>
          <w:tab w:leader="none" w:pos="134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767715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500" w:type="dxa"/>
            <w:vAlign w:val="bottom"/>
            <w:gridSpan w:val="3"/>
          </w:tcPr>
          <w:p>
            <w:pPr>
              <w:ind w:left="1760"/>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r>
      <w:tr>
        <w:trPr>
          <w:trHeight w:val="329"/>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May 12, 2026</w:t>
            </w:r>
          </w:p>
        </w:tc>
        <w:tc>
          <w:tcPr>
            <w:tcW w:w="2240" w:type="dxa"/>
            <w:vAlign w:val="bottom"/>
          </w:tcPr>
          <w:p>
            <w:pPr>
              <w:ind w:left="1760"/>
              <w:spacing w:after="0"/>
              <w:rPr>
                <w:sz w:val="20"/>
                <w:szCs w:val="20"/>
                <w:color w:val="auto"/>
              </w:rPr>
            </w:pPr>
            <w:r>
              <w:rPr>
                <w:rFonts w:ascii="Times New Roman" w:cs="Times New Roman" w:eastAsia="Times New Roman" w:hAnsi="Times New Roman"/>
                <w:sz w:val="14"/>
                <w:szCs w:val="14"/>
                <w:color w:val="auto"/>
              </w:rPr>
              <w:t>By:</w:t>
            </w: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Michael L. Gravelle</w:t>
            </w:r>
          </w:p>
        </w:tc>
      </w:tr>
      <w:tr>
        <w:trPr>
          <w:trHeight w:val="167"/>
        </w:trPr>
        <w:tc>
          <w:tcPr>
            <w:tcW w:w="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Michael L. Gravelle</w:t>
            </w:r>
          </w:p>
        </w:tc>
      </w:tr>
      <w:tr>
        <w:trPr>
          <w:trHeight w:val="142"/>
        </w:trPr>
        <w:tc>
          <w:tcPr>
            <w:tcW w:w="5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Title:</w:t>
            </w:r>
          </w:p>
        </w:tc>
        <w:tc>
          <w:tcPr>
            <w:tcW w:w="360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Executive Vice President, General Counsel and Corporate</w:t>
            </w:r>
          </w:p>
        </w:tc>
      </w:tr>
      <w:tr>
        <w:trPr>
          <w:trHeight w:val="184"/>
        </w:trPr>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Secretary</w:t>
            </w:r>
          </w:p>
        </w:tc>
      </w:tr>
    </w:tbl>
    <w:p>
      <w:pPr>
        <w:sectPr>
          <w:pgSz w:w="11900" w:h="16838" w:orient="portrait"/>
          <w:cols w:equalWidth="0" w:num="1">
            <w:col w:w="10440"/>
          </w:cols>
          <w:pgMar w:left="520" w:top="728" w:right="9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2026-05-12T15:14:23Z</dcterms:created>
  <dcterms:modified xsi:type="dcterms:W3CDTF">2026-05-12T15:14:23Z</dcterms:modified>
</cp:coreProperties>
</file>