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February 1, 2017</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Fidelity National Financial, Inc.</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001-32630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w:t>
      </w:r>
    </w:p>
    <w:p>
      <w:pPr>
        <w:sectPr>
          <w:pgSz w:w="11900" w:h="16838" w:orient="portrait"/>
          <w:cols w:equalWidth="0" w:num="1">
            <w:col w:w="11300"/>
          </w:cols>
          <w:pgMar w:left="240" w:top="1224" w:right="359" w:bottom="1440" w:gutter="0" w:footer="0" w:header="0"/>
        </w:sectPr>
      </w:pPr>
    </w:p>
    <w:p>
      <w:pPr>
        <w:spacing w:after="0" w:line="157"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16-1725106</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Number)</w:t>
      </w:r>
    </w:p>
    <w:p>
      <w:pPr>
        <w:spacing w:after="0" w:line="33" w:lineRule="exact"/>
        <w:rPr>
          <w:sz w:val="24"/>
          <w:szCs w:val="24"/>
          <w:color w:val="auto"/>
        </w:rPr>
      </w:pPr>
    </w:p>
    <w:p>
      <w:pPr>
        <w:sectPr>
          <w:pgSz w:w="11900" w:h="16838" w:orient="portrait"/>
          <w:cols w:equalWidth="0" w:num="2">
            <w:col w:w="6300" w:space="720"/>
            <w:col w:w="4280"/>
          </w:cols>
          <w:pgMar w:left="240" w:top="1224"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color w:val="auto"/>
        </w:rPr>
        <w:t>601 Riverside Avenue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Jacksonville, Florida 32204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(Addresses of Principal Executive Offices)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(904) 854-8100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860" w:hanging="433"/>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860" w:hanging="433"/>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860" w:hanging="433"/>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860" w:hanging="433"/>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2934970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24" w:right="359" w:bottom="1440" w:gutter="0" w:footer="0" w:header="0"/>
          <w:type w:val="continuous"/>
        </w:sectPr>
      </w:pPr>
    </w:p>
    <w:bookmarkStart w:id="1" w:name="page2"/>
    <w:bookmarkEnd w:id="1"/>
    <w:p>
      <w:pPr>
        <w:ind w:left="1320" w:right="140" w:hanging="1255"/>
        <w:spacing w:after="0" w:line="282" w:lineRule="auto"/>
        <w:tabs>
          <w:tab w:leader="none" w:pos="13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February 1, 2017, the Board of Directors of Fidelity National Financial, Inc. (the “Company” of “FNF”) adopted a resolution increasing the size of the Company’s Board of Directors to twelve, and elected Raymond R. Quirk to serve on our Board of Directors. Mr. Quirk will serve in Class I of our Board of Directors, and his term will expire at the annual meeting of our shareholders to be held in 2017. Mr. Quirk has not been appointed to any committee of our Board.</w:t>
      </w:r>
    </w:p>
    <w:p>
      <w:pPr>
        <w:spacing w:after="0" w:line="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Quirk is the Chief Executive Officer of FNF and has served in that capacity since December 2013. Previously, he served as the President of FNF beginning in April 2008. Since joining FNF in 1985, Mr. Quirk has served in numerous other executive and management positions, including Executive Vice President, Co-Chief Operating Officer, Division Manager and Regional Manager, with responsibilities for managing direct and agency title operations nationally.</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salaried employee of the Company, Mr. Quirk will receive no additional compensation for services as a director. Sara Bennett, the daughter-in-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law of Mr. Quirk, is an attorney who is employed by a subsidiary of the Company as underwriting counsel. In 2016, Ms. Bennett’s gross earnings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$280,189, which is consistent with other employees holding similar titles at the Company. She also received health and other benefits customarily provided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similarly situated employees.</w:t>
      </w:r>
    </w:p>
    <w:p>
      <w:pPr>
        <w:spacing w:after="0" w:line="200" w:lineRule="exact"/>
        <w:rPr>
          <w:sz w:val="20"/>
          <w:szCs w:val="20"/>
          <w:color w:val="auto"/>
        </w:rPr>
      </w:pPr>
    </w:p>
    <w:p>
      <w:pPr>
        <w:spacing w:after="0" w:line="385" w:lineRule="exact"/>
        <w:rPr>
          <w:sz w:val="20"/>
          <w:szCs w:val="20"/>
          <w:color w:val="auto"/>
        </w:rPr>
      </w:pPr>
    </w:p>
    <w:p>
      <w:pPr>
        <w:ind w:left="60"/>
        <w:spacing w:after="0"/>
        <w:tabs>
          <w:tab w:leader="none" w:pos="13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00" w:lineRule="exact"/>
        <w:rPr>
          <w:sz w:val="20"/>
          <w:szCs w:val="20"/>
          <w:color w:val="auto"/>
        </w:rPr>
      </w:pPr>
    </w:p>
    <w:p>
      <w:pPr>
        <w:spacing w:after="0" w:line="272"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On February 1, 2017, the Board of Directors amended and restated the Company’s bylaws to implement majority voting in uncontested director elections. Previously, our bylaws provided that directors were elected by a plurality of the votes cast in director elections.</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Section 3.1 of the amended and restated bylaws provides that each director shall be elected by a majority of the votes cast with respect to the director at any meeting for the election of directors at which a quorum is present. However, if as of 10 days in advance of the date we file our definitive proxy statement with the Securities and Exchange Commission the number of director nominees exceeds the number of directors to be elected in such election (a “contested election”), the directors shall be elected by the vote of plurality of the votes cast.</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an uncontested election of directors, any incumbent director who does not receive a majority of the votes cast will promptly tender his resignation to the Board of Directors. The Board of Directors will decide, after considering the recommendation of the Corporate Governance and Nominating Committee, whether to accept or reject the tendered resignation, or whether other action should be taken. The director nominee in question will not participate in the recommendation or decision making process. An explanation by the Board of Directors of its decision will be publicly disclosed within 90 days from the date of publication of the election results. If the Board of Directors determines to accept a director’s resignation, or if a director nominee who is not an incumbent director is not elected, then the Board of Directors, in its sole discretion, may fill any resulting vacancy in accordance with our bylaws.</w:t>
      </w:r>
    </w:p>
    <w:p>
      <w:pPr>
        <w:spacing w:after="0" w:line="205" w:lineRule="exact"/>
        <w:rPr>
          <w:sz w:val="20"/>
          <w:szCs w:val="20"/>
          <w:color w:val="auto"/>
        </w:rPr>
      </w:pPr>
    </w:p>
    <w:p>
      <w:pPr>
        <w:ind w:right="80" w:firstLine="648"/>
        <w:spacing w:after="0" w:line="336" w:lineRule="auto"/>
        <w:rPr>
          <w:sz w:val="20"/>
          <w:szCs w:val="20"/>
          <w:color w:val="auto"/>
        </w:rPr>
      </w:pPr>
      <w:r>
        <w:rPr>
          <w:rFonts w:ascii="Arial" w:cs="Arial" w:eastAsia="Arial" w:hAnsi="Arial"/>
          <w:sz w:val="17"/>
          <w:szCs w:val="17"/>
          <w:color w:val="auto"/>
        </w:rPr>
        <w:t>The amended and restated bylaws are effective immediately. The Board of Directors has adopted these amendments in response to the shareholders’ vote in favor of our management proposal concerning majority voting at its annual meeting of shareholders held in June 2016. The adoption reflects the Board’s commitment to corporate governance practices that are consistent with the best interests of our shareholders.</w:t>
      </w:r>
    </w:p>
    <w:p>
      <w:pPr>
        <w:spacing w:after="0" w:line="13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Fourth Amended and Restated Bylaws, as adopted on February 2, 2017, which are attached hereto as Exhibit 3.1 and incorporated herein by reference.</w:t>
      </w:r>
    </w:p>
    <w:p>
      <w:pPr>
        <w:sectPr>
          <w:pgSz w:w="11900" w:h="16838" w:orient="portrait"/>
          <w:cols w:equalWidth="0" w:num="1">
            <w:col w:w="11420"/>
          </w:cols>
          <w:pgMar w:left="240" w:top="742" w:right="239" w:bottom="1440" w:gutter="0" w:footer="0" w:header="0"/>
        </w:sectPr>
      </w:pPr>
    </w:p>
    <w:bookmarkStart w:id="2" w:name="page3"/>
    <w:bookmarkEnd w:id="2"/>
    <w:p>
      <w:pPr>
        <w:ind w:left="60"/>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0"/>
        <w:spacing w:after="0"/>
        <w:tabs>
          <w:tab w:leader="none" w:pos="19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23495</wp:posOffset>
            </wp:positionV>
            <wp:extent cx="6268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43" w:lineRule="exact"/>
        <w:rPr>
          <w:sz w:val="20"/>
          <w:szCs w:val="20"/>
          <w:color w:val="auto"/>
        </w:rPr>
      </w:pPr>
    </w:p>
    <w:p>
      <w:pPr>
        <w:jc w:val="right"/>
        <w:ind w:right="2899"/>
        <w:spacing w:after="0"/>
        <w:tabs>
          <w:tab w:leader="none" w:pos="5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Fourth Amended and Restated Bylaws of Fidelity National Financial, Inc.</w:t>
      </w:r>
    </w:p>
    <w:p>
      <w:pPr>
        <w:sectPr>
          <w:pgSz w:w="11900" w:h="16838" w:orient="portrait"/>
          <w:cols w:equalWidth="0" w:num="1">
            <w:col w:w="10219"/>
          </w:cols>
          <w:pgMar w:left="240" w:top="742" w:right="1440" w:bottom="1440" w:gutter="0" w:footer="0" w:header="0"/>
        </w:sectPr>
      </w:pPr>
    </w:p>
    <w:bookmarkStart w:id="3" w:name="page4"/>
    <w:bookmarkEnd w:id="3"/>
    <w:p>
      <w:pPr>
        <w:jc w:val="center"/>
        <w:ind w:right="-6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60" w:type="dxa"/>
            <w:vAlign w:val="bottom"/>
            <w:gridSpan w:val="3"/>
          </w:tcPr>
          <w:p>
            <w:pPr>
              <w:ind w:left="1280"/>
              <w:spacing w:after="0"/>
              <w:rPr>
                <w:sz w:val="20"/>
                <w:szCs w:val="20"/>
                <w:color w:val="auto"/>
              </w:rPr>
            </w:pPr>
            <w:r>
              <w:rPr>
                <w:rFonts w:ascii="Arial" w:cs="Arial" w:eastAsia="Arial" w:hAnsi="Arial"/>
                <w:sz w:val="18"/>
                <w:szCs w:val="18"/>
                <w:b w:val="1"/>
                <w:bCs w:val="1"/>
                <w:color w:val="auto"/>
              </w:rPr>
              <w:t>Fidelity National Financial, Inc.</w:t>
            </w: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200"/>
              <w:spacing w:after="0"/>
              <w:rPr>
                <w:sz w:val="20"/>
                <w:szCs w:val="20"/>
                <w:color w:val="auto"/>
              </w:rPr>
            </w:pPr>
            <w:r>
              <w:rPr>
                <w:rFonts w:ascii="Arial" w:cs="Arial" w:eastAsia="Arial" w:hAnsi="Arial"/>
                <w:sz w:val="18"/>
                <w:szCs w:val="18"/>
                <w:color w:val="auto"/>
              </w:rPr>
              <w:t>February 2, 2017</w:t>
            </w:r>
          </w:p>
        </w:tc>
        <w:tc>
          <w:tcPr>
            <w:tcW w:w="7060" w:type="dxa"/>
            <w:vAlign w:val="bottom"/>
            <w:gridSpan w:val="3"/>
          </w:tcPr>
          <w:p>
            <w:pPr>
              <w:ind w:left="1280"/>
              <w:spacing w:after="0"/>
              <w:rPr>
                <w:sz w:val="20"/>
                <w:szCs w:val="20"/>
                <w:color w:val="auto"/>
              </w:rPr>
            </w:pPr>
            <w:r>
              <w:rPr>
                <w:rFonts w:ascii="Arial" w:cs="Arial" w:eastAsia="Arial" w:hAnsi="Arial"/>
                <w:sz w:val="18"/>
                <w:szCs w:val="18"/>
                <w:color w:val="auto"/>
              </w:rPr>
              <w:t>By:  /s/ Michael L. Gravelle</w:t>
            </w:r>
          </w:p>
        </w:tc>
      </w:tr>
      <w:tr>
        <w:trPr>
          <w:trHeight w:val="27"/>
        </w:trPr>
        <w:tc>
          <w:tcPr>
            <w:tcW w:w="6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640" w:type="dxa"/>
            <w:vAlign w:val="bottom"/>
          </w:tcPr>
          <w:p>
            <w:pPr>
              <w:ind w:left="220"/>
              <w:spacing w:after="0"/>
              <w:rPr>
                <w:sz w:val="20"/>
                <w:szCs w:val="20"/>
                <w:color w:val="auto"/>
              </w:rPr>
            </w:pPr>
            <w:r>
              <w:rPr>
                <w:rFonts w:ascii="Arial" w:cs="Arial" w:eastAsia="Arial" w:hAnsi="Arial"/>
                <w:sz w:val="18"/>
                <w:szCs w:val="18"/>
                <w:color w:val="auto"/>
              </w:rPr>
              <w:t>Michael L. Gravelle</w:t>
            </w:r>
          </w:p>
        </w:tc>
      </w:tr>
      <w:tr>
        <w:trPr>
          <w:trHeight w:val="256"/>
        </w:trPr>
        <w:tc>
          <w:tcPr>
            <w:tcW w:w="6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w w:val="94"/>
              </w:rPr>
              <w:t>Executive Vice President, General Counsel and Corporate</w:t>
            </w:r>
          </w:p>
        </w:tc>
      </w:tr>
      <w:tr>
        <w:trPr>
          <w:trHeight w:val="230"/>
        </w:trPr>
        <w:tc>
          <w:tcPr>
            <w:tcW w:w="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Title:</w:t>
            </w:r>
          </w:p>
        </w:tc>
        <w:tc>
          <w:tcPr>
            <w:tcW w:w="4640" w:type="dxa"/>
            <w:vAlign w:val="bottom"/>
          </w:tcPr>
          <w:p>
            <w:pPr>
              <w:ind w:left="220"/>
              <w:spacing w:after="0"/>
              <w:rPr>
                <w:sz w:val="20"/>
                <w:szCs w:val="20"/>
                <w:color w:val="auto"/>
              </w:rPr>
            </w:pPr>
            <w:r>
              <w:rPr>
                <w:rFonts w:ascii="Arial" w:cs="Arial" w:eastAsia="Arial" w:hAnsi="Arial"/>
                <w:sz w:val="18"/>
                <w:szCs w:val="18"/>
                <w:color w:val="auto"/>
              </w:rPr>
              <w:t>Secretary</w:t>
            </w:r>
          </w:p>
        </w:tc>
      </w:tr>
    </w:tbl>
    <w:p>
      <w:pPr>
        <w:sectPr>
          <w:pgSz w:w="11900" w:h="16838" w:orient="portrait"/>
          <w:cols w:equalWidth="0" w:num="1">
            <w:col w:w="10820"/>
          </w:cols>
          <w:pgMar w:left="240" w:top="580" w:right="8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FOURTH AMENDED AND RESTATED BYLAWS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ON FEBRUARY 1,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Fidelity National Financial, Inc. (the “Corporation”) shall be in the City of Wilmington, County of New Castle, State of Delaware and the name and address of its registered agent is “The Corporation Trust Company,” 1209 Orange Street, Wilmington, Delaware, 19801.</w:t>
      </w:r>
    </w:p>
    <w:p>
      <w:pPr>
        <w:spacing w:after="0" w:line="277"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of the Corporation (the “Board of Directors”) may from time to time determine.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277"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Annual Meetings</w:t>
      </w:r>
      <w:r>
        <w:rPr>
          <w:rFonts w:ascii="Arial" w:cs="Arial" w:eastAsia="Arial" w:hAnsi="Arial"/>
          <w:sz w:val="18"/>
          <w:szCs w:val="18"/>
          <w:color w:val="auto"/>
        </w:rPr>
        <w:t>. (a) The annual meeting of stockholders (the “Annual Meeting”) shall be held on such date and at such time as shall be designated from time to time by the Board of Directors and stated in the notice of the meeting, at which meetings the stockholders, subject to the provisions of the Corporation’s Certificate of Incorporation, as amended and restated from time to time (the “Certificate of Incorporation”), shall elect a Board of Directors, and transact such other business as may properly be brought before the meeting. Written notice of the Annual Meeting stating the place, date and hour of the meeting shall be given to each stockholder entitled to vote at such meeting not less than ten days nor more than sixty days before the date of the meeting.</w:t>
      </w:r>
    </w:p>
    <w:p>
      <w:pPr>
        <w:spacing w:after="0" w:line="286" w:lineRule="exact"/>
        <w:rPr>
          <w:sz w:val="20"/>
          <w:szCs w:val="20"/>
          <w:color w:val="auto"/>
        </w:rPr>
      </w:pPr>
    </w:p>
    <w:p>
      <w:pPr>
        <w:jc w:val="both"/>
        <w:ind w:firstLine="656"/>
        <w:spacing w:after="0" w:line="365" w:lineRule="auto"/>
        <w:tabs>
          <w:tab w:leader="none" w:pos="1034"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business may be transacted at an Annual Meeting, other than business that is either (i) specified in the notice of meeting (or any supplement thereto) given by or at the direction of the Board of Directors (or any duly authorized committee thereof), (ii) otherwise properly brought before the Annual Meeting by or at the direction of the Board of Directors (or any duly authorized committee thereof) or (iii) otherwise properly brought before the Annual Meeting by any stockholder of the Corporation (A) who is a stockholder of record on the date of the giving of the notice provided for in this Section 2.2 and on the record date for the determination of stockholders entitled to vote at such Annual Meeting and (B) who complies with the notice procedures set forth in this Section 2.2.</w:t>
      </w:r>
    </w:p>
    <w:p>
      <w:pPr>
        <w:spacing w:after="0" w:line="285" w:lineRule="exact"/>
        <w:rPr>
          <w:rFonts w:ascii="Arial" w:cs="Arial" w:eastAsia="Arial" w:hAnsi="Arial"/>
          <w:sz w:val="18"/>
          <w:szCs w:val="18"/>
          <w:color w:val="auto"/>
        </w:rPr>
      </w:pPr>
    </w:p>
    <w:p>
      <w:pPr>
        <w:jc w:val="both"/>
        <w:ind w:firstLine="656"/>
        <w:spacing w:after="0" w:line="369" w:lineRule="auto"/>
        <w:tabs>
          <w:tab w:leader="none" w:pos="1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not less than one-hundred and twenty days prior to the anniversary date of the date of the proxy statement for</w:t>
      </w:r>
    </w:p>
    <w:p>
      <w:pPr>
        <w:sectPr>
          <w:pgSz w:w="11900" w:h="16838" w:orient="portrait"/>
          <w:cols w:equalWidth="0" w:num="1">
            <w:col w:w="11420"/>
          </w:cols>
          <w:pgMar w:left="240" w:top="634" w:right="239" w:bottom="1440" w:gutter="0" w:footer="0" w:header="0"/>
        </w:sectPr>
      </w:pPr>
    </w:p>
    <w:bookmarkStart w:id="5" w:name="page6"/>
    <w:bookmarkEnd w:id="5"/>
    <w:p>
      <w:pPr>
        <w:jc w:val="both"/>
        <w:spacing w:after="0" w:line="363" w:lineRule="auto"/>
        <w:rPr>
          <w:sz w:val="20"/>
          <w:szCs w:val="20"/>
          <w:color w:val="auto"/>
        </w:rPr>
      </w:pPr>
      <w:r>
        <w:rPr>
          <w:rFonts w:ascii="Arial" w:cs="Arial" w:eastAsia="Arial" w:hAnsi="Arial"/>
          <w:sz w:val="18"/>
          <w:szCs w:val="18"/>
          <w:color w:val="auto"/>
        </w:rPr>
        <w:t>the immediately preceding Annual Meeting; provided, however, that in the event that the Annual Meeting is called for a date that is not within thirty days before or after the anniversary date of the immediately preceding Annual Meeting, notice by the stockholder in order to be timely must be so received not later than the close of business on the tenth day following the day on which public disclosure of the date of the Annual Meeting was first made. To be in proper written form, a stockholder's notice to the Secretary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w:t>
      </w:r>
    </w:p>
    <w:p>
      <w:pPr>
        <w:spacing w:after="0" w:line="192" w:lineRule="exact"/>
        <w:rPr>
          <w:sz w:val="20"/>
          <w:szCs w:val="20"/>
          <w:color w:val="auto"/>
        </w:rPr>
      </w:pPr>
    </w:p>
    <w:p>
      <w:pPr>
        <w:jc w:val="both"/>
        <w:ind w:firstLine="656"/>
        <w:spacing w:after="0" w:line="420"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business shall be conducted at the Annual Meeting except business brought before the Annual Meeting in accordance with the procedures set forth in this Section 2.2, provided, however, that, once business has been properly brought before the Annual Meeting in accordance with such procedures, nothing in this Section 2.2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discussed or transacted.</w:t>
      </w:r>
    </w:p>
    <w:p>
      <w:pPr>
        <w:spacing w:after="0" w:line="254"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Special Meetings</w:t>
      </w:r>
      <w:r>
        <w:rPr>
          <w:rFonts w:ascii="Arial" w:cs="Arial" w:eastAsia="Arial" w:hAnsi="Arial"/>
          <w:sz w:val="18"/>
          <w:szCs w:val="18"/>
          <w:color w:val="auto"/>
        </w:rPr>
        <w:t>. Unless otherwise prescribed by law or by the Certificate of Incorporation, Special Meetings of Stockholders (“Special Meetings”), for any purpose or purposes, may be called by the majority vote of the Board of Directors or by the Chief Executive Officer. Special Meetings may not be called by any other person or persons. Written notice of a Special Meeting stating the place, date and hour of the meeting and the purpose or purposes for which the meeting is called shall be given not less than ten days nor more than sixty days before the date of the meeting to each stockholder entitled to vote at such meeting.</w:t>
      </w:r>
    </w:p>
    <w:p>
      <w:pPr>
        <w:spacing w:after="0" w:line="285"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required by law, these Fourth Amended and Restated Bylaws (these “Bylaws”) or by the Certificate of Incorporation, holders of a majority of the capital stock issued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274"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Voting</w:t>
      </w:r>
      <w:r>
        <w:rPr>
          <w:rFonts w:ascii="Arial" w:cs="Arial" w:eastAsia="Arial" w:hAnsi="Arial"/>
          <w:sz w:val="18"/>
          <w:szCs w:val="18"/>
          <w:color w:val="auto"/>
        </w:rPr>
        <w:t>. Unless otherwise required by law, the Certificate of Incorporation or these Bylaws, any question brought before any meeting of stockholders shall be decided by the vote of the holders of a majority of the stock represented and entitled to vote thereat. Such votes may be cast in person or by proxy but no proxy shall be voted on or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w:t>
      </w:r>
    </w:p>
    <w:p>
      <w:pPr>
        <w:sectPr>
          <w:pgSz w:w="11900" w:h="16838" w:orient="portrait"/>
          <w:cols w:equalWidth="0" w:num="1">
            <w:col w:w="11420"/>
          </w:cols>
          <w:pgMar w:left="240" w:top="63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ballot.</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Consent of Stockholders in Lieu of Meeting</w:t>
      </w:r>
      <w:r>
        <w:rPr>
          <w:rFonts w:ascii="Arial" w:cs="Arial" w:eastAsia="Arial" w:hAnsi="Arial"/>
          <w:sz w:val="18"/>
          <w:szCs w:val="18"/>
          <w:color w:val="auto"/>
        </w:rPr>
        <w:t>. Actions required or permitted to be taken at any annual or special meeting of stockholders may be taken without a meeting upon the written consent of the stockholders, but only if such action is taken in accordance with the provisions of Article IX of the Certificate of Incorporation.</w:t>
      </w:r>
    </w:p>
    <w:p>
      <w:pPr>
        <w:spacing w:after="0" w:line="277" w:lineRule="exact"/>
        <w:rPr>
          <w:sz w:val="20"/>
          <w:szCs w:val="20"/>
          <w:color w:val="auto"/>
        </w:rPr>
      </w:pPr>
    </w:p>
    <w:p>
      <w:pPr>
        <w:jc w:val="both"/>
        <w:ind w:firstLine="648"/>
        <w:spacing w:after="0" w:line="388"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273" w:lineRule="exact"/>
        <w:rPr>
          <w:sz w:val="20"/>
          <w:szCs w:val="20"/>
          <w:color w:val="auto"/>
        </w:rPr>
      </w:pPr>
    </w:p>
    <w:p>
      <w:pPr>
        <w:jc w:val="both"/>
        <w:ind w:right="20" w:firstLine="648"/>
        <w:spacing w:after="0" w:line="424"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Stock Ledger</w:t>
      </w:r>
      <w:r>
        <w:rPr>
          <w:rFonts w:ascii="Arial" w:cs="Arial" w:eastAsia="Arial" w:hAnsi="Arial"/>
          <w:sz w:val="17"/>
          <w:szCs w:val="17"/>
          <w:color w:val="auto"/>
        </w:rPr>
        <w:t>. The stock ledger of the Corporation shall be the only evidence as to who are the stockholders entitled to examine the stock ledger, the list required by Section 2.7 hereof or the books of the Corporation, or to vote in person or by proxy at any meeting of stockholders.</w:t>
      </w:r>
    </w:p>
    <w:p>
      <w:pPr>
        <w:spacing w:after="0" w:line="23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108"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Number and Election of Directors</w:t>
      </w:r>
      <w:r>
        <w:rPr>
          <w:rFonts w:ascii="Arial" w:cs="Arial" w:eastAsia="Arial" w:hAnsi="Arial"/>
          <w:sz w:val="16"/>
          <w:szCs w:val="16"/>
          <w:color w:val="auto"/>
        </w:rPr>
        <w:t>. (a) Subject to the rights, if any, of holders of preferred stock of the Corporation to elect directors of the Corporation, the Board of Directors shall consist of not less than one nor more than fourteen members with the exact number of directors to be determined from time to time exclusively by resolution duly adopted by the Board of Directors. Unless otherwise provided by the Certificate of Incorporation, each director shall be elected and hold office until the Annual Meeting for the year in which his term expires and until his successor is duly elected and qualified, or until his earlier death, resignation, retirement, disqualification or removal. Each director shall be elected by a majority of the votes cast with respect to the director at any meeting for the election of directors at which a quorum is present, provided that, if as of the date of that is 10 days in advance of the date the Corporation files its definitive proxy statement (regardless of whether or not thereafter revised or supplemented) with the Securities and Exchange Commission the number of nominees exceeds the number of directors to be elected in such election (a “contested election”), the directors shall be elected by the vote of plurality of the votes cast. For purposes of this Section 3.1, a “majority of the votes cast” means that the number of votes cast “for” a director must exceed the number of votes cast “against” that director (with “abstentions” and “broker non-votes” not counted as a vote either “for” or “against” that directors’ election). If directors are to be elected by a plurality of the votes cast in a contested election, stockholders shall not be permitted to vote against a nominee. In an uncontested election of directors, any incumbent director who does not receive a majority of the votes cast will promptly tender his resignation to the Board of Directors. The Board of Directors will decide, after considering the recommendation of the Corporate Governance and Nominating Committee, whether to accept or reject the tendered resignation, or whether other action should be taken. The nominee in question will not participate in the recommendation or decision making process. The explanation by the Board of Directors of its decision will be publicly disclosed within 90 days from the date of publication of the election results. The Corporate Governance and Nominating Committee and</w:t>
      </w:r>
    </w:p>
    <w:p>
      <w:pPr>
        <w:sectPr>
          <w:pgSz w:w="11900" w:h="16838" w:orient="portrait"/>
          <w:cols w:equalWidth="0" w:num="1">
            <w:col w:w="11420"/>
          </w:cols>
          <w:pgMar w:left="240" w:top="638" w:right="239" w:bottom="1440" w:gutter="0" w:footer="0" w:header="0"/>
        </w:sectPr>
      </w:pPr>
    </w:p>
    <w:bookmarkStart w:id="7" w:name="page8"/>
    <w:bookmarkEnd w:id="7"/>
    <w:p>
      <w:pPr>
        <w:jc w:val="both"/>
        <w:spacing w:after="0" w:line="395" w:lineRule="auto"/>
        <w:rPr>
          <w:sz w:val="20"/>
          <w:szCs w:val="20"/>
          <w:color w:val="auto"/>
        </w:rPr>
      </w:pPr>
      <w:r>
        <w:rPr>
          <w:rFonts w:ascii="Arial" w:cs="Arial" w:eastAsia="Arial" w:hAnsi="Arial"/>
          <w:sz w:val="17"/>
          <w:szCs w:val="17"/>
          <w:color w:val="auto"/>
        </w:rPr>
        <w:t>the Board of Directors may consider any factor deemed appropriate in making this determination.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Section 3.2. Any director may resign at any time effective upon giving written notice to the Corporation, unless the notice specifies a later time for the effectiveness of such resignation. Directors need not be stockholders.</w:t>
      </w:r>
    </w:p>
    <w:p>
      <w:pPr>
        <w:spacing w:after="0" w:line="172" w:lineRule="exact"/>
        <w:rPr>
          <w:sz w:val="20"/>
          <w:szCs w:val="20"/>
          <w:color w:val="auto"/>
        </w:rPr>
      </w:pPr>
    </w:p>
    <w:p>
      <w:pPr>
        <w:jc w:val="both"/>
        <w:ind w:firstLine="656"/>
        <w:spacing w:after="0" w:line="38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Only persons who are nominated in accordance with this Section 3.1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(i) at any Annual Meeting or at any Special Meeting called by a majority vote of the Board of Directors or by the Chief Executive Officer for the purpose of electing directors (A) by or at the direction of the Board of Directors (or any duly authorized committee thereof) or (B) by any stockholder of the Corporation who is a stockholder of record on the date of the giving of the notice provided for in this Section 3.1 and on the record date for the determination of stockholders entitled to vote at such Annual or Special Meeting and who complies with the notice procedures set forth in this Section 3.1 (other than with respect to nominations made in accordance with Section 3.1(e)), or (ii) at any Annual Meeting, by an Eligible Stockholder (as defined in Section 3.1(e) of these Bylaws) that meets the requirements of Section 3.1(e) of these Bylaws.</w:t>
      </w:r>
    </w:p>
    <w:p>
      <w:pPr>
        <w:spacing w:after="0" w:line="276" w:lineRule="exact"/>
        <w:rPr>
          <w:rFonts w:ascii="Arial" w:cs="Arial" w:eastAsia="Arial" w:hAnsi="Arial"/>
          <w:sz w:val="17"/>
          <w:szCs w:val="17"/>
          <w:color w:val="auto"/>
        </w:rPr>
      </w:pPr>
    </w:p>
    <w:p>
      <w:pPr>
        <w:jc w:val="both"/>
        <w:ind w:firstLine="656"/>
        <w:spacing w:after="0" w:line="413" w:lineRule="auto"/>
        <w:tabs>
          <w:tab w:leader="none" w:pos="106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addition to any other applicable requirements, for a nomination to be made by a stockholder pursuant to this Section 3.1, such stockholder must have given timely notice thereof in proper written form to the Secretary of the Corporation. To be timely, such stockholder’s notice to the Secretary must be delivered to or mailed and received at the principal executive offices of the Corporation (A) in the case of an Annual Meeting, not less than one-hundred and twenty days prior to the anniversary date of the date of the proxy statement for the immediately preceding Annual Meeting; provided, however, that in the event that the Annual Meeting is called for a date that is not within thirty days before or after the anniversary date of the immediately preceding Annual Meeting, notice by the stockholder in order to be timely must be so received not later than the close of business on the tenth day following the day on which public disclosure of the date of the Annual Meeting was first made; and (B) in the case of a Special Meeting called for the purpose of electing directors, not later than the close of business on the tenth day following the day on which public disclosure of the date of the Special Meeting was first made.</w:t>
      </w:r>
    </w:p>
    <w:p>
      <w:pPr>
        <w:spacing w:after="0" w:line="262" w:lineRule="exact"/>
        <w:rPr>
          <w:rFonts w:ascii="Arial" w:cs="Arial" w:eastAsia="Arial" w:hAnsi="Arial"/>
          <w:sz w:val="16"/>
          <w:szCs w:val="16"/>
          <w:color w:val="auto"/>
        </w:rPr>
      </w:pPr>
    </w:p>
    <w:p>
      <w:pPr>
        <w:jc w:val="both"/>
        <w:ind w:firstLine="656"/>
        <w:spacing w:after="0" w:line="411" w:lineRule="auto"/>
        <w:tabs>
          <w:tab w:leader="none" w:pos="1092"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a nomination made pursuant to Section 3.1(b)(i)(B), to be in proper written form, a stockholder’s notice of nomination submitted to the Secretary of the Corporation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which are owned beneficially or of record by the person, (D) a description of all direct and indirect compensation and other material monetary agreements, arrangements and understandings during the past three years, and any other material relationships, between or among the stockholder and the beneficial owner, if any, on whose behalf the nomination is being made and their respective affiliates and associates, or others acting in concert therewith, on the one hand, and each such nominee, and his or her respective affiliates and associates, or others acting in concert therewith,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nominee were a director or executive officer of such registrant and (E) any other information</w:t>
      </w:r>
    </w:p>
    <w:p>
      <w:pPr>
        <w:sectPr>
          <w:pgSz w:w="11900" w:h="16838" w:orient="portrait"/>
          <w:cols w:equalWidth="0" w:num="1">
            <w:col w:w="11420"/>
          </w:cols>
          <w:pgMar w:left="240" w:top="638" w:right="239" w:bottom="1440" w:gutter="0" w:footer="0" w:header="0"/>
        </w:sectPr>
      </w:pPr>
    </w:p>
    <w:bookmarkStart w:id="8" w:name="page9"/>
    <w:bookmarkEnd w:id="8"/>
    <w:p>
      <w:pPr>
        <w:jc w:val="both"/>
        <w:spacing w:after="0" w:line="405" w:lineRule="auto"/>
        <w:rPr>
          <w:sz w:val="20"/>
          <w:szCs w:val="20"/>
          <w:color w:val="auto"/>
        </w:rPr>
      </w:pPr>
      <w:r>
        <w:rPr>
          <w:rFonts w:ascii="Arial" w:cs="Arial" w:eastAsia="Arial" w:hAnsi="Arial"/>
          <w:sz w:val="16"/>
          <w:szCs w:val="16"/>
          <w:color w:val="auto"/>
        </w:rPr>
        <w:t>relating to the person that would be required to be disclosed in a proxy statement or other filing required to be made in connection with solicitations of proxies for election of directors pursuant to Section 14 of the Securities Exchange Act of 1934, as amended (the “Exchange Act”) and the rules and regulations promulgated thereunder (including each such nominee’s written consent to be named as a nominee and to serve as a director if elected); (ii) as to the stockholder giving the notice and the beneficial owner, if any, on whose behalf the nomination is made, (A) the name and record address of such stockholder and the name and address of such beneficial owner, (B) the class or series and number of shares of capital stock of the Corporation which are owned beneficially or of record by such stockholder and such beneficial owner, (C) a description of all agreements, arrangements or understandings between or among such stockholder and/or such beneficial owner and each proposed nominee and any other person or persons (including their names) pursuant to which the nomination(s) are to be made by such stockholder, (D)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and such beneficial owner, the effect or intent of which is to mitigate loss to, manage risk or benefit of share price changes for, or increase or decrease the voting power of, such stockholder or such beneficial owner with respect to shares of stock of the Corporation, (E) a representation that such stockholder intends to appear in person or by proxy at the Annual Meeting to nominate the persons named in its notice and is a holder of record of stock of the Corporation entitled to vote at such meeting, and (F) any other information relating to such stockholder and such beneficial owner that would be required to be disclosed in a proxy statement or other filings required to be made in connection with solicitations of proxies for election of directors pursuant to Section 14 of the Exchange Act and the rules and regulations promulgated thereunder; and</w:t>
      </w:r>
    </w:p>
    <w:p>
      <w:pPr>
        <w:spacing w:after="0" w:line="2" w:lineRule="exact"/>
        <w:rPr>
          <w:sz w:val="20"/>
          <w:szCs w:val="20"/>
          <w:color w:val="auto"/>
        </w:rPr>
      </w:pPr>
    </w:p>
    <w:p>
      <w:pPr>
        <w:jc w:val="both"/>
        <w:ind w:firstLine="8"/>
        <w:spacing w:after="0" w:line="392" w:lineRule="auto"/>
        <w:tabs>
          <w:tab w:leader="none" w:pos="333" w:val="left"/>
        </w:tabs>
        <w:numPr>
          <w:ilvl w:val="0"/>
          <w:numId w:val="5"/>
        </w:numPr>
        <w:rPr>
          <w:rFonts w:ascii="Arial" w:cs="Arial" w:eastAsia="Arial" w:hAnsi="Arial"/>
          <w:sz w:val="17"/>
          <w:szCs w:val="17"/>
          <w:color w:val="auto"/>
        </w:rPr>
      </w:pPr>
      <w:r>
        <w:rPr>
          <w:rFonts w:ascii="Arial" w:cs="Arial" w:eastAsia="Arial" w:hAnsi="Arial"/>
          <w:sz w:val="17"/>
          <w:szCs w:val="17"/>
          <w:color w:val="auto"/>
        </w:rPr>
        <w:t>a representation as to whether either such stockholder or such beneficial owner, alone or as part of a group, intends (A) to deliver a proxy statement and/or form of proxy to holders of at least the percentage of the Corporation’s outstanding capital stock required to elect the nominee and/or (B) otherwise to solicit proxies from stockholders in support of such nominee. The Corporation may require any proposed nominee to furnish such other information as it may reasonably require to determine the eligibility and qualifications of such proposed nominee to serve as a director of the Corporation or that could be material to a reasonable stockholder’s understanding of the independence, or lack thereof, of such nominee.</w:t>
      </w:r>
    </w:p>
    <w:p>
      <w:pPr>
        <w:spacing w:after="0" w:line="267" w:lineRule="exact"/>
        <w:rPr>
          <w:rFonts w:ascii="Arial" w:cs="Arial" w:eastAsia="Arial" w:hAnsi="Arial"/>
          <w:sz w:val="17"/>
          <w:szCs w:val="17"/>
          <w:color w:val="auto"/>
        </w:rPr>
      </w:pPr>
    </w:p>
    <w:p>
      <w:pPr>
        <w:jc w:val="both"/>
        <w:ind w:firstLine="656"/>
        <w:spacing w:after="0" w:line="386" w:lineRule="auto"/>
        <w:tabs>
          <w:tab w:leader="none" w:pos="1082" w:val="left"/>
        </w:tabs>
        <w:numPr>
          <w:ilvl w:val="1"/>
          <w:numId w:val="5"/>
        </w:numPr>
        <w:rPr>
          <w:rFonts w:ascii="Arial" w:cs="Arial" w:eastAsia="Arial" w:hAnsi="Arial"/>
          <w:sz w:val="17"/>
          <w:szCs w:val="17"/>
          <w:color w:val="auto"/>
        </w:rPr>
      </w:pPr>
      <w:r>
        <w:rPr>
          <w:rFonts w:ascii="Arial" w:cs="Arial" w:eastAsia="Arial" w:hAnsi="Arial"/>
          <w:sz w:val="17"/>
          <w:szCs w:val="17"/>
          <w:color w:val="auto"/>
        </w:rPr>
        <w:t>Subject to the requirements of this Section 3.1(e), the Corporation shall include in its proxy statement and on its proxy card for any Annual Meeting the name of any Proxy Access Nominee for election to the board of directors who is properly submitted pursuant to this Section 3.1(e) (each a “Proxy Access Nominee”) provided that (i) timely written notice of such Proxy Access Nominee satisfying this Section 3.1(e) (“Proxy Access Nomination Notice”) is delivered to the Corporation by or on behalf of a stockholder or group of stockholders that, at the time the Proxy Access Nomination Notice is delivered, satisfy the ownership and other requirements of this Section 3.1(e) (such stockholder or stockholders, and any person on whose behalf they are acting, the “Eligible Stockholder”), (ii) the Eligible Stockholder expressly elects in writing at the time of providing the Proxy Access Nomination Notice to have its nominee included in the Corporation’s proxy statement pursuant to this Section 3.1(e), and (iii) the Eligible Stockholder and the Proxy Access Nominee otherwise satisfy the requirements of this Section 3.1(e) and the director qualification requirements set forth in the Corporation’s Corporate Governance Guidelines or other document(s) setting forth qualifications for directors.</w:t>
      </w:r>
    </w:p>
    <w:p>
      <w:pPr>
        <w:spacing w:after="0" w:line="277" w:lineRule="exact"/>
        <w:rPr>
          <w:sz w:val="20"/>
          <w:szCs w:val="20"/>
          <w:color w:val="auto"/>
        </w:rPr>
      </w:pPr>
    </w:p>
    <w:p>
      <w:pPr>
        <w:ind w:right="20" w:firstLine="656"/>
        <w:spacing w:after="0" w:line="387" w:lineRule="auto"/>
        <w:tabs>
          <w:tab w:leader="none" w:pos="10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be timely, an Eligible Stockholder’s Proxy Access Nomination Notice must meet the advance notice requirements set forth in Section 3.1(c) of these Bylaws.</w:t>
      </w:r>
    </w:p>
    <w:p>
      <w:pPr>
        <w:spacing w:after="0" w:line="264" w:lineRule="exact"/>
        <w:rPr>
          <w:rFonts w:ascii="Arial" w:cs="Arial" w:eastAsia="Arial" w:hAnsi="Arial"/>
          <w:sz w:val="18"/>
          <w:szCs w:val="18"/>
          <w:color w:val="auto"/>
        </w:rPr>
      </w:pPr>
    </w:p>
    <w:p>
      <w:pPr>
        <w:ind w:left="1100" w:hanging="444"/>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including the name of the Proxy Access Nominee in the Corporation’s proxy statement for the</w:t>
      </w:r>
    </w:p>
    <w:p>
      <w:pPr>
        <w:sectPr>
          <w:pgSz w:w="11900" w:h="16838" w:orient="portrait"/>
          <w:cols w:equalWidth="0" w:num="1">
            <w:col w:w="11420"/>
          </w:cols>
          <w:pgMar w:left="240" w:top="638" w:right="239" w:bottom="1440" w:gutter="0" w:footer="0" w:header="0"/>
        </w:sectPr>
      </w:pPr>
    </w:p>
    <w:bookmarkStart w:id="9" w:name="page10"/>
    <w:bookmarkEnd w:id="9"/>
    <w:p>
      <w:pPr>
        <w:jc w:val="both"/>
        <w:spacing w:after="0" w:line="392" w:lineRule="auto"/>
        <w:rPr>
          <w:sz w:val="20"/>
          <w:szCs w:val="20"/>
          <w:color w:val="auto"/>
        </w:rPr>
      </w:pPr>
      <w:r>
        <w:rPr>
          <w:rFonts w:ascii="Arial" w:cs="Arial" w:eastAsia="Arial" w:hAnsi="Arial"/>
          <w:sz w:val="17"/>
          <w:szCs w:val="17"/>
          <w:color w:val="auto"/>
        </w:rPr>
        <w:t>Annual Meeting, the Corporation also shall include (A) the information concerning the Proxy Access Nominee and the Eligible Stockholder that is required to be disclosed in the Corporation’s proxy statement pursuant to Section 14 of the Exchange Act and the rules and regulations promulgated thereunder and (B) a Statement (defined below) (collectively, the “Required Information”). To be timely, the Required Information must be delivered to the Secretary of the Corporation within the time period specified in Section 3.1(c)(i) of these Bylaws. Nothing in this Section 3.1(e) shall limit the Corporation’s ability to solicit against and include in its proxy statement its own statements relating to any Proxy Access Nominee.</w:t>
      </w:r>
    </w:p>
    <w:p>
      <w:pPr>
        <w:spacing w:after="0" w:line="267" w:lineRule="exact"/>
        <w:rPr>
          <w:sz w:val="20"/>
          <w:szCs w:val="20"/>
          <w:color w:val="auto"/>
        </w:rPr>
      </w:pPr>
    </w:p>
    <w:p>
      <w:pPr>
        <w:jc w:val="both"/>
        <w:ind w:firstLine="656"/>
        <w:spacing w:after="0" w:line="409" w:lineRule="auto"/>
        <w:tabs>
          <w:tab w:leader="none" w:pos="118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Proxy Access Nominees (including Proxy Access Nominees that were submitted by an Eligible Stockholder for inclusion in the Corporation’s proxy statement pursuant to this Section 3.1(e) but either are subsequently withdrawn or that the Board of Directors decides to nominate appearing in the Corporation’s proxy statement with respect to a meeting of stockholders and Proxy Access Nominees who were previously elected based upon a nomination pursuant to this Section 3.1(e) at any of the preceding two annual meetings and whose reelection at the upcoming annual meeting is being recommended by the Board of the Directors) shall not exceed the greater of two or twenty percent of the number of directors in office as of the last day on which notice of a nomination may be delivered pursuant to this Section 3.1(e) (the “Final Proxy Access Nomination Date”) or, if such amount is not a whole number, the closest whole number below twenty percent (the “Permitted Number”); provided, however, that in the event that one or more vacancies for any reason occurs on the Board of Directors at any time after the Final Proxy Access Nomination Date and before the date of the Annual Meeting and the Board of Directors resolves to reduce the size of the Board of Directors in connection therewith, the Permitted Number shall be calculated based on the number of directors in office as so reduced. In the event that the number of Proxy Access Nominees submitted by Eligible Stockholders pursuant to this Section 3.1(e) exceeds the Permitted Number, each Eligible Stockholder shall select one Proxy Access Nominee for inclusion in the Corporation’s proxy statement until the Permitted Number is reached, going in order of the amount (greatest to least) of voting power of the Corporation’s capital stock entitled to vote on the election of directors as disclosed in the Notice. If the Permitted Number is not reached after each Eligible Stockholder has selected one Proxy Access Nominee, this selection process shall continue as many times as necessary, following the same order each time, until the Permitted Number is reached.</w:t>
      </w:r>
    </w:p>
    <w:p>
      <w:pPr>
        <w:spacing w:after="0" w:line="269" w:lineRule="exact"/>
        <w:rPr>
          <w:rFonts w:ascii="Arial" w:cs="Arial" w:eastAsia="Arial" w:hAnsi="Arial"/>
          <w:sz w:val="16"/>
          <w:szCs w:val="16"/>
          <w:color w:val="auto"/>
        </w:rPr>
      </w:pPr>
    </w:p>
    <w:p>
      <w:pPr>
        <w:jc w:val="both"/>
        <w:ind w:firstLine="656"/>
        <w:spacing w:after="0" w:line="411" w:lineRule="auto"/>
        <w:tabs>
          <w:tab w:leader="none" w:pos="1139"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Eligible Stockholder must have owned (as defined below) continuously for at least three years a number of shares that represents three percent or more of the total voting power of the Corporation’s outstanding shares of capital stock entitled to vote in the election of directors (the “Required Shares”) as of both the date the Notice is delivered to or received by the Corporation in accordance with this Section 3.1(e) and the record date for determining stockholders entitled to vote at the Annual Meeting and must continue to own the Required Shares through the meeting date. For purposes of satisfying the ownership requirement under this Section 3.1(e), the voting power represented by the shares of the Corporation’s capital stock owned by one or more stockholders, or by the person or persons who own shares of the Corporation’s capital stock and on whose behalf any stockholder is acting, may be aggregated, provided that the number of stockholders and other persons whose ownership of shares is aggregated for such purpose shall not exceed twenty-five,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no person may be a member of more than one group of persons constituting an Eligible Stockholder under this Section 3.1(e).</w:t>
      </w:r>
    </w:p>
    <w:p>
      <w:pPr>
        <w:spacing w:after="0" w:line="261" w:lineRule="exact"/>
        <w:rPr>
          <w:rFonts w:ascii="Arial" w:cs="Arial" w:eastAsia="Arial" w:hAnsi="Arial"/>
          <w:sz w:val="16"/>
          <w:szCs w:val="16"/>
          <w:color w:val="auto"/>
        </w:rPr>
      </w:pPr>
    </w:p>
    <w:p>
      <w:pPr>
        <w:ind w:left="1040" w:hanging="384"/>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this Section 3.1(e), an Eligible Stockholder shall be deemed to “own” only those outstanding</w:t>
      </w:r>
    </w:p>
    <w:p>
      <w:pPr>
        <w:sectPr>
          <w:pgSz w:w="11900" w:h="16838" w:orient="portrait"/>
          <w:cols w:equalWidth="0" w:num="1">
            <w:col w:w="11420"/>
          </w:cols>
          <w:pgMar w:left="240" w:top="638" w:right="239" w:bottom="1440" w:gutter="0" w:footer="0" w:header="0"/>
        </w:sectPr>
      </w:pPr>
    </w:p>
    <w:bookmarkStart w:id="10" w:name="page11"/>
    <w:bookmarkEnd w:id="10"/>
    <w:p>
      <w:pPr>
        <w:jc w:val="both"/>
        <w:spacing w:after="0" w:line="409" w:lineRule="auto"/>
        <w:rPr>
          <w:sz w:val="20"/>
          <w:szCs w:val="20"/>
          <w:color w:val="auto"/>
        </w:rPr>
      </w:pPr>
      <w:r>
        <w:rPr>
          <w:rFonts w:ascii="Arial" w:cs="Arial" w:eastAsia="Arial" w:hAnsi="Arial"/>
          <w:sz w:val="16"/>
          <w:szCs w:val="16"/>
          <w:color w:val="auto"/>
        </w:rPr>
        <w:t>shares of the Corporation’s capital stock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outstanding shares of the Corporation’s capital stock, in any such case which instrument or agreement has, or is intended to have, the purpose or effect of (1) reducing in any manner, to any extent or at any time in the future, such person’s or affiliates’ full right to vote or direct the voting of any such shares and/or (2)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(A)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(B) the person has delegated any voting power by means of a proxy, power of attorney or other instrument or arrangement that is revocable at any time by the person. The terms “owned,” “owning,” and other variations of the word “own” shall have correlative meanings. For purposes of this Section 3.1(e), the term “affiliate” shall have the meaning ascribed thereto in the regulations promulgated under the Exchange Act.</w:t>
      </w:r>
    </w:p>
    <w:p>
      <w:pPr>
        <w:spacing w:after="0" w:line="264" w:lineRule="exact"/>
        <w:rPr>
          <w:sz w:val="20"/>
          <w:szCs w:val="20"/>
          <w:color w:val="auto"/>
        </w:rPr>
      </w:pPr>
    </w:p>
    <w:p>
      <w:pPr>
        <w:jc w:val="both"/>
        <w:ind w:firstLine="656"/>
        <w:spacing w:after="0" w:line="408" w:lineRule="auto"/>
        <w:tabs>
          <w:tab w:leader="none" w:pos="1172" w:val="left"/>
        </w:tabs>
        <w:numPr>
          <w:ilvl w:val="0"/>
          <w:numId w:val="8"/>
        </w:numPr>
        <w:rPr>
          <w:rFonts w:ascii="Arial" w:cs="Arial" w:eastAsia="Arial" w:hAnsi="Arial"/>
          <w:sz w:val="16"/>
          <w:szCs w:val="16"/>
          <w:color w:val="auto"/>
        </w:rPr>
      </w:pPr>
      <w:r>
        <w:rPr>
          <w:rFonts w:ascii="Arial" w:cs="Arial" w:eastAsia="Arial" w:hAnsi="Arial"/>
          <w:sz w:val="16"/>
          <w:szCs w:val="16"/>
          <w:color w:val="auto"/>
        </w:rPr>
        <w:t>Within the time period specified in Section 3.1(e)(i), an Eligible Stockholder must provide with its Proxy Access Nomination Notice the following information in writing to the Secretary of the Corporation: (A)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delivered to or received by the Corporation, the Eligible Stockholder owns, and has owned continuously for the preceding three years, the Required Shares, and the Eligible Stockholder’s agreement to provide (1) within five business days after the record date for the meeting, written statements from the record holder and intermediaries verifying the Eligible Stockholder’s continuous ownership of the Required Shares through the record date and (2) immediate notice if the Eligible Stockholder ceases to own any of the Required Shares prior to the date of the Annual Meeting; (B) documentation satisfactory to the Corporation demonstrating that a group of funds are entitled to be treated as one stockholder or person for purposes of this Section 3.1(e); (C) a representation that the Eligible Stockholder (including each member of any group of stockholders that together is an Eligible Stockholder hereunder): (1) intends to continue to own the Required Shares through the date of the Annual Meeting, (2) acquired the Required Shares in the ordinary course of business and not with the intent to change or influence control of the Corporation, and does not presently have such intent, (3) has not nominated and will not nominate for election to the Board of Directors at the meeting any person other than the Proxy Access Nominee(s) being nominated pursuant to this Section 3.1(e), (4) has not engaged and will not engage in, and has not and will not be, a “participant” in another person’s “solicitation” within the meaning of Rule 14a-1(l) under the Exchange Act in support of the election of any individual as a director at the Annual Meeting other than its Proxy Access Nominee(s) or a nominee of the Board of Directors, (5) will not distribute to any stockholder any form of proxy for the Annual Meeting other than the form distributed by the Corporation, and (6) has provided and will provide facts, statements and other information in all communications with the Corporation and its stockholders that are or will be true and</w:t>
      </w:r>
    </w:p>
    <w:p>
      <w:pPr>
        <w:sectPr>
          <w:pgSz w:w="11900" w:h="16838" w:orient="portrait"/>
          <w:cols w:equalWidth="0" w:num="1">
            <w:col w:w="11420"/>
          </w:cols>
          <w:pgMar w:left="240" w:top="638" w:right="239" w:bottom="1440" w:gutter="0" w:footer="0" w:header="0"/>
        </w:sectPr>
      </w:pPr>
    </w:p>
    <w:bookmarkStart w:id="11" w:name="page12"/>
    <w:bookmarkEnd w:id="11"/>
    <w:p>
      <w:pPr>
        <w:jc w:val="both"/>
        <w:spacing w:after="0" w:line="409" w:lineRule="auto"/>
        <w:rPr>
          <w:sz w:val="20"/>
          <w:szCs w:val="20"/>
          <w:color w:val="auto"/>
        </w:rPr>
      </w:pPr>
      <w:r>
        <w:rPr>
          <w:rFonts w:ascii="Arial" w:cs="Arial" w:eastAsia="Arial" w:hAnsi="Arial"/>
          <w:sz w:val="16"/>
          <w:szCs w:val="16"/>
          <w:color w:val="auto"/>
        </w:rPr>
        <w:t>correct in all material respects and do not and will not omit to state a material fact necessary in order to make the statements made, in light of the circumstances under which they were made, not misleading; (D) the written consent of each Proxy Access Nominee to be named in the Corporation’s proxy statement as a nominee and to serve as a director if elected; (E) a copy of the Schedule 14N that has been filed with the Securities and Exchange Commission (the “SEC”) as required by Rule 14a-18 under the Exchange Act; (F) the information and representations that would be required to be set forth in shareholder’s notice of a nomination pursuant to Section 3.1(d) of these Bylaws; (G) in the case of a nomination by a group of stockholders that together is an Eligible Stockholder, the designation by all group members of one group member that is authorized to act on behalf of all members of the nominating stockholder group with respect to the nomination and matters related thereto, including withdrawal of the nomination; and (H)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Corporation, (2) indemnify and hold harmless the Corporation and each of its directors, or its officers and employees individually against any liability, loss or damages in connection with any threatened or pending action, suit or proceeding, whether legal, administrative or investigative, against the Corporation or any of its directors, or its officers or employees arising out of any nomination submitted by the Eligible Stockholder pursuant to this Section 3.1(e), (3) file with the SEC any solicitation or other communication with the Corporation’s stockholders relating to the meeting at which the Proxy Access Nominee will be nominated, regardless of whether any such filing is required under Section 14 of the Exchange Act and the rules and regulations promulgated thereunder or whether any exemption from filing is available for such solicitation or other communication under Section 14 of the Exchange Act and the rules and regulations promulgated thereunder, and (4) comply with all other applicable laws, rules, regulations and listing standards with respect to any solicitation in connection with the meeting.</w:t>
      </w:r>
    </w:p>
    <w:p>
      <w:pPr>
        <w:spacing w:after="0" w:line="264" w:lineRule="exact"/>
        <w:rPr>
          <w:sz w:val="20"/>
          <w:szCs w:val="20"/>
          <w:color w:val="auto"/>
        </w:rPr>
      </w:pPr>
    </w:p>
    <w:p>
      <w:pPr>
        <w:jc w:val="both"/>
        <w:ind w:firstLine="656"/>
        <w:spacing w:after="0" w:line="395" w:lineRule="auto"/>
        <w:tabs>
          <w:tab w:leader="none" w:pos="116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Eligible Stockholder may with its Proxy Access Nomination Notice, provide to the Secretary of the Corporation, a written statement for inclusion in the Corporation’s proxy statement for the Annual Meeting, not to exceed 500 words per Proxy Access Nominee, in support of each Proxy Access Nominee it names in its Notice (the “Statement”). Notwithstanding anything to the contrary contained in this Section 3.1, the Corporation may omit from its proxy statement any information or Statement that it believes would violate any applicable law, rule, regulation, or listing standard.</w:t>
      </w:r>
    </w:p>
    <w:p>
      <w:pPr>
        <w:spacing w:after="0" w:line="266" w:lineRule="exact"/>
        <w:rPr>
          <w:rFonts w:ascii="Arial" w:cs="Arial" w:eastAsia="Arial" w:hAnsi="Arial"/>
          <w:sz w:val="17"/>
          <w:szCs w:val="17"/>
          <w:color w:val="auto"/>
        </w:rPr>
      </w:pPr>
    </w:p>
    <w:p>
      <w:pPr>
        <w:jc w:val="both"/>
        <w:ind w:firstLine="656"/>
        <w:spacing w:after="0" w:line="384" w:lineRule="auto"/>
        <w:tabs>
          <w:tab w:leader="none" w:pos="1252"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Within the time period specified in Section 3.1(e)(i), a Proxy Access Nominee must deliver to the Secretary of the Corporation a written representation and agreement that the Proxy Access Nominee: (A) has read and agrees to adhere to the Corporation’s code of conduct, corporate governance guidelines, conflict of interest, confidentiality and stock ownership and securities trading policies, and any other policies and guidelines applicable to directors, as well as any applicable law, rule or regulation or listing requirement, (B) is not and will not become a party to any agreement, arrangement or understanding with, and has not given any commitment or assurance to, any person or entity as to how such person, if elected as a director of the Corporation, will act or vote on any issue or question that has not been disclosed to the Corporation (a “Voting Commitment”), (C) is not and will not become a party to any agreement, arrangement or understanding with any person or entity other than the Corporation with respect to any direct or indirect compensation, reimbursement or indemnification (a “Compensation Arrangement”) in connection with such person’s nomination for director and/or service as a director, in each case that has not been disclosed to the Corporation. At the request of the Corporation, the Proxy Access Nominee must (A) complete, sign and submit all questionnaires required of the Board of Directors within five business days of receipt of each such questionnaire from the Corporation; and (B) provide within five business days of the Corporation’s request such additional information as the Corporation determines may be necessary to permit the Board of Directors to determine whether such Proxy Access Nominee meets the requirements of this Section 3.1(e) and/or the Corporation’s requirements with regard to qualifications and policies and</w:t>
      </w:r>
    </w:p>
    <w:p>
      <w:pPr>
        <w:sectPr>
          <w:pgSz w:w="11900" w:h="16838" w:orient="portrait"/>
          <w:cols w:equalWidth="0" w:num="1">
            <w:col w:w="11420"/>
          </w:cols>
          <w:pgMar w:left="240" w:top="638" w:right="239" w:bottom="1440" w:gutter="0" w:footer="0" w:header="0"/>
        </w:sectPr>
      </w:pPr>
    </w:p>
    <w:bookmarkStart w:id="12" w:name="page13"/>
    <w:bookmarkEnd w:id="12"/>
    <w:p>
      <w:pPr>
        <w:jc w:val="both"/>
        <w:spacing w:after="0" w:line="365" w:lineRule="auto"/>
        <w:rPr>
          <w:sz w:val="20"/>
          <w:szCs w:val="20"/>
          <w:color w:val="auto"/>
        </w:rPr>
      </w:pPr>
      <w:r>
        <w:rPr>
          <w:rFonts w:ascii="Arial" w:cs="Arial" w:eastAsia="Arial" w:hAnsi="Arial"/>
          <w:sz w:val="18"/>
          <w:szCs w:val="18"/>
          <w:color w:val="auto"/>
        </w:rPr>
        <w:t>guidelines applicable to members of the Board of Directors, including whether: (1) such Proxy Access Nominee is independent under the listing standards of each principal U.S. exchange upon which the capital stock of the Corporation is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(x) any event specified in Item 401(f) of Regulation S-K under the Securities Act of 1933, as amended (the “Securities Act”) or (y) any order of the type specified in Rule 506(d) of Regulation D under the Securities Act.</w:t>
      </w:r>
    </w:p>
    <w:p>
      <w:pPr>
        <w:spacing w:after="0" w:line="286" w:lineRule="exact"/>
        <w:rPr>
          <w:sz w:val="20"/>
          <w:szCs w:val="20"/>
          <w:color w:val="auto"/>
        </w:rPr>
      </w:pPr>
    </w:p>
    <w:p>
      <w:pPr>
        <w:jc w:val="both"/>
        <w:ind w:firstLine="656"/>
        <w:spacing w:after="0" w:line="366" w:lineRule="auto"/>
        <w:tabs>
          <w:tab w:leader="none" w:pos="11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the Corporation of any such inaccuracy or omission in such previously provided information and of the information that is required to make such information or communication true and correct.</w:t>
      </w:r>
    </w:p>
    <w:p>
      <w:pPr>
        <w:spacing w:after="0" w:line="285" w:lineRule="exact"/>
        <w:rPr>
          <w:rFonts w:ascii="Arial" w:cs="Arial" w:eastAsia="Arial" w:hAnsi="Arial"/>
          <w:sz w:val="18"/>
          <w:szCs w:val="18"/>
          <w:color w:val="auto"/>
        </w:rPr>
      </w:pPr>
    </w:p>
    <w:p>
      <w:pPr>
        <w:jc w:val="both"/>
        <w:ind w:firstLine="656"/>
        <w:spacing w:after="0" w:line="383" w:lineRule="auto"/>
        <w:tabs>
          <w:tab w:leader="none" w:pos="10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Corporation shall not be required to include pursuant to this Section 3.1(e), any Proxy Access Nominee in its proxy statement (or, if the proxy statement has already been filed, to allow the nomination of a Proxy Access Nominee, notwithstanding that proxies in respect of such vote may have been received by the Corporation) if (A) the Eligible Stockholder who has nominated such Proxy Access Nominee has nominated for election to the Board of Directors at the Annual Meeting any other person pursuant to Section 3.1(b)(i)(B), (B) the Eligible Stockholder has or is engaged in, or has been or is a “participant” in another person’s, “solicitation” within the meaning of Rule 14a-1(l) under the Exchange Act in support of the election of any individual as a director at the Annual Meeting other than its Proxy Access Nominee(s) or any other nominee,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Corporation’s Corporate Governance Guidelines or any other document setting forth qualifications for members of the Board of Directors, the listing standards of the principal exchange upon which the Corporation’s capital stock is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Nominee’s then-current or within the preceding ten years’ business or personal interests place such Proxy Access Nominee in a conflict of interest with the Corporation or any of its subsidiaries that would cause such Proxy Access Nominee to violate any fiduciary duties of directors established pursuant to the laws of the State of Delaware, including but not limited to the duty of loyalty and duty of care, (H) the Proxy Access Nominee is a named subject of a pending criminal proceeding (excluding traffic violations and other minor offenses) or has been convicted in such a criminal proceeding within the past ten years, (I) the Proxy Access Nominee is subject to any order of the type specified in Rule 506(d) of Regulation D under the Securities Act, or (J)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Section 3.1(e).</w:t>
      </w:r>
    </w:p>
    <w:p>
      <w:pPr>
        <w:spacing w:after="0" w:line="284" w:lineRule="exact"/>
        <w:rPr>
          <w:rFonts w:ascii="Arial" w:cs="Arial" w:eastAsia="Arial" w:hAnsi="Arial"/>
          <w:sz w:val="17"/>
          <w:szCs w:val="17"/>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if (A) the Proxy Access Nominee and/or the applicable</w:t>
      </w:r>
    </w:p>
    <w:p>
      <w:pPr>
        <w:sectPr>
          <w:pgSz w:w="11900" w:h="16838" w:orient="portrait"/>
          <w:cols w:equalWidth="0" w:num="1">
            <w:col w:w="11420"/>
          </w:cols>
          <w:pgMar w:left="240" w:top="638" w:right="239" w:bottom="1440" w:gutter="0" w:footer="0" w:header="0"/>
        </w:sectPr>
      </w:pPr>
    </w:p>
    <w:bookmarkStart w:id="13" w:name="page14"/>
    <w:bookmarkEnd w:id="13"/>
    <w:p>
      <w:pPr>
        <w:jc w:val="both"/>
        <w:spacing w:after="0" w:line="389" w:lineRule="auto"/>
        <w:rPr>
          <w:sz w:val="20"/>
          <w:szCs w:val="20"/>
          <w:color w:val="auto"/>
        </w:rPr>
      </w:pPr>
      <w:r>
        <w:rPr>
          <w:rFonts w:ascii="Arial" w:cs="Arial" w:eastAsia="Arial" w:hAnsi="Arial"/>
          <w:sz w:val="17"/>
          <w:szCs w:val="17"/>
          <w:color w:val="auto"/>
        </w:rPr>
        <w:t>Eligible Stockholder shall have breached its or their agreements, representations, undertakings and/or obligations pursuant to this Section 3.1(e), as determined by the Board of Directors or the person presiding at the meeting, or (B) the Eligible Stockholder (or a qualified representative thereof) does not appear at the meeting to present any nomination pursuant to this Section 3.1(e), (x)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(y) the Corporation shall not be required to include in its proxy statement any successor or replacement nominee proposed by the applicable Eligible Stockholder or any other Eligible Stockholder.</w:t>
      </w:r>
    </w:p>
    <w:p>
      <w:pPr>
        <w:spacing w:after="0" w:line="273" w:lineRule="exact"/>
        <w:rPr>
          <w:sz w:val="20"/>
          <w:szCs w:val="20"/>
          <w:color w:val="auto"/>
        </w:rPr>
      </w:pPr>
    </w:p>
    <w:p>
      <w:pPr>
        <w:jc w:val="both"/>
        <w:ind w:right="20" w:firstLine="656"/>
        <w:spacing w:after="0" w:line="373" w:lineRule="auto"/>
        <w:tabs>
          <w:tab w:leader="none" w:pos="1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Proxy Access Nominee who is included in the Corporation’s proxy statement for a particular Annual Meeting but withdraws from or becomes ineligible or unavailable for election at the annual meeting shall be ineligible to be included in the Corporation’s proxy statement as a Proxy Access Nominee pursuant to this Section 3.1(e) for the next two Annual Meetings.</w:t>
      </w:r>
    </w:p>
    <w:p>
      <w:pPr>
        <w:spacing w:after="0" w:line="277" w:lineRule="exact"/>
        <w:rPr>
          <w:rFonts w:ascii="Arial" w:cs="Arial" w:eastAsia="Arial" w:hAnsi="Arial"/>
          <w:sz w:val="18"/>
          <w:szCs w:val="18"/>
          <w:color w:val="auto"/>
        </w:rPr>
      </w:pPr>
    </w:p>
    <w:p>
      <w:pPr>
        <w:jc w:val="both"/>
        <w:ind w:firstLine="656"/>
        <w:spacing w:after="0" w:line="386" w:lineRule="auto"/>
        <w:tabs>
          <w:tab w:leader="none" w:pos="126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Board of Directors (and any other person or body authorized by the Board of Directors) shall have the power and authority to interpret this Section 3.1(e) and to make any and all determinations necessary or advisable to apply this Section 3.1(e) to any persons, facts or circumstances, including the power to determine (A) whether a person or group of persons qualifies as an Eligible Stockholder, (B) whether outstanding shares of the Corporation’s capital stock are “owned” for purposes of meeting the ownership requirements of this Section 3.1(e), (C) whether a notice complies with the requirements of this Section 3.1(e), (D) whether a person satisfies the qualifications and requirements to be a Proxy Access Nominee, (E) whether inclusion of the Required Information in the Corporation’s proxy statement is consistent with all applicable laws, rules, regulations and listing standards, and (F) whether any and all requirements of this Section 3.1(e) have been satisfied. Any such interpretation or determination adopted in good faith by the Board of Directors (or any other person or body authorized by the Board of Directors) shall be conclusive and binding on all persons, including the Corporation and all record or beneficial owners of stock of the Corporation.</w:t>
      </w:r>
    </w:p>
    <w:p>
      <w:pPr>
        <w:spacing w:after="0" w:line="277" w:lineRule="exact"/>
        <w:rPr>
          <w:sz w:val="20"/>
          <w:szCs w:val="20"/>
          <w:color w:val="auto"/>
        </w:rPr>
      </w:pPr>
    </w:p>
    <w:p>
      <w:pPr>
        <w:jc w:val="both"/>
        <w:ind w:firstLine="656"/>
        <w:spacing w:after="0" w:line="364" w:lineRule="auto"/>
        <w:tabs>
          <w:tab w:leader="none" w:pos="10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 shall be eligible for election as a director of the Corporation unless nominated in accordance with the procedures set forth in this Section 3.1. If the Chairman of the meeting determines that a nomination was not made in accordance with the foregoing procedures, the Chairman shall declare to the meeting that the nomination was defective and such defective nomination shall be disregarded. Notwithstanding the foregoing provisions of this Section 3.1, to be considered a qualified representative of the stockholder, a person must be authorized by a written instrument executed by such stockholder or an electronic transmission delivered by such stockholder to act for such stockholder as a proxy at the meeting of stockholders and such person must produce such written instrument or electronic transmission, or a reliable reproduction of the written instrument or electronic transmission, at the meeting of stockholders.</w:t>
      </w:r>
    </w:p>
    <w:p>
      <w:pPr>
        <w:spacing w:after="0" w:line="287" w:lineRule="exact"/>
        <w:rPr>
          <w:rFonts w:ascii="Arial" w:cs="Arial" w:eastAsia="Arial" w:hAnsi="Arial"/>
          <w:sz w:val="18"/>
          <w:szCs w:val="18"/>
          <w:color w:val="auto"/>
        </w:rPr>
      </w:pPr>
    </w:p>
    <w:p>
      <w:pPr>
        <w:jc w:val="both"/>
        <w:ind w:firstLine="656"/>
        <w:spacing w:after="0" w:line="373" w:lineRule="auto"/>
        <w:tabs>
          <w:tab w:leader="none" w:pos="10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Section 3.1(e) of these by-laws and except as otherwise required by law, nothing in this Section 3.1 shall be construed to permit any stockholder of the Corporation to include in any proxy statement or other stockholder communication distributed on behalf of the Corporation or the Board of Directors information with respect to any nominee for director submitted by a stockholder.</w:t>
      </w:r>
    </w:p>
    <w:p>
      <w:pPr>
        <w:spacing w:after="0" w:line="277" w:lineRule="exact"/>
        <w:rPr>
          <w:rFonts w:ascii="Arial" w:cs="Arial" w:eastAsia="Arial" w:hAnsi="Arial"/>
          <w:sz w:val="18"/>
          <w:szCs w:val="18"/>
          <w:color w:val="auto"/>
        </w:rPr>
      </w:pPr>
    </w:p>
    <w:p>
      <w:pPr>
        <w:jc w:val="both"/>
        <w:ind w:firstLine="656"/>
        <w:spacing w:after="0" w:line="373" w:lineRule="auto"/>
        <w:tabs>
          <w:tab w:leader="none" w:pos="11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Section 3.1 of these by-laws, “public disclosure” shall include disclosure in a press release reported by the Dow Jones News Service, Associated Press or comparable national news service or in a document publicly filed by the Corporation with the SEC pursuant to Section 13, 14 or 15(d) of the Exchange Act.</w:t>
      </w:r>
    </w:p>
    <w:p>
      <w:pPr>
        <w:sectPr>
          <w:pgSz w:w="11900" w:h="16838" w:orient="portrait"/>
          <w:cols w:equalWidth="0" w:num="1">
            <w:col w:w="11420"/>
          </w:cols>
          <w:pgMar w:left="240" w:top="638" w:right="239" w:bottom="1440" w:gutter="0" w:footer="0" w:header="0"/>
        </w:sectPr>
      </w:pPr>
    </w:p>
    <w:bookmarkStart w:id="14" w:name="page15"/>
    <w:bookmarkEnd w:id="14"/>
    <w:p>
      <w:pPr>
        <w:jc w:val="both"/>
        <w:ind w:firstLine="648"/>
        <w:spacing w:after="0" w:line="395"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Vacancies</w:t>
      </w:r>
      <w:r>
        <w:rPr>
          <w:rFonts w:ascii="Arial" w:cs="Arial" w:eastAsia="Arial" w:hAnsi="Arial"/>
          <w:sz w:val="17"/>
          <w:szCs w:val="17"/>
          <w:color w:val="auto"/>
        </w:rPr>
        <w:t>. Any vacancy on the Board of Directors, however created, may be filled only by a majority of the directors then in office, though less than a quorum, or by a sole remaining director. Any director elected to fill a newly created directorship resulting from an increase in any class of directors shall hold office for a term that shall coincide with the remaining term of the other directors of that class. Any director elected to fill a vacancy not resulting from an increase in the number of directors shall have the same term as the remaining term of his predecessor.</w:t>
      </w:r>
    </w:p>
    <w:p>
      <w:pPr>
        <w:spacing w:after="0" w:line="266"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Duties and Powers</w:t>
      </w:r>
      <w:r>
        <w:rPr>
          <w:rFonts w:ascii="Arial" w:cs="Arial" w:eastAsia="Arial" w:hAnsi="Arial"/>
          <w:sz w:val="18"/>
          <w:szCs w:val="18"/>
          <w:color w:val="auto"/>
        </w:rPr>
        <w:t>. The business of the Corporation shall be managed by or under the direction of the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277" w:lineRule="exact"/>
        <w:rPr>
          <w:sz w:val="20"/>
          <w:szCs w:val="20"/>
          <w:color w:val="auto"/>
        </w:rPr>
      </w:pPr>
    </w:p>
    <w:p>
      <w:pPr>
        <w:jc w:val="both"/>
        <w:ind w:firstLine="648"/>
        <w:spacing w:after="0" w:line="365"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Meetings</w:t>
      </w:r>
      <w:r>
        <w:rPr>
          <w:rFonts w:ascii="Arial" w:cs="Arial" w:eastAsia="Arial" w:hAnsi="Arial"/>
          <w:sz w:val="18"/>
          <w:szCs w:val="18"/>
          <w:color w:val="auto"/>
        </w:rPr>
        <w:t>. The Board of Directors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Chief Executive Officer, the Chairman, if there is one, the President, or any directors. Notice thereof stating the place, date and hour of the meeting shall be given to each director either by mail not less than forty-eight hours before the date of the meeting, by telephone or facsimile on twenty-four hours' notice, or on such shorter notice as the person or persons calling such meeting may deem necessary or appropriate in the circumstances.</w:t>
      </w:r>
    </w:p>
    <w:p>
      <w:pPr>
        <w:spacing w:after="0" w:line="286"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Quorum</w:t>
      </w:r>
      <w:r>
        <w:rPr>
          <w:rFonts w:ascii="Arial" w:cs="Arial" w:eastAsia="Arial" w:hAnsi="Arial"/>
          <w:sz w:val="18"/>
          <w:szCs w:val="18"/>
          <w:color w:val="auto"/>
        </w:rPr>
        <w:t>.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285"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Actions of Board</w:t>
      </w:r>
      <w:r>
        <w:rPr>
          <w:rFonts w:ascii="Arial" w:cs="Arial" w:eastAsia="Arial" w:hAnsi="Arial"/>
          <w:sz w:val="18"/>
          <w:szCs w:val="18"/>
          <w:color w:val="auto"/>
        </w:rPr>
        <w:t>. Unless otherwise provided by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280"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Meetings by Means of Conference Telephone</w:t>
      </w:r>
      <w:r>
        <w:rPr>
          <w:rFonts w:ascii="Arial" w:cs="Arial" w:eastAsia="Arial" w:hAnsi="Arial"/>
          <w:sz w:val="17"/>
          <w:szCs w:val="17"/>
          <w:color w:val="auto"/>
        </w:rPr>
        <w:t>.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3.7 shall constitute presence in person at such meeting.</w:t>
      </w:r>
    </w:p>
    <w:p>
      <w:pPr>
        <w:spacing w:after="0" w:line="266" w:lineRule="exact"/>
        <w:rPr>
          <w:sz w:val="20"/>
          <w:szCs w:val="20"/>
          <w:color w:val="auto"/>
        </w:rPr>
      </w:pPr>
    </w:p>
    <w:p>
      <w:pPr>
        <w:jc w:val="both"/>
        <w:ind w:firstLine="648"/>
        <w:spacing w:after="0" w:line="420"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w:t>
      </w:r>
    </w:p>
    <w:p>
      <w:pPr>
        <w:sectPr>
          <w:pgSz w:w="11900" w:h="16838" w:orient="portrait"/>
          <w:cols w:equalWidth="0" w:num="1">
            <w:col w:w="11420"/>
          </w:cols>
          <w:pgMar w:left="240" w:top="638" w:right="239" w:bottom="1440" w:gutter="0" w:footer="0" w:header="0"/>
        </w:sectPr>
      </w:pPr>
    </w:p>
    <w:bookmarkStart w:id="15" w:name="page16"/>
    <w:bookmarkEnd w:id="15"/>
    <w:p>
      <w:pPr>
        <w:jc w:val="both"/>
        <w:spacing w:after="0" w:line="369" w:lineRule="auto"/>
        <w:rPr>
          <w:sz w:val="20"/>
          <w:szCs w:val="20"/>
          <w:color w:val="auto"/>
        </w:rPr>
      </w:pPr>
      <w:r>
        <w:rPr>
          <w:rFonts w:ascii="Arial" w:cs="Arial" w:eastAsia="Arial" w:hAnsi="Arial"/>
          <w:sz w:val="18"/>
          <w:szCs w:val="18"/>
          <w:color w:val="auto"/>
        </w:rPr>
        <w:t>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280" w:lineRule="exact"/>
        <w:rPr>
          <w:sz w:val="20"/>
          <w:szCs w:val="20"/>
          <w:color w:val="auto"/>
        </w:rPr>
      </w:pPr>
    </w:p>
    <w:p>
      <w:pPr>
        <w:jc w:val="both"/>
        <w:ind w:firstLine="648"/>
        <w:spacing w:after="0" w:line="435"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Audit Committee</w:t>
      </w:r>
      <w:r>
        <w:rPr>
          <w:rFonts w:ascii="Arial" w:cs="Arial" w:eastAsia="Arial" w:hAnsi="Arial"/>
          <w:sz w:val="16"/>
          <w:szCs w:val="16"/>
          <w:color w:val="auto"/>
        </w:rPr>
        <w:t>. The Board of Directors, by resolution adopted by a majority of the whole Board of Directors, may designate three or more directors to constitute an Audit Committee, to serve as such until the next Annual Meeting of the Board of Directors or until their respective successors are designated. The audit committee will carry out its responsibilities as set forth in an audit committee charter to be adopted by the Board of Directors.</w:t>
      </w:r>
    </w:p>
    <w:p>
      <w:pPr>
        <w:spacing w:after="0" w:line="242"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Compensation</w:t>
      </w:r>
      <w:r>
        <w:rPr>
          <w:rFonts w:ascii="Arial" w:cs="Arial" w:eastAsia="Arial" w:hAnsi="Arial"/>
          <w:sz w:val="17"/>
          <w:szCs w:val="17"/>
          <w:color w:val="auto"/>
        </w:rPr>
        <w:t>. At the discretion of the Board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At the discretion of the Board of Directors, members of special or standing committees may be allowed like compensation for attending committee meetings.</w:t>
      </w:r>
    </w:p>
    <w:p>
      <w:pPr>
        <w:spacing w:after="0" w:line="266" w:lineRule="exact"/>
        <w:rPr>
          <w:sz w:val="20"/>
          <w:szCs w:val="20"/>
          <w:color w:val="auto"/>
        </w:rPr>
      </w:pPr>
    </w:p>
    <w:p>
      <w:pPr>
        <w:jc w:val="both"/>
        <w:ind w:firstLine="648"/>
        <w:spacing w:after="0" w:line="411"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(a)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(b) the material facts as to his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262"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Entire Board of Directors</w:t>
      </w:r>
      <w:r>
        <w:rPr>
          <w:rFonts w:ascii="Arial" w:cs="Arial" w:eastAsia="Arial" w:hAnsi="Arial"/>
          <w:sz w:val="18"/>
          <w:szCs w:val="18"/>
          <w:color w:val="auto"/>
        </w:rPr>
        <w:t>. As used in these Bylaws generally, the term “entire Board of Directors” means the total number of directors which the Corporation would have if there were no vacancies.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General</w:t>
      </w:r>
      <w:r>
        <w:rPr>
          <w:rFonts w:ascii="Arial" w:cs="Arial" w:eastAsia="Arial" w:hAnsi="Arial"/>
          <w:sz w:val="18"/>
          <w:szCs w:val="18"/>
          <w:color w:val="auto"/>
        </w:rPr>
        <w:t>. The officers of the Corporation shall be chosen by the Board of Directors and shall include a Chief Executive Officer, a President and a Secretary. The Board of Directors, in its discretion, may also appoint a Chairman of the Board of Directors (who must be a director), Chief Financial Officer, Assistant Chief Financial Officers, Controller, Treasurer, Assistant Treasurers and one or more Vice Presidents, Assistant Secretaries, and other officers, who shall have such authority and perform such duties as may be prescribed in such appointment. Any number of offices may be held by the same person, unless</w:t>
      </w:r>
    </w:p>
    <w:p>
      <w:pPr>
        <w:sectPr>
          <w:pgSz w:w="11900" w:h="16838" w:orient="portrait"/>
          <w:cols w:equalWidth="0" w:num="1">
            <w:col w:w="11420"/>
          </w:cols>
          <w:pgMar w:left="240" w:top="638" w:right="239" w:bottom="1440" w:gutter="0" w:footer="0" w:header="0"/>
        </w:sectPr>
      </w:pPr>
    </w:p>
    <w:bookmarkStart w:id="16" w:name="page17"/>
    <w:bookmarkEnd w:id="16"/>
    <w:p>
      <w:pPr>
        <w:jc w:val="both"/>
        <w:spacing w:after="0" w:line="387" w:lineRule="auto"/>
        <w:rPr>
          <w:sz w:val="20"/>
          <w:szCs w:val="20"/>
          <w:color w:val="auto"/>
        </w:rPr>
      </w:pPr>
      <w:r>
        <w:rPr>
          <w:rFonts w:ascii="Arial" w:cs="Arial" w:eastAsia="Arial" w:hAnsi="Arial"/>
          <w:sz w:val="18"/>
          <w:szCs w:val="18"/>
          <w:color w:val="auto"/>
        </w:rPr>
        <w:t>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264"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Election</w:t>
      </w:r>
      <w:r>
        <w:rPr>
          <w:rFonts w:ascii="Arial" w:cs="Arial" w:eastAsia="Arial" w:hAnsi="Arial"/>
          <w:sz w:val="17"/>
          <w:szCs w:val="17"/>
          <w:color w:val="auto"/>
        </w:rPr>
        <w:t>. The Board of Directors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of the Corporation shall be fixed by the Board of Directors.</w:t>
      </w:r>
    </w:p>
    <w:p>
      <w:pPr>
        <w:spacing w:after="0" w:line="267" w:lineRule="exact"/>
        <w:rPr>
          <w:sz w:val="20"/>
          <w:szCs w:val="20"/>
          <w:color w:val="auto"/>
        </w:rPr>
      </w:pPr>
    </w:p>
    <w:p>
      <w:pPr>
        <w:jc w:val="both"/>
        <w:ind w:firstLine="648"/>
        <w:spacing w:after="0" w:line="417"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Voting Securities Owned by the Corporation</w:t>
      </w:r>
      <w:r>
        <w:rPr>
          <w:rFonts w:ascii="Arial" w:cs="Arial" w:eastAsia="Arial" w:hAnsi="Arial"/>
          <w:sz w:val="16"/>
          <w:szCs w:val="16"/>
          <w:color w:val="auto"/>
        </w:rPr>
        <w:t>. Powers of attorney, proxies, waivers of notice of meeting, consents and other instruments relating to securities owned by the Corporation may be executed in the name of and on behalf of the Corporation by the Chief Executive Officer,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25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Duties of Officers</w:t>
      </w:r>
      <w:r>
        <w:rPr>
          <w:rFonts w:ascii="Arial" w:cs="Arial" w:eastAsia="Arial" w:hAnsi="Arial"/>
          <w:sz w:val="16"/>
          <w:szCs w:val="16"/>
          <w:color w:val="auto"/>
        </w:rPr>
        <w:t>. The duties of the officers of the Corporation shall be as follows:</w:t>
      </w:r>
    </w:p>
    <w:p>
      <w:pPr>
        <w:spacing w:after="0" w:line="200" w:lineRule="exact"/>
        <w:rPr>
          <w:sz w:val="20"/>
          <w:szCs w:val="20"/>
          <w:color w:val="auto"/>
        </w:rPr>
      </w:pPr>
    </w:p>
    <w:p>
      <w:pPr>
        <w:spacing w:after="0" w:line="214" w:lineRule="exact"/>
        <w:rPr>
          <w:sz w:val="20"/>
          <w:szCs w:val="20"/>
          <w:color w:val="auto"/>
        </w:rPr>
      </w:pPr>
    </w:p>
    <w:p>
      <w:pPr>
        <w:jc w:val="both"/>
        <w:ind w:firstLine="656"/>
        <w:spacing w:after="0" w:line="364" w:lineRule="auto"/>
        <w:tabs>
          <w:tab w:leader="none" w:pos="108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subject to the control of the Board of Directors, have general executive charge, management and control of the properties, business and operations of the Corporation with all such powers as may be reasonably incident to such responsibilities; and the Chief Executive Officer may agree upon and execute all leases, contracts, evidences of indebtedness and other obligations in the name of the Corporation and may sign all certificates for shares of capital stock of the Corporation. In the absence or disability of the Chairman of the Board of Directors, or if there is none, the Chief Executive Officer shall preside at all meetings of the stockholders and the Board of Directors. The Chief Executive Officer shall also perform such other duties and may exercise such other powers as from time to time may be assigned to him by these Bylaws or by the Board of Directors.</w:t>
      </w:r>
    </w:p>
    <w:p>
      <w:pPr>
        <w:spacing w:after="0" w:line="287" w:lineRule="exact"/>
        <w:rPr>
          <w:rFonts w:ascii="Arial" w:cs="Arial" w:eastAsia="Arial" w:hAnsi="Arial"/>
          <w:sz w:val="18"/>
          <w:szCs w:val="18"/>
          <w:color w:val="auto"/>
        </w:rPr>
      </w:pPr>
    </w:p>
    <w:p>
      <w:pPr>
        <w:jc w:val="both"/>
        <w:ind w:firstLine="656"/>
        <w:spacing w:after="0" w:line="364" w:lineRule="auto"/>
        <w:tabs>
          <w:tab w:leader="none" w:pos="106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Chairman of the Board of Directors</w:t>
      </w:r>
      <w:r>
        <w:rPr>
          <w:rFonts w:ascii="Arial" w:cs="Arial" w:eastAsia="Arial" w:hAnsi="Arial"/>
          <w:sz w:val="18"/>
          <w:szCs w:val="18"/>
          <w:color w:val="auto"/>
        </w:rPr>
        <w:t>. The Chairman of the Board of Directors, if there is one, shall preside at all meetings of the stockholders and of the Board of Directors. Except where by law the signature of the Chief Executive Officer or the President is required, the Chairman of the Board of Directors shall possess the same power as the Chief Executive Officer or the President to sign all contracts, certificates and other instruments of the Corporation which may be authorized by the Board of Directors. During the absence or disability of the Chief Executive Officer or the President, the Chairman of the Board of Directors shall exercise all the powers and discharge all the duties of the Chief Executive Officer or the President. The Chairman of the Board of Directors shall also perform such other duties and may exercise such other powers as from time to time may be assigned to him by these Bylaws or by the Board of Directors.</w:t>
      </w:r>
    </w:p>
    <w:p>
      <w:pPr>
        <w:spacing w:after="0" w:line="287"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subject to the control of the Board of Directors, the Chief Executive Officer, and,</w:t>
      </w:r>
    </w:p>
    <w:p>
      <w:pPr>
        <w:sectPr>
          <w:pgSz w:w="11900" w:h="16838" w:orient="portrait"/>
          <w:cols w:equalWidth="0" w:num="1">
            <w:col w:w="11420"/>
          </w:cols>
          <w:pgMar w:left="240" w:top="638" w:right="239" w:bottom="1440" w:gutter="0" w:footer="0" w:header="0"/>
        </w:sectPr>
      </w:pPr>
    </w:p>
    <w:bookmarkStart w:id="17" w:name="page18"/>
    <w:bookmarkEnd w:id="17"/>
    <w:p>
      <w:pPr>
        <w:jc w:val="both"/>
        <w:spacing w:after="0" w:line="415" w:lineRule="auto"/>
        <w:rPr>
          <w:sz w:val="20"/>
          <w:szCs w:val="20"/>
          <w:color w:val="auto"/>
        </w:rPr>
      </w:pPr>
      <w:r>
        <w:rPr>
          <w:rFonts w:ascii="Arial" w:cs="Arial" w:eastAsia="Arial" w:hAnsi="Arial"/>
          <w:sz w:val="16"/>
          <w:szCs w:val="16"/>
          <w:color w:val="auto"/>
        </w:rPr>
        <w:t>if there is one, the Chairman of the Board of Directors, have general supervision of the business of the Corporation and shall see that all orders and resolutions of the Board of Directors are carried into effect. 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the Chief Executive Officer, the Chairman of the Board of Directors or the President. In the absence or disability of the Chief Executive Officer and the Chairman of the Board of Directors, or if there is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258" w:lineRule="exact"/>
        <w:rPr>
          <w:sz w:val="20"/>
          <w:szCs w:val="20"/>
          <w:color w:val="auto"/>
        </w:rPr>
      </w:pPr>
    </w:p>
    <w:p>
      <w:pPr>
        <w:jc w:val="both"/>
        <w:ind w:firstLine="656"/>
        <w:spacing w:after="0" w:line="385" w:lineRule="auto"/>
        <w:tabs>
          <w:tab w:leader="none" w:pos="109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the Chief Executive Officer or the President, under whose supervision he shall be. If the Secretary shall be unable or shall refuse to cause to be given notice of all meetings of the stockholders and special meetings of the Board of Directors, and if there is no Assistant Secretary, then either the Board of Directors, the Chief Executive Officer or the President may choose another officer to cause such notice to be given. The Secretary shall have custody of the seal of the Corporation and the Secretary or any Assistant Secretary, if there is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278" w:lineRule="exact"/>
        <w:rPr>
          <w:rFonts w:ascii="Arial" w:cs="Arial" w:eastAsia="Arial" w:hAnsi="Arial"/>
          <w:sz w:val="17"/>
          <w:szCs w:val="17"/>
          <w:color w:val="auto"/>
        </w:rPr>
      </w:pPr>
    </w:p>
    <w:p>
      <w:pPr>
        <w:jc w:val="both"/>
        <w:ind w:firstLine="656"/>
        <w:spacing w:after="0" w:line="395" w:lineRule="auto"/>
        <w:tabs>
          <w:tab w:leader="none" w:pos="106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Assistant Secretaries</w:t>
      </w:r>
      <w:r>
        <w:rPr>
          <w:rFonts w:ascii="Arial" w:cs="Arial" w:eastAsia="Arial" w:hAnsi="Arial"/>
          <w:sz w:val="17"/>
          <w:szCs w:val="17"/>
          <w:color w:val="auto"/>
        </w:rPr>
        <w:t>. Except as may be otherwise provided in these Bylaws, Assistant Secretaries, if there are any, shall perform such duties and have such powers as from time to time may be assigned to them by the Board of Directors, the Chief Executive Officer, the President, any Vice President, if there is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266" w:lineRule="exact"/>
        <w:rPr>
          <w:rFonts w:ascii="Arial" w:cs="Arial" w:eastAsia="Arial" w:hAnsi="Arial"/>
          <w:sz w:val="17"/>
          <w:szCs w:val="17"/>
          <w:color w:val="auto"/>
        </w:rPr>
      </w:pPr>
    </w:p>
    <w:p>
      <w:pPr>
        <w:jc w:val="both"/>
        <w:ind w:firstLine="656"/>
        <w:spacing w:after="0" w:line="415" w:lineRule="auto"/>
        <w:tabs>
          <w:tab w:leader="none" w:pos="100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Chief Financial Officer shall disburse the funds of the Corporation as may be ordered by the Board of Directors, taking proper vouchers for such disbursements, and shall render to the Chief Executive Officer, the Chairman of the Board, the President and the Board of Directors, at its regular meetings or when the Board of Directors so requires, an account of all transactions as Chief Financial Officer and of the financial condition of the Corporation. The Chief Financial Officer shall perform such other duties as may from time to time be prescribed by the Board of Directors, the Chief Executive Officer, the Chairman of the Board or the President.</w:t>
      </w:r>
    </w:p>
    <w:p>
      <w:pPr>
        <w:spacing w:after="0" w:line="257" w:lineRule="exact"/>
        <w:rPr>
          <w:rFonts w:ascii="Arial" w:cs="Arial" w:eastAsia="Arial" w:hAnsi="Arial"/>
          <w:sz w:val="16"/>
          <w:szCs w:val="16"/>
          <w:color w:val="auto"/>
        </w:rPr>
      </w:pPr>
    </w:p>
    <w:p>
      <w:pPr>
        <w:ind w:left="1040" w:hanging="384"/>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Assistant Chief Financial Officer</w:t>
      </w:r>
      <w:r>
        <w:rPr>
          <w:rFonts w:ascii="Arial" w:cs="Arial" w:eastAsia="Arial" w:hAnsi="Arial"/>
          <w:sz w:val="18"/>
          <w:szCs w:val="18"/>
          <w:color w:val="auto"/>
        </w:rPr>
        <w:t>. The Assistant Chief Financial Officer, or if there is more than one, the Assistant</w:t>
      </w:r>
    </w:p>
    <w:p>
      <w:pPr>
        <w:sectPr>
          <w:pgSz w:w="11900" w:h="16838" w:orient="portrait"/>
          <w:cols w:equalWidth="0" w:num="1">
            <w:col w:w="11420"/>
          </w:cols>
          <w:pgMar w:left="240" w:top="638" w:right="239" w:bottom="1440" w:gutter="0" w:footer="0" w:header="0"/>
        </w:sectPr>
      </w:pPr>
    </w:p>
    <w:bookmarkStart w:id="18" w:name="page19"/>
    <w:bookmarkEnd w:id="18"/>
    <w:p>
      <w:pPr>
        <w:jc w:val="both"/>
        <w:spacing w:after="0" w:line="395" w:lineRule="auto"/>
        <w:rPr>
          <w:sz w:val="20"/>
          <w:szCs w:val="20"/>
          <w:color w:val="auto"/>
        </w:rPr>
      </w:pPr>
      <w:r>
        <w:rPr>
          <w:rFonts w:ascii="Arial" w:cs="Arial" w:eastAsia="Arial" w:hAnsi="Arial"/>
          <w:sz w:val="17"/>
          <w:szCs w:val="17"/>
          <w:color w:val="auto"/>
        </w:rPr>
        <w:t>Chief Financial Officers, in the order determined by the Board of Directors (or if there is no such determination, then in the order of their election), shall, in the absence of the Chief Financial Officer or in the event of the Chief Financial Officer's inability or refusal to act, perform the duties and exercise the powers of the Chief Financial Officer and shall perform such other duties and have such other powers as may from time to time be prescribed by the Board of Directors, the Chief Executive Officer, the Chairman of the Board, the President or the Chief Financial Officer.</w:t>
      </w:r>
    </w:p>
    <w:p>
      <w:pPr>
        <w:spacing w:after="0" w:line="266" w:lineRule="exact"/>
        <w:rPr>
          <w:sz w:val="20"/>
          <w:szCs w:val="20"/>
          <w:color w:val="auto"/>
        </w:rPr>
      </w:pPr>
    </w:p>
    <w:p>
      <w:pPr>
        <w:ind w:firstLine="656"/>
        <w:spacing w:after="0" w:line="387" w:lineRule="auto"/>
        <w:tabs>
          <w:tab w:leader="none" w:pos="103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Controller</w:t>
      </w:r>
      <w:r>
        <w:rPr>
          <w:rFonts w:ascii="Arial" w:cs="Arial" w:eastAsia="Arial" w:hAnsi="Arial"/>
          <w:sz w:val="18"/>
          <w:szCs w:val="18"/>
          <w:color w:val="auto"/>
        </w:rPr>
        <w:t>. The Board of Directors may elect a Controller who shall be responsible for all accounting and auditing functions of the Corporation and who shall perform such other duties as may from time to time be required of him by the Board of Directors.</w:t>
      </w:r>
    </w:p>
    <w:p>
      <w:pPr>
        <w:spacing w:after="0" w:line="264" w:lineRule="exact"/>
        <w:rPr>
          <w:rFonts w:ascii="Arial" w:cs="Arial" w:eastAsia="Arial" w:hAnsi="Arial"/>
          <w:sz w:val="18"/>
          <w:szCs w:val="18"/>
          <w:color w:val="auto"/>
        </w:rPr>
      </w:pPr>
    </w:p>
    <w:p>
      <w:pPr>
        <w:jc w:val="both"/>
        <w:ind w:firstLine="656"/>
        <w:spacing w:after="0" w:line="386" w:lineRule="auto"/>
        <w:tabs>
          <w:tab w:leader="none" w:pos="99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Treasurer</w:t>
      </w:r>
      <w:r>
        <w:rPr>
          <w:rFonts w:ascii="Arial" w:cs="Arial" w:eastAsia="Arial" w:hAnsi="Arial"/>
          <w:sz w:val="17"/>
          <w:szCs w:val="17"/>
          <w:color w:val="auto"/>
        </w:rPr>
        <w:t>. The Treasurer, if there is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76" w:lineRule="exact"/>
        <w:rPr>
          <w:rFonts w:ascii="Arial" w:cs="Arial" w:eastAsia="Arial" w:hAnsi="Arial"/>
          <w:sz w:val="17"/>
          <w:szCs w:val="17"/>
          <w:color w:val="auto"/>
        </w:rPr>
      </w:pPr>
    </w:p>
    <w:p>
      <w:pPr>
        <w:jc w:val="both"/>
        <w:ind w:firstLine="656"/>
        <w:spacing w:after="0" w:line="388" w:lineRule="auto"/>
        <w:tabs>
          <w:tab w:leader="none" w:pos="109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Assistant Treasurers</w:t>
      </w:r>
      <w:r>
        <w:rPr>
          <w:rFonts w:ascii="Arial" w:cs="Arial" w:eastAsia="Arial" w:hAnsi="Arial"/>
          <w:sz w:val="17"/>
          <w:szCs w:val="17"/>
          <w:color w:val="auto"/>
        </w:rPr>
        <w:t>. Assistant Treasurers, if there are any, shall perform such duties and have such powers as from time to time may be assigned to them by the Board of Directors, the Chief Executive Officer, the President, any Vice President, or the Treasurer, if there is one,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72" w:lineRule="exact"/>
        <w:rPr>
          <w:rFonts w:ascii="Arial" w:cs="Arial" w:eastAsia="Arial" w:hAnsi="Arial"/>
          <w:sz w:val="17"/>
          <w:szCs w:val="17"/>
          <w:color w:val="auto"/>
        </w:rPr>
      </w:pPr>
    </w:p>
    <w:p>
      <w:pPr>
        <w:jc w:val="both"/>
        <w:ind w:firstLine="656"/>
        <w:spacing w:after="0" w:line="388" w:lineRule="auto"/>
        <w:tabs>
          <w:tab w:leader="none" w:pos="110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Vice Presidents</w:t>
      </w:r>
      <w:r>
        <w:rPr>
          <w:rFonts w:ascii="Arial" w:cs="Arial" w:eastAsia="Arial" w:hAnsi="Arial"/>
          <w:sz w:val="17"/>
          <w:szCs w:val="17"/>
          <w:color w:val="auto"/>
        </w:rPr>
        <w:t>. At the request of the President or in his absence or in the event of his inability or refusal to act (and if there is no Chief Executive Officer or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is no Chief Executive Officer,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272" w:lineRule="exact"/>
        <w:rPr>
          <w:rFonts w:ascii="Arial" w:cs="Arial" w:eastAsia="Arial" w:hAnsi="Arial"/>
          <w:sz w:val="17"/>
          <w:szCs w:val="17"/>
          <w:color w:val="auto"/>
        </w:rPr>
      </w:pPr>
    </w:p>
    <w:p>
      <w:pPr>
        <w:ind w:firstLine="656"/>
        <w:spacing w:after="0" w:line="387" w:lineRule="auto"/>
        <w:tabs>
          <w:tab w:leader="none" w:pos="101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of Directors may choose shall perform such duties and have such powers as from time to time may be assigned to them by the Board of Directors. The Board of Directors may delegate to any</w:t>
      </w:r>
    </w:p>
    <w:p>
      <w:pPr>
        <w:sectPr>
          <w:pgSz w:w="11900" w:h="16838" w:orient="portrait"/>
          <w:cols w:equalWidth="0" w:num="1">
            <w:col w:w="11420"/>
          </w:cols>
          <w:pgMar w:left="240" w:top="63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other officer of the Corporation the power to choose such other officers and to prescribe their respective duties and powers.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Form of Certificates</w:t>
      </w:r>
      <w:r>
        <w:rPr>
          <w:rFonts w:ascii="Arial" w:cs="Arial" w:eastAsia="Arial" w:hAnsi="Arial"/>
          <w:sz w:val="18"/>
          <w:szCs w:val="18"/>
          <w:color w:val="auto"/>
        </w:rPr>
        <w:t>. Every holder of stock in the Corporation shall be entitled to have a certificate or certificates duly numbered, certifying the number and class of shares in the Corporation owned by him, in such form as may be prescribed by the Board of Directors. Each such certificate shall be signed in the name of the Corporation by the Chief Executive Officer, the Chairman of the Board, the President or a Vice President, and by the Secretary or an Assistant Secretary or the Treasurer or an Assistant Treasurer.</w:t>
      </w:r>
    </w:p>
    <w:p>
      <w:pPr>
        <w:spacing w:after="0" w:line="280"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Signatures</w:t>
      </w:r>
      <w:r>
        <w:rPr>
          <w:rFonts w:ascii="Arial" w:cs="Arial" w:eastAsia="Arial" w:hAnsi="Arial"/>
          <w:sz w:val="17"/>
          <w:szCs w:val="17"/>
          <w:color w:val="auto"/>
        </w:rPr>
        <w:t>. Where a certificate is countersigned by (a) a transfer agent other than the Corporation or its employee, or (b)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66" w:lineRule="exact"/>
        <w:rPr>
          <w:sz w:val="20"/>
          <w:szCs w:val="20"/>
          <w:color w:val="auto"/>
        </w:rPr>
      </w:pPr>
    </w:p>
    <w:p>
      <w:pPr>
        <w:jc w:val="both"/>
        <w:ind w:firstLine="648"/>
        <w:spacing w:after="0" w:line="389"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273"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Transfers</w:t>
      </w:r>
      <w:r>
        <w:rPr>
          <w:rFonts w:ascii="Arial" w:cs="Arial" w:eastAsia="Arial" w:hAnsi="Arial"/>
          <w:sz w:val="18"/>
          <w:szCs w:val="18"/>
          <w:color w:val="auto"/>
        </w:rPr>
        <w:t>.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canceled before a new certificate shall be issued.</w:t>
      </w:r>
    </w:p>
    <w:p>
      <w:pPr>
        <w:spacing w:after="0" w:line="277"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87"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Beneficial Owners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w:t>
      </w:r>
    </w:p>
    <w:p>
      <w:pPr>
        <w:sectPr>
          <w:pgSz w:w="11900" w:h="16838" w:orient="portrait"/>
          <w:cols w:equalWidth="0" w:num="1">
            <w:col w:w="11420"/>
          </w:cols>
          <w:pgMar w:left="240" w:top="638" w:right="239" w:bottom="1440" w:gutter="0" w:footer="0" w:header="0"/>
        </w:sectPr>
      </w:pPr>
    </w:p>
    <w:bookmarkStart w:id="20" w:name="page21"/>
    <w:bookmarkEnd w:id="20"/>
    <w:p>
      <w:pPr>
        <w:jc w:val="both"/>
        <w:ind w:right="20"/>
        <w:spacing w:after="0" w:line="424" w:lineRule="auto"/>
        <w:rPr>
          <w:sz w:val="20"/>
          <w:szCs w:val="20"/>
          <w:color w:val="auto"/>
        </w:rPr>
      </w:pPr>
      <w:r>
        <w:rPr>
          <w:rFonts w:ascii="Arial" w:cs="Arial" w:eastAsia="Arial" w:hAnsi="Arial"/>
          <w:sz w:val="17"/>
          <w:szCs w:val="17"/>
          <w:color w:val="auto"/>
        </w:rPr>
        <w:t>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Notices</w:t>
      </w:r>
      <w:r>
        <w:rPr>
          <w:rFonts w:ascii="Arial" w:cs="Arial" w:eastAsia="Arial" w:hAnsi="Arial"/>
          <w:sz w:val="17"/>
          <w:szCs w:val="17"/>
          <w:color w:val="auto"/>
        </w:rPr>
        <w:t>.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transmitted via facsimile.</w:t>
      </w:r>
    </w:p>
    <w:p>
      <w:pPr>
        <w:spacing w:after="0" w:line="266"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Waivers of Notice</w:t>
      </w:r>
      <w:r>
        <w:rPr>
          <w:rFonts w:ascii="Arial" w:cs="Arial" w:eastAsia="Arial" w:hAnsi="Arial"/>
          <w:sz w:val="18"/>
          <w:szCs w:val="18"/>
          <w:color w:val="auto"/>
        </w:rPr>
        <w:t>. Whenever any notice is required by law, the Certificate of Incorporation or these Bylaws to be given to any director, member of a committee or stockholder, a waiver thereof in writing, signed by the person or persons entitled to such notice, whether before or after the time stated therein, shall be deemed equivalent thereto.</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92"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Dividends</w:t>
      </w:r>
      <w:r>
        <w:rPr>
          <w:rFonts w:ascii="Arial" w:cs="Arial" w:eastAsia="Arial" w:hAnsi="Arial"/>
          <w:sz w:val="17"/>
          <w:szCs w:val="17"/>
          <w:color w:val="auto"/>
        </w:rPr>
        <w:t>.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267"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Disbursements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26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424"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Corporate Seal</w:t>
      </w:r>
      <w:r>
        <w:rPr>
          <w:rFonts w:ascii="Arial" w:cs="Arial" w:eastAsia="Arial" w:hAnsi="Arial"/>
          <w:sz w:val="17"/>
          <w:szCs w:val="17"/>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Power to Indemnify in Actions, Suits or Proceedings Other Than Those by or in the Right of the Corporation</w:t>
      </w:r>
      <w:r>
        <w:rPr>
          <w:rFonts w:ascii="Arial" w:cs="Arial" w:eastAsia="Arial" w:hAnsi="Arial"/>
          <w:sz w:val="18"/>
          <w:szCs w:val="18"/>
          <w:color w:val="auto"/>
        </w:rPr>
        <w:t>. Subject to Section 8.3 hereof, the Corporation shall indemnify any person who was or is a party or is threatened to</w:t>
      </w:r>
    </w:p>
    <w:p>
      <w:pPr>
        <w:sectPr>
          <w:pgSz w:w="11900" w:h="16838" w:orient="portrait"/>
          <w:cols w:equalWidth="0" w:num="1">
            <w:col w:w="11420"/>
          </w:cols>
          <w:pgMar w:left="240" w:top="638" w:right="239" w:bottom="1440" w:gutter="0" w:footer="0" w:header="0"/>
        </w:sectPr>
      </w:pPr>
    </w:p>
    <w:bookmarkStart w:id="21" w:name="page22"/>
    <w:bookmarkEnd w:id="21"/>
    <w:p>
      <w:pPr>
        <w:jc w:val="both"/>
        <w:spacing w:after="0" w:line="412" w:lineRule="auto"/>
        <w:rPr>
          <w:sz w:val="20"/>
          <w:szCs w:val="20"/>
          <w:color w:val="auto"/>
        </w:rPr>
      </w:pPr>
      <w:r>
        <w:rPr>
          <w:rFonts w:ascii="Arial" w:cs="Arial" w:eastAsia="Arial" w:hAnsi="Arial"/>
          <w:sz w:val="16"/>
          <w:szCs w:val="16"/>
          <w:color w:val="auto"/>
        </w:rPr>
        <w:t>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64"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Power to Indemnify in Actions, Suits or Proceedings by or in the Right of the Corporation</w:t>
      </w:r>
      <w:r>
        <w:rPr>
          <w:rFonts w:ascii="Arial" w:cs="Arial" w:eastAsia="Arial" w:hAnsi="Arial"/>
          <w:sz w:val="17"/>
          <w:szCs w:val="17"/>
          <w:color w:val="auto"/>
        </w:rPr>
        <w:t>. Subject to Section 8.3 hereof,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73"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Authorization of Indemnification</w:t>
      </w:r>
      <w:r>
        <w:rPr>
          <w:rFonts w:ascii="Arial" w:cs="Arial" w:eastAsia="Arial" w:hAnsi="Arial"/>
          <w:sz w:val="17"/>
          <w:szCs w:val="17"/>
          <w:color w:val="auto"/>
        </w:rPr>
        <w:t>. Any indemnification under this Article VIII (unless ordered by a court) shall be made by the Corporation only as authorized in the specific case upon a determination that indemnification of the director or officer is proper in the circumstances because he has met the applicable standard of conduct set forth in Section 8.1 or Section 8.2 hereof, as the case may be. Such determination shall be made (a) by a majority vote of the directors who are not parties to such action, suit or proceeding, even though less than a quorum, or (b) if there are no such directors, or if such directors so direct, by independent legal counsel in a written opinion, or (c) by the stockholders. To the extent, however, that a director or officer of the Corporation has been successful on the merits or otherwise in defense of any action, suit or proceeding described above or in defense of any claim, issue or matter therein, he shall be indemnified against expenses (including attorneys' fees) actually and reasonably incurred by him in connection therewith, without the necessity of authorization in the specific case.</w:t>
      </w:r>
    </w:p>
    <w:p>
      <w:pPr>
        <w:spacing w:after="0" w:line="274" w:lineRule="exact"/>
        <w:rPr>
          <w:sz w:val="20"/>
          <w:szCs w:val="20"/>
          <w:color w:val="auto"/>
        </w:rPr>
      </w:pPr>
    </w:p>
    <w:p>
      <w:pPr>
        <w:jc w:val="both"/>
        <w:ind w:firstLine="648"/>
        <w:spacing w:after="0" w:line="420"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Good Faith Defined</w:t>
      </w:r>
      <w:r>
        <w:rPr>
          <w:rFonts w:ascii="Arial" w:cs="Arial" w:eastAsia="Arial" w:hAnsi="Arial"/>
          <w:sz w:val="16"/>
          <w:szCs w:val="16"/>
          <w:color w:val="auto"/>
        </w:rPr>
        <w:t>. For purposes of any determination under Section 8.1 or 8.2 hereof, a person shall be deemed to have acted in good faith and in a manner he reasonably believed to be in or not opposed to the best interests of the Corporation, or, with respect to any criminal action or proceeding, to have had no reasonable cause to believe his conduct was unlawful, if his action is based on the records or books of account of the Corporation or another enterprise, or on information supplied to him by the officers of the Corporation or another enterprise in the course of their duties, or on the advice of legal counsel for the Corporation or another enterprise or on information or records given or reports made to the Corporation or another</w:t>
      </w:r>
    </w:p>
    <w:p>
      <w:pPr>
        <w:sectPr>
          <w:pgSz w:w="11900" w:h="16838" w:orient="portrait"/>
          <w:cols w:equalWidth="0" w:num="1">
            <w:col w:w="11420"/>
          </w:cols>
          <w:pgMar w:left="240" w:top="638" w:right="239" w:bottom="1440" w:gutter="0" w:footer="0" w:header="0"/>
        </w:sectPr>
      </w:pPr>
    </w:p>
    <w:bookmarkStart w:id="22" w:name="page23"/>
    <w:bookmarkEnd w:id="22"/>
    <w:p>
      <w:pPr>
        <w:jc w:val="both"/>
        <w:spacing w:after="0" w:line="366" w:lineRule="auto"/>
        <w:rPr>
          <w:sz w:val="20"/>
          <w:szCs w:val="20"/>
          <w:color w:val="auto"/>
        </w:rPr>
      </w:pPr>
      <w:r>
        <w:rPr>
          <w:rFonts w:ascii="Arial" w:cs="Arial" w:eastAsia="Arial" w:hAnsi="Arial"/>
          <w:sz w:val="18"/>
          <w:szCs w:val="18"/>
          <w:color w:val="auto"/>
        </w:rPr>
        <w:t>enterprise by an independent certified public accountant or by an appraiser or other expert selected with reasonable care by the Corporation or another enterprise. The term “another enterprise” as used in this Section 8.4 shall mean any other corporation or any partnership, joint venture, trust, employee benefit plan or other enterprise of which such person is or was serving at the request of the Corporation as a director, officer, employee or agent. The provisions of this Section 8.4 shall not be deemed to be exclusive or to limit in any way the circumstances in which a person may be deemed to have met the applicable standard of conduct set forth in Section 8.1 or 8.2 hereof, as the case may be.</w:t>
      </w:r>
    </w:p>
    <w:p>
      <w:pPr>
        <w:spacing w:after="0" w:line="285" w:lineRule="exact"/>
        <w:rPr>
          <w:sz w:val="20"/>
          <w:szCs w:val="20"/>
          <w:color w:val="auto"/>
        </w:rPr>
      </w:pPr>
    </w:p>
    <w:p>
      <w:pPr>
        <w:jc w:val="both"/>
        <w:ind w:firstLine="648"/>
        <w:spacing w:after="0" w:line="363"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Indemnification by a Court</w:t>
      </w:r>
      <w:r>
        <w:rPr>
          <w:rFonts w:ascii="Arial" w:cs="Arial" w:eastAsia="Arial" w:hAnsi="Arial"/>
          <w:sz w:val="18"/>
          <w:szCs w:val="18"/>
          <w:color w:val="auto"/>
        </w:rPr>
        <w:t>. Notwithstanding any contrary determination made in any specific case under Section 8.3 hereof, and notwithstanding the absence of any determination made thereunder, any director or officer may apply to any court of competent jurisdiction in the State of Delaware for indemnification to the extent otherwise permissible under Sections 8.l and 8.2 hereof. The basis of such indemnification by a court shall be a determination by such court that indemnification of the director or officer is proper in the circumstances because he has met the applicable standards of conduct set forth in Section 8.1 or 8.2 hereof. Neither a contrary determination in the specific case under Section 8.3 hereof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8.5 shall be given to the Corporation promptly upon the filing of such application. If successful, in whole or in part, the director or officer seeking indemnification shall also be entitled to be paid the expense of prosecuting such application.</w:t>
      </w:r>
    </w:p>
    <w:p>
      <w:pPr>
        <w:spacing w:after="0" w:line="289"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Expenses Payable in Advance</w:t>
      </w:r>
      <w:r>
        <w:rPr>
          <w:rFonts w:ascii="Arial" w:cs="Arial" w:eastAsia="Arial" w:hAnsi="Arial"/>
          <w:sz w:val="18"/>
          <w:szCs w:val="18"/>
          <w:color w:val="auto"/>
        </w:rPr>
        <w:t>. Expenses incurred by a director or officer in defending or investigating a threatened or pending action, suit or proceeding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Article VIII.</w:t>
      </w:r>
    </w:p>
    <w:p>
      <w:pPr>
        <w:spacing w:after="0" w:line="280"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Nonexclusivity of Indemnification and Advancement of Expenses</w:t>
      </w:r>
      <w:r>
        <w:rPr>
          <w:rFonts w:ascii="Arial" w:cs="Arial" w:eastAsia="Arial" w:hAnsi="Arial"/>
          <w:sz w:val="18"/>
          <w:szCs w:val="18"/>
          <w:color w:val="auto"/>
        </w:rPr>
        <w:t>. The indemnification and advancement of expenses provided by or granted pursuant to this Article VIII shall not be deemed exclusive of any other rights to which any person seeking indemnification or advancement of expenses may be entitled under any Bylaw, agreement, contract, vote of stockholders or disinterested directors or pursuant to the direction (howsoever embodied) of any court of competent jurisdiction or otherwise, both as to action in his official capacity and as to action in another capacity while holding such office, it being the policy of the Corporation that indemnification of the persons specified in Sections 8.1 and 8.2 hereof shall be made to the fullest extent permitted by law. The provisions of this Article VIII shall not be deemed to preclude the indemnification of any person who is not specified in Section 8.1 or 8.2 but whom the Corporation has the power or obligation to indemnify under the provisions of the General Corporation Law of the State of Delaware (the “DGCL”) or otherwise.</w:t>
      </w:r>
    </w:p>
    <w:p>
      <w:pPr>
        <w:spacing w:after="0" w:line="284"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employee benefit plan or other enterprise, against any liability asserted against him and incurred by him in any such capacity, or arising out of his status as such, whether or not the Corporation would have the power or the obligation to indemnify him against such liability under the provisions of this Article VIII.</w:t>
      </w:r>
    </w:p>
    <w:p>
      <w:pPr>
        <w:spacing w:after="0" w:line="28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8.9</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Article VIII, references to “the Corporation” shall include, in</w:t>
      </w:r>
    </w:p>
    <w:p>
      <w:pPr>
        <w:sectPr>
          <w:pgSz w:w="11900" w:h="16838" w:orient="portrait"/>
          <w:cols w:equalWidth="0" w:num="1">
            <w:col w:w="11420"/>
          </w:cols>
          <w:pgMar w:left="240" w:top="638" w:right="239" w:bottom="1440" w:gutter="0" w:footer="0" w:header="0"/>
        </w:sectPr>
      </w:pPr>
    </w:p>
    <w:bookmarkStart w:id="23" w:name="page24"/>
    <w:bookmarkEnd w:id="23"/>
    <w:p>
      <w:pPr>
        <w:jc w:val="both"/>
        <w:spacing w:after="0" w:line="385" w:lineRule="auto"/>
        <w:rPr>
          <w:sz w:val="20"/>
          <w:szCs w:val="20"/>
          <w:color w:val="auto"/>
        </w:rPr>
      </w:pPr>
      <w:r>
        <w:rPr>
          <w:rFonts w:ascii="Arial" w:cs="Arial" w:eastAsia="Arial" w:hAnsi="Arial"/>
          <w:sz w:val="17"/>
          <w:szCs w:val="17"/>
          <w:color w:val="auto"/>
        </w:rPr>
        <w:t>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VIII with respect to the resulting or surviving corporation as he would have with respect to such constituent corporation if its separate existence had continued. For purposes of this Article VIII,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VIII.</w:t>
      </w:r>
    </w:p>
    <w:p>
      <w:pPr>
        <w:spacing w:after="0" w:line="278"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277"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Limitation on Indemnification</w:t>
      </w:r>
      <w:r>
        <w:rPr>
          <w:rFonts w:ascii="Arial" w:cs="Arial" w:eastAsia="Arial" w:hAnsi="Arial"/>
          <w:sz w:val="18"/>
          <w:szCs w:val="18"/>
          <w:color w:val="auto"/>
        </w:rPr>
        <w:t>. Notwithstanding anything contained in this Article VIII to the contrary, except for proceedings to enforce rights to indemnification (which shall be governed by Section 8.5 hereof),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280"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7"/>
          <w:szCs w:val="17"/>
          <w:color w:val="auto"/>
        </w:rPr>
        <w:t>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All such amendments must be approved by either the holders of outstanding capital stock or by a majority of the Board of Directors then in office, in each case, in accordance with the Certificate of Incorporation and applicable law.</w:t>
      </w:r>
    </w:p>
    <w:p>
      <w:pPr>
        <w:sectPr>
          <w:pgSz w:w="11900" w:h="16838" w:orient="portrait"/>
          <w:cols w:equalWidth="0" w:num="1">
            <w:col w:w="11420"/>
          </w:cols>
          <w:pgMar w:left="240" w:top="638" w:right="239" w:bottom="1440" w:gutter="0" w:footer="0" w:header="0"/>
        </w:sectPr>
      </w:pPr>
    </w:p>
    <w:bookmarkStart w:id="24" w:name="page25"/>
    <w:bookmarkEnd w:id="24"/>
    <w:p>
      <w:pPr>
        <w:ind w:left="5220"/>
        <w:spacing w:after="0"/>
        <w:rPr>
          <w:sz w:val="20"/>
          <w:szCs w:val="20"/>
          <w:color w:val="auto"/>
        </w:rPr>
      </w:pPr>
      <w:r>
        <w:rPr>
          <w:rFonts w:ascii="Arial" w:cs="Arial" w:eastAsia="Arial" w:hAnsi="Arial"/>
          <w:sz w:val="18"/>
          <w:szCs w:val="18"/>
          <w:b w:val="1"/>
          <w:bCs w:val="1"/>
          <w:color w:val="auto"/>
        </w:rPr>
        <w:t>ARTICLE X</w:t>
      </w:r>
    </w:p>
    <w:p>
      <w:pPr>
        <w:spacing w:after="0" w:line="108"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CONFLICTS</w:t>
      </w:r>
    </w:p>
    <w:p>
      <w:pPr>
        <w:spacing w:after="0" w:line="200" w:lineRule="exact"/>
        <w:rPr>
          <w:sz w:val="20"/>
          <w:szCs w:val="20"/>
          <w:color w:val="auto"/>
        </w:rPr>
      </w:pPr>
    </w:p>
    <w:p>
      <w:pPr>
        <w:spacing w:after="0" w:line="214"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If there is a conflict between the provisions of these Bylaws and the provisions of the Certificate of Incorporation or the mandatory provisions of the DGCL, such provision or provisions of the Certificate of Incorporation and the DGCL, as the case may be, will be controlling.</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3"/>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1)"/>
      <w:numFmt w:val="lowerLetter"/>
      <w:start w:val="61"/>
    </w:lvl>
    <w:lvl w:ilvl="1">
      <w:lvlJc w:val="left"/>
      <w:lvlText w:val="(%2)"/>
      <w:numFmt w:val="lowerLetter"/>
      <w:start w:val="5"/>
    </w:lvl>
  </w:abstractNum>
  <w:abstractNum w:abstractNumId="5">
    <w:nsid w:val="216231B"/>
    <w:multiLevelType w:val="hybridMultilevel"/>
    <w:lvl w:ilvl="0">
      <w:lvlJc w:val="left"/>
      <w:lvlText w:val="(%1)"/>
      <w:numFmt w:val="lowerRoman"/>
      <w:start w:val="1"/>
    </w:lvl>
  </w:abstractNum>
  <w:abstractNum w:abstractNumId="6">
    <w:nsid w:val="1F16E9E8"/>
    <w:multiLevelType w:val="hybridMultilevel"/>
    <w:lvl w:ilvl="0">
      <w:lvlJc w:val="left"/>
      <w:lvlText w:val="(%1)"/>
      <w:numFmt w:val="lowerRoman"/>
      <w:start w:val="3"/>
    </w:lvl>
  </w:abstractNum>
  <w:abstractNum w:abstractNumId="7">
    <w:nsid w:val="1190CDE7"/>
    <w:multiLevelType w:val="hybridMultilevel"/>
    <w:lvl w:ilvl="0">
      <w:lvlJc w:val="left"/>
      <w:lvlText w:val="(%1)"/>
      <w:numFmt w:val="lowerRoman"/>
      <w:start w:val="6"/>
    </w:lvl>
  </w:abstractNum>
  <w:abstractNum w:abstractNumId="8">
    <w:nsid w:val="66EF438D"/>
    <w:multiLevelType w:val="hybridMultilevel"/>
    <w:lvl w:ilvl="0">
      <w:lvlJc w:val="left"/>
      <w:lvlText w:val="(%1)"/>
      <w:numFmt w:val="lowerRoman"/>
      <w:start w:val="7"/>
    </w:lvl>
  </w:abstractNum>
  <w:abstractNum w:abstractNumId="9">
    <w:nsid w:val="140E0F76"/>
    <w:multiLevelType w:val="hybridMultilevel"/>
    <w:lvl w:ilvl="0">
      <w:lvlJc w:val="left"/>
      <w:lvlText w:val="(%1)"/>
      <w:numFmt w:val="lowerRoman"/>
      <w:start w:val="9"/>
    </w:lvl>
  </w:abstractNum>
  <w:abstractNum w:abstractNumId="10">
    <w:nsid w:val="3352255A"/>
    <w:multiLevelType w:val="hybridMultilevel"/>
    <w:lvl w:ilvl="0">
      <w:lvlJc w:val="left"/>
      <w:lvlText w:val="(%1)"/>
      <w:numFmt w:val="lowerRoman"/>
      <w:start w:val="12"/>
    </w:lvl>
  </w:abstractNum>
  <w:abstractNum w:abstractNumId="11">
    <w:nsid w:val="109CF92E"/>
    <w:multiLevelType w:val="hybridMultilevel"/>
    <w:lvl w:ilvl="0">
      <w:lvlJc w:val="left"/>
      <w:lvlText w:val="(%1)"/>
      <w:numFmt w:val="lowerLetter"/>
      <w:start w:val="6"/>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4"/>
    </w:lvl>
  </w:abstractNum>
  <w:abstractNum w:abstractNumId="14">
    <w:nsid w:val="1BEFD79F"/>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2019-12-07T01:08:39Z</dcterms:created>
  <dcterms:modified xsi:type="dcterms:W3CDTF">2019-12-07T01:08:39Z</dcterms:modified>
</cp:coreProperties>
</file>