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300" w:right="60" w:hanging="724"/>
        <w:spacing w:after="0" w:line="25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300" w:right="480" w:hanging="709"/>
        <w:spacing w:after="0" w:line="25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1-32630</w:t>
      </w:r>
    </w:p>
    <w:p>
      <w:pPr>
        <w:spacing w:after="0" w:line="76"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_________________________________</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Fidelity National Financial, Inc.</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7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4880" w:type="dxa"/>
            <w:vAlign w:val="bottom"/>
          </w:tcPr>
          <w:p>
            <w:pPr>
              <w:jc w:val="center"/>
              <w:ind w:right="1277"/>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right"/>
              <w:ind w:right="501"/>
              <w:spacing w:after="0"/>
              <w:rPr>
                <w:sz w:val="20"/>
                <w:szCs w:val="20"/>
                <w:color w:val="auto"/>
              </w:rPr>
            </w:pPr>
            <w:r>
              <w:rPr>
                <w:rFonts w:ascii="Arial" w:cs="Arial" w:eastAsia="Arial" w:hAnsi="Arial"/>
                <w:sz w:val="18"/>
                <w:szCs w:val="18"/>
                <w:b w:val="1"/>
                <w:bCs w:val="1"/>
                <w:color w:val="auto"/>
              </w:rPr>
              <w:t>16-1725106</w:t>
            </w:r>
          </w:p>
        </w:tc>
      </w:tr>
      <w:tr>
        <w:trPr>
          <w:trHeight w:val="218"/>
        </w:trPr>
        <w:tc>
          <w:tcPr>
            <w:tcW w:w="4880" w:type="dxa"/>
            <w:vAlign w:val="bottom"/>
          </w:tcPr>
          <w:p>
            <w:pPr>
              <w:jc w:val="center"/>
              <w:ind w:right="1297"/>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440" w:type="dxa"/>
            <w:vAlign w:val="bottom"/>
          </w:tcPr>
          <w:p>
            <w:pPr>
              <w:jc w:val="center"/>
              <w:ind w:left="13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74"/>
        </w:trPr>
        <w:tc>
          <w:tcPr>
            <w:tcW w:w="4880" w:type="dxa"/>
            <w:vAlign w:val="bottom"/>
          </w:tcPr>
          <w:p>
            <w:pPr>
              <w:jc w:val="center"/>
              <w:ind w:right="1297"/>
              <w:spacing w:after="0"/>
              <w:rPr>
                <w:sz w:val="20"/>
                <w:szCs w:val="20"/>
                <w:color w:val="auto"/>
              </w:rPr>
            </w:pPr>
            <w:r>
              <w:rPr>
                <w:rFonts w:ascii="Arial" w:cs="Arial" w:eastAsia="Arial" w:hAnsi="Arial"/>
                <w:sz w:val="18"/>
                <w:szCs w:val="18"/>
                <w:b w:val="1"/>
                <w:bCs w:val="1"/>
                <w:color w:val="auto"/>
                <w:w w:val="89"/>
              </w:rPr>
              <w:t>601 Riverside Avenue</w:t>
            </w:r>
          </w:p>
        </w:tc>
        <w:tc>
          <w:tcPr>
            <w:tcW w:w="3440" w:type="dxa"/>
            <w:vAlign w:val="bottom"/>
          </w:tcPr>
          <w:p>
            <w:pPr>
              <w:jc w:val="right"/>
              <w:ind w:right="381"/>
              <w:spacing w:after="0"/>
              <w:rPr>
                <w:sz w:val="20"/>
                <w:szCs w:val="20"/>
                <w:color w:val="auto"/>
              </w:rPr>
            </w:pPr>
            <w:r>
              <w:rPr>
                <w:rFonts w:ascii="Arial" w:cs="Arial" w:eastAsia="Arial" w:hAnsi="Arial"/>
                <w:sz w:val="18"/>
                <w:szCs w:val="18"/>
                <w:b w:val="1"/>
                <w:bCs w:val="1"/>
                <w:color w:val="auto"/>
              </w:rPr>
              <w:t>(904) 854-8100</w:t>
            </w:r>
          </w:p>
        </w:tc>
      </w:tr>
      <w:tr>
        <w:trPr>
          <w:trHeight w:val="234"/>
        </w:trPr>
        <w:tc>
          <w:tcPr>
            <w:tcW w:w="4880" w:type="dxa"/>
            <w:vAlign w:val="bottom"/>
          </w:tcPr>
          <w:p>
            <w:pPr>
              <w:jc w:val="center"/>
              <w:ind w:right="1297"/>
              <w:spacing w:after="0"/>
              <w:rPr>
                <w:sz w:val="20"/>
                <w:szCs w:val="20"/>
                <w:color w:val="auto"/>
              </w:rPr>
            </w:pPr>
            <w:r>
              <w:rPr>
                <w:rFonts w:ascii="Arial" w:cs="Arial" w:eastAsia="Arial" w:hAnsi="Arial"/>
                <w:sz w:val="18"/>
                <w:szCs w:val="18"/>
                <w:b w:val="1"/>
                <w:bCs w:val="1"/>
                <w:color w:val="auto"/>
                <w:w w:val="90"/>
              </w:rPr>
              <w:t>Jacksonville, Florida 32204</w:t>
            </w:r>
          </w:p>
        </w:tc>
        <w:tc>
          <w:tcPr>
            <w:tcW w:w="3440" w:type="dxa"/>
            <w:vAlign w:val="bottom"/>
          </w:tcPr>
          <w:p>
            <w:pPr>
              <w:ind w:left="1520"/>
              <w:spacing w:after="0"/>
              <w:rPr>
                <w:sz w:val="20"/>
                <w:szCs w:val="20"/>
                <w:color w:val="auto"/>
              </w:rPr>
            </w:pPr>
            <w:r>
              <w:rPr>
                <w:rFonts w:ascii="Arial" w:cs="Arial" w:eastAsia="Arial" w:hAnsi="Arial"/>
                <w:sz w:val="14"/>
                <w:szCs w:val="14"/>
                <w:i w:val="1"/>
                <w:iCs w:val="1"/>
                <w:color w:val="auto"/>
                <w:w w:val="95"/>
              </w:rPr>
              <w:t>(Registrant’s telephone number,</w:t>
            </w:r>
          </w:p>
        </w:tc>
      </w:tr>
      <w:tr>
        <w:trPr>
          <w:trHeight w:val="204"/>
        </w:trPr>
        <w:tc>
          <w:tcPr>
            <w:tcW w:w="4880" w:type="dxa"/>
            <w:vAlign w:val="bottom"/>
          </w:tcPr>
          <w:p>
            <w:pPr>
              <w:jc w:val="center"/>
              <w:ind w:right="1257"/>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440" w:type="dxa"/>
            <w:vAlign w:val="bottom"/>
          </w:tcPr>
          <w:p>
            <w:pPr>
              <w:jc w:val="center"/>
              <w:ind w:left="1281"/>
              <w:spacing w:after="0"/>
              <w:rPr>
                <w:sz w:val="20"/>
                <w:szCs w:val="20"/>
                <w:color w:val="auto"/>
              </w:rPr>
            </w:pPr>
            <w:r>
              <w:rPr>
                <w:rFonts w:ascii="Arial" w:cs="Arial" w:eastAsia="Arial" w:hAnsi="Arial"/>
                <w:sz w:val="14"/>
                <w:szCs w:val="14"/>
                <w:i w:val="1"/>
                <w:iCs w:val="1"/>
                <w:color w:val="auto"/>
                <w:w w:val="95"/>
              </w:rPr>
              <w:t>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0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Common Stock, $0.0001 par value</w:t>
            </w:r>
          </w:p>
        </w:tc>
        <w:tc>
          <w:tcPr>
            <w:tcW w:w="1360" w:type="dxa"/>
            <w:vAlign w:val="bottom"/>
          </w:tcPr>
          <w:p>
            <w:pPr>
              <w:spacing w:after="0"/>
              <w:rPr>
                <w:sz w:val="24"/>
                <w:szCs w:val="24"/>
                <w:color w:val="auto"/>
              </w:rPr>
            </w:pPr>
          </w:p>
        </w:tc>
        <w:tc>
          <w:tcPr>
            <w:tcW w:w="2720" w:type="dxa"/>
            <w:vAlign w:val="bottom"/>
          </w:tcPr>
          <w:p>
            <w:pPr>
              <w:jc w:val="center"/>
              <w:ind w:left="374"/>
              <w:spacing w:after="0"/>
              <w:rPr>
                <w:sz w:val="20"/>
                <w:szCs w:val="20"/>
                <w:color w:val="auto"/>
              </w:rPr>
            </w:pPr>
            <w:r>
              <w:rPr>
                <w:rFonts w:ascii="Arial" w:cs="Arial" w:eastAsia="Arial" w:hAnsi="Arial"/>
                <w:sz w:val="18"/>
                <w:szCs w:val="18"/>
                <w:color w:val="auto"/>
                <w:w w:val="91"/>
              </w:rPr>
              <w:t>New York Stock Exchange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7340" w:type="dxa"/>
            <w:vAlign w:val="bottom"/>
            <w:gridSpan w:val="4"/>
          </w:tcPr>
          <w:p>
            <w:pPr>
              <w:ind w:left="128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8"/>
        </w:trPr>
        <w:tc>
          <w:tcPr>
            <w:tcW w:w="914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 R</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No o</w:t>
            </w:r>
          </w:p>
        </w:tc>
      </w:tr>
      <w:tr>
        <w:trPr>
          <w:trHeight w:val="338"/>
        </w:trPr>
        <w:tc>
          <w:tcPr>
            <w:tcW w:w="914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7"/>
              </w:rPr>
              <w:t>No R</w:t>
            </w:r>
          </w:p>
        </w:tc>
      </w:tr>
    </w:tbl>
    <w:p>
      <w:pPr>
        <w:spacing w:after="0" w:line="10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8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8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jc w:val="both"/>
        <w:ind w:firstLine="21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0" w:lineRule="exact"/>
        <w:rPr>
          <w:sz w:val="24"/>
          <w:szCs w:val="24"/>
          <w:color w:val="auto"/>
        </w:rPr>
      </w:pPr>
    </w:p>
    <w:p>
      <w:pPr>
        <w:ind w:left="260"/>
        <w:spacing w:after="0"/>
        <w:tabs>
          <w:tab w:leader="none" w:pos="2840" w:val="left"/>
          <w:tab w:leader="none" w:pos="5380" w:val="left"/>
          <w:tab w:leader="none" w:pos="83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7"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(Do not check if a smaller reporting company)</w:t>
      </w:r>
    </w:p>
    <w:p>
      <w:pPr>
        <w:spacing w:after="0" w:line="9" w:lineRule="exact"/>
        <w:rPr>
          <w:sz w:val="24"/>
          <w:szCs w:val="24"/>
          <w:color w:val="auto"/>
        </w:rPr>
      </w:pPr>
    </w:p>
    <w:p>
      <w:pPr>
        <w:ind w:left="220"/>
        <w:spacing w:after="0"/>
        <w:tabs>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R</w:t>
      </w:r>
    </w:p>
    <w:p>
      <w:pPr>
        <w:spacing w:after="0" w:line="140" w:lineRule="exact"/>
        <w:rPr>
          <w:sz w:val="24"/>
          <w:szCs w:val="24"/>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aggregate market value of the shares of the common stock held by non-affiliates of the registrant as of June 30, 2011 was $3,332,281,166 based on the closing price of $15.74 as reported by the New York Stock Exchange.</w:t>
      </w:r>
    </w:p>
    <w:p>
      <w:pPr>
        <w:spacing w:after="0" w:line="7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January 31, 2012, there were 221,572,801 shares of Common Stock outstanding.</w:t>
      </w:r>
    </w:p>
    <w:p>
      <w:pPr>
        <w:spacing w:after="0" w:line="131" w:lineRule="exact"/>
        <w:rPr>
          <w:sz w:val="24"/>
          <w:szCs w:val="24"/>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The information in Part III hereof is incorporated herein by reference to the registrant's Proxy Statement on Schedule 14A for the fiscal year ended December 31, 2011, to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4440" w:type="dxa"/>
            <w:vAlign w:val="bottom"/>
            <w:gridSpan w:val="16"/>
          </w:tcPr>
          <w:p>
            <w:pPr>
              <w:ind w:left="32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20" w:type="dxa"/>
            <w:vAlign w:val="bottom"/>
            <w:gridSpan w:val="2"/>
          </w:tcPr>
          <w:p>
            <w:pPr>
              <w:jc w:val="center"/>
              <w:ind w:left="4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5">
              <w:r>
                <w:rPr>
                  <w:rFonts w:ascii="Arial" w:cs="Arial" w:eastAsia="Arial" w:hAnsi="Arial"/>
                  <w:sz w:val="18"/>
                  <w:szCs w:val="18"/>
                  <w:color w:val="0000FF"/>
                  <w:w w:val="80"/>
                </w:rPr>
                <w:t>Item 1A.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9">
              <w:r>
                <w:rPr>
                  <w:rFonts w:ascii="Arial" w:cs="Arial" w:eastAsia="Arial" w:hAnsi="Arial"/>
                  <w:sz w:val="18"/>
                  <w:szCs w:val="18"/>
                  <w:color w:val="0000FF"/>
                  <w:w w:val="80"/>
                </w:rPr>
                <w:t>Item 1B.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19">
              <w:r>
                <w:rPr>
                  <w:rFonts w:ascii="Arial" w:cs="Arial" w:eastAsia="Arial" w:hAnsi="Arial"/>
                  <w:sz w:val="18"/>
                  <w:szCs w:val="18"/>
                  <w:color w:val="0000FF"/>
                  <w:w w:val="98"/>
                </w:rPr>
                <w:t>Item 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3.</w:t>
              </w:r>
            </w:hyperlink>
          </w:p>
        </w:tc>
        <w:tc>
          <w:tcPr>
            <w:tcW w:w="9300" w:type="dxa"/>
            <w:vAlign w:val="bottom"/>
            <w:gridSpan w:val="27"/>
          </w:tcPr>
          <w:p>
            <w:pPr>
              <w:ind w:left="320"/>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5.</w:t>
              </w:r>
            </w:hyperlink>
          </w:p>
        </w:tc>
        <w:tc>
          <w:tcPr>
            <w:tcW w:w="9300" w:type="dxa"/>
            <w:vAlign w:val="bottom"/>
            <w:gridSpan w:val="27"/>
          </w:tcPr>
          <w:p>
            <w:pPr>
              <w:ind w:left="320"/>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 Purchases of Equity Securities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6.</w:t>
              </w:r>
            </w:hyperlink>
          </w:p>
        </w:tc>
        <w:tc>
          <w:tcPr>
            <w:tcW w:w="9300" w:type="dxa"/>
            <w:vAlign w:val="bottom"/>
            <w:gridSpan w:val="27"/>
          </w:tcPr>
          <w:p>
            <w:pPr>
              <w:ind w:left="320"/>
              <w:spacing w:after="0"/>
              <w:rPr>
                <w:rFonts w:ascii="Arial" w:cs="Arial" w:eastAsia="Arial" w:hAnsi="Arial"/>
                <w:sz w:val="18"/>
                <w:szCs w:val="18"/>
                <w:color w:val="0000FF"/>
              </w:rPr>
            </w:pPr>
            <w:hyperlink w:anchor="page24">
              <w:r>
                <w:rPr>
                  <w:rFonts w:ascii="Arial" w:cs="Arial" w:eastAsia="Arial" w:hAnsi="Arial"/>
                  <w:sz w:val="18"/>
                  <w:szCs w:val="18"/>
                  <w:color w:val="0000FF"/>
                </w:rPr>
                <w:t>Selected Financial Data</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7.</w:t>
              </w:r>
            </w:hyperlink>
          </w:p>
        </w:tc>
        <w:tc>
          <w:tcPr>
            <w:tcW w:w="9300" w:type="dxa"/>
            <w:vAlign w:val="bottom"/>
            <w:gridSpan w:val="27"/>
          </w:tcPr>
          <w:p>
            <w:pPr>
              <w:ind w:left="320"/>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46">
              <w:r>
                <w:rPr>
                  <w:rFonts w:ascii="Arial" w:cs="Arial" w:eastAsia="Arial" w:hAnsi="Arial"/>
                  <w:sz w:val="18"/>
                  <w:szCs w:val="18"/>
                  <w:color w:val="0000FF"/>
                  <w:w w:val="80"/>
                </w:rPr>
                <w:t>Item 7A.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 About Market Risk</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Item 8.</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47">
              <w:r>
                <w:rPr>
                  <w:rFonts w:ascii="Arial" w:cs="Arial" w:eastAsia="Arial" w:hAnsi="Arial"/>
                  <w:sz w:val="18"/>
                  <w:szCs w:val="18"/>
                  <w:color w:val="0000FF"/>
                </w:rPr>
                <w:t>Financial Statements and Supplementary Data</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Item 9.</w:t>
              </w:r>
            </w:hyperlink>
          </w:p>
        </w:tc>
        <w:tc>
          <w:tcPr>
            <w:tcW w:w="9300" w:type="dxa"/>
            <w:vAlign w:val="bottom"/>
            <w:gridSpan w:val="27"/>
          </w:tcPr>
          <w:p>
            <w:pPr>
              <w:ind w:left="320"/>
              <w:spacing w:after="0"/>
              <w:rPr>
                <w:rFonts w:ascii="Arial" w:cs="Arial" w:eastAsia="Arial" w:hAnsi="Arial"/>
                <w:sz w:val="18"/>
                <w:szCs w:val="18"/>
                <w:color w:val="0000FF"/>
              </w:rPr>
            </w:pPr>
            <w:hyperlink w:anchor="page88">
              <w:r>
                <w:rPr>
                  <w:rFonts w:ascii="Arial" w:cs="Arial" w:eastAsia="Arial" w:hAnsi="Arial"/>
                  <w:sz w:val="18"/>
                  <w:szCs w:val="18"/>
                  <w:color w:val="0000FF"/>
                </w:rPr>
                <w:t>Changes in and Disagreements With Accountants on Accounting and Financial Disclosure</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89">
              <w:r>
                <w:rPr>
                  <w:rFonts w:ascii="Arial" w:cs="Arial" w:eastAsia="Arial" w:hAnsi="Arial"/>
                  <w:sz w:val="18"/>
                  <w:szCs w:val="18"/>
                  <w:color w:val="0000FF"/>
                  <w:w w:val="80"/>
                </w:rPr>
                <w:t>Item 9A.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89">
              <w:r>
                <w:rPr>
                  <w:rFonts w:ascii="Arial" w:cs="Arial" w:eastAsia="Arial" w:hAnsi="Arial"/>
                  <w:sz w:val="18"/>
                  <w:szCs w:val="18"/>
                  <w:color w:val="0000FF"/>
                </w:rPr>
                <w:t>Controls and Procedures</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89">
              <w:r>
                <w:rPr>
                  <w:rFonts w:ascii="Arial" w:cs="Arial" w:eastAsia="Arial" w:hAnsi="Arial"/>
                  <w:sz w:val="18"/>
                  <w:szCs w:val="18"/>
                  <w:color w:val="0000FF"/>
                  <w:w w:val="80"/>
                </w:rPr>
                <w:t>Item 9B.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89">
              <w:r>
                <w:rPr>
                  <w:rFonts w:ascii="Arial" w:cs="Arial" w:eastAsia="Arial" w:hAnsi="Arial"/>
                  <w:sz w:val="18"/>
                  <w:szCs w:val="18"/>
                  <w:color w:val="0000FF"/>
                </w:rPr>
                <w:t>Other Information</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89">
              <w:r>
                <w:rPr>
                  <w:rFonts w:ascii="Arial" w:cs="Arial" w:eastAsia="Arial" w:hAnsi="Arial"/>
                  <w:sz w:val="18"/>
                  <w:szCs w:val="18"/>
                  <w:color w:val="0000FF"/>
                  <w:w w:val="82"/>
                </w:rPr>
                <w:t>Item 10.</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FF"/>
              </w:rPr>
            </w:pPr>
            <w:hyperlink w:anchor="page89">
              <w:r>
                <w:rPr>
                  <w:rFonts w:ascii="Arial" w:cs="Arial" w:eastAsia="Arial" w:hAnsi="Arial"/>
                  <w:sz w:val="18"/>
                  <w:szCs w:val="18"/>
                  <w:color w:val="0000FF"/>
                </w:rPr>
                <w:t>Directors and Executive Officers of the Registrant</w:t>
              </w:r>
            </w:hyperlink>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11.</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FF"/>
              </w:rPr>
              <w:t>Executive Compensation</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12.</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FF"/>
            </w:tcBorders>
            <w:gridSpan w:val="10"/>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13.</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FF"/>
            </w:tcBorders>
            <w:gridSpan w:val="10"/>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82"/>
              </w:rPr>
              <w:t>Item 14.</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FF"/>
              </w:rPr>
              <w:t>Principal Accounting Fees and Services</w:t>
            </w:r>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PART IV</w:t>
              </w:r>
            </w:hyperlink>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89">
              <w:r>
                <w:rPr>
                  <w:rFonts w:ascii="Arial" w:cs="Arial" w:eastAsia="Arial" w:hAnsi="Arial"/>
                  <w:sz w:val="18"/>
                  <w:szCs w:val="18"/>
                  <w:color w:val="0000FF"/>
                  <w:w w:val="82"/>
                </w:rPr>
                <w:t>Item 15.</w:t>
              </w:r>
            </w:hyperlink>
          </w:p>
        </w:tc>
        <w:tc>
          <w:tcPr>
            <w:tcW w:w="360" w:type="dxa"/>
            <w:vAlign w:val="bottom"/>
          </w:tcPr>
          <w:p>
            <w:pPr>
              <w:spacing w:after="0"/>
              <w:rPr>
                <w:sz w:val="21"/>
                <w:szCs w:val="21"/>
                <w:color w:val="auto"/>
              </w:rPr>
            </w:pPr>
          </w:p>
        </w:tc>
        <w:tc>
          <w:tcPr>
            <w:tcW w:w="4400" w:type="dxa"/>
            <w:vAlign w:val="bottom"/>
            <w:gridSpan w:val="15"/>
          </w:tcPr>
          <w:p>
            <w:pPr>
              <w:ind w:left="320"/>
              <w:spacing w:after="0"/>
              <w:rPr>
                <w:rFonts w:ascii="Arial" w:cs="Arial" w:eastAsia="Arial" w:hAnsi="Arial"/>
                <w:sz w:val="18"/>
                <w:szCs w:val="18"/>
                <w:color w:val="0000FF"/>
              </w:rPr>
            </w:pPr>
            <w:hyperlink w:anchor="page89">
              <w:r>
                <w:rPr>
                  <w:rFonts w:ascii="Arial" w:cs="Arial" w:eastAsia="Arial" w:hAnsi="Arial"/>
                  <w:sz w:val="18"/>
                  <w:szCs w:val="18"/>
                  <w:color w:val="0000FF"/>
                </w:rPr>
                <w:t>Exhibits,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620" w:type="dxa"/>
            <w:vAlign w:val="bottom"/>
            <w:gridSpan w:val="2"/>
          </w:tcPr>
          <w:p>
            <w:pPr>
              <w:jc w:val="center"/>
              <w:ind w:left="351"/>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12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through our subsidiaries provides title insurance, mortgage services and diversified services. We are the nation’s largest title insurance company through our title insurance underwriters — Fidelity National Title, Chicago Title, Commonwealth Land Title, and Alamo Title — which collectively issued more title insurance policies in 2011 than any other title company in the United States. We own a minority interest in Ceridian Corporation (“Ceridian”), a leading provider of global human capital management and payment solutions. We also own a minority interest in Remy International, Inc. (“Remy”), a leading designer, manufacturer, remanufacturer, marketer and distributor of aftermarket and original equipment electrical components for automobiles, light trucks, heavy-duty trucks and other vehicles; and American Blue Ribbon Holdings, LLC, an owner and operator of the Village Inn, Bakers Square and Max &amp; Erma's restaurants.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we completed a project to reduce the number of our title insurance underwriters in order to eliminate certain legal, operating and oversight costs associated with operating multiple separate and independent underwriters. Our remaining four principal title insurance underwriters are Fidelity National Title, Chicago Title, Commonwealth Land Title, and Alamo Title. Security Union Title and Ticor Title were merged into Chicago Title. Lawyers Title was merged into Fidelity National Title.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two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FNF’s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ind w:left="660" w:hanging="409"/>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The corporate and other segment consists of the operations of the parent holding company, certain other unallocated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overhead expenses, other smaller operations, and our share in the operations of certain equity investments, including Ceridian and Remy.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ompetitive Strengths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the largest title insurance company in the United States and a leading provider of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for real estate transactions. Through the third quarter of 2011, our insurance companies had a 35% share of the U.S. title insurance market, according to the American Land Title Association ("ALTA").</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over 1,100 direct residential title offices and over 5,000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127" w:lineRule="exact"/>
        <w:rPr>
          <w:sz w:val="20"/>
          <w:szCs w:val="20"/>
          <w:color w:val="auto"/>
        </w:rPr>
      </w:pPr>
    </w:p>
    <w:p>
      <w:pPr>
        <w:jc w:val="both"/>
        <w:ind w:firstLine="356"/>
        <w:spacing w:after="0" w:line="320"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88" w:lineRule="exact"/>
        <w:rPr>
          <w:sz w:val="20"/>
          <w:szCs w:val="20"/>
          <w:color w:val="auto"/>
        </w:rPr>
      </w:pPr>
    </w:p>
    <w:p>
      <w:pPr>
        <w:jc w:val="both"/>
        <w:ind w:firstLine="356"/>
        <w:spacing w:after="0" w:line="271"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order activity and management of our cost structure. When compared to our industry competitors, we also believe that our structure is more efficiently designed which allows us to operate with lower overhead costs.</w:t>
      </w:r>
    </w:p>
    <w:p>
      <w:pPr>
        <w:spacing w:after="0" w:line="123"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believe that we are the largest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any improvements in the real estate market in future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Fidelity National Title Group</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strategy in the title insurance business is to maximize operating profits by increasing our market share and managing operating expenses throughout the real estate business cycle. To accomplish our goals, we intend to:</w:t>
      </w:r>
    </w:p>
    <w:p>
      <w:pPr>
        <w:spacing w:after="0" w:line="116"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 to operate multiple title brands independently</w:t>
      </w:r>
      <w:r>
        <w:rPr>
          <w:rFonts w:ascii="Arial" w:cs="Arial" w:eastAsia="Arial" w:hAnsi="Arial"/>
          <w:sz w:val="18"/>
          <w:szCs w:val="18"/>
          <w:color w:val="auto"/>
        </w:rPr>
        <w:t>. We believe that in order to maintain and strengthen our title insurance customer base,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operate our strongest brands in a given marketplace independently of each other. Our national and regional brands include Fidelity National Title, Chicago Title, Commonwealth Land Title, Lawyers Title, Ticor Title, and Alamo Title.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13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provide consistent product delivery requires continued focus on providing high quality service and products at competitive prices. Our goal is to continue to improve the experience of our customers, in all aspects of our business.</w:t>
      </w:r>
    </w:p>
    <w:p>
      <w:pPr>
        <w:spacing w:after="0" w:line="13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Manage our operations successfully through business cycles</w:t>
      </w:r>
      <w:r>
        <w:rPr>
          <w:rFonts w:ascii="Arial" w:cs="Arial" w:eastAsia="Arial" w:hAnsi="Arial"/>
          <w:sz w:val="17"/>
          <w:szCs w:val="17"/>
          <w:color w:val="auto"/>
        </w:rPr>
        <w:t>. We operate in a cyclical industry and our ability to diversify our revenue base within</w:t>
      </w:r>
      <w:r>
        <w:rPr>
          <w:rFonts w:ascii="Arial" w:cs="Arial" w:eastAsia="Arial" w:hAnsi="Arial"/>
          <w:sz w:val="17"/>
          <w:szCs w:val="17"/>
          <w:i w:val="1"/>
          <w:iCs w:val="1"/>
          <w:color w:val="auto"/>
        </w:rPr>
        <w:t xml:space="preserve"> </w:t>
      </w:r>
      <w:r>
        <w:rPr>
          <w:rFonts w:ascii="Arial" w:cs="Arial" w:eastAsia="Arial" w:hAnsi="Arial"/>
          <w:sz w:val="17"/>
          <w:szCs w:val="17"/>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and, in a rising interest rate environment, to increase our investment revenue, which may offset some of the decline in premiums and service revenues we would expect in such an environment. A more detailed discussion of our investment strategies is included in “Investment Policies and Investment Portfolio.”</w:t>
      </w:r>
    </w:p>
    <w:p>
      <w:pPr>
        <w:spacing w:after="0" w:line="124"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118"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Dispositions, Minority Owned Operating Subsidiaries and Financings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Acquisitions have been an important part of our growth strategy. On an ongoing basis, with assistance from our advisors, we actively evaluate possible transactions, such as acquisitions and dispositions of business units and operating assets and business combination transactions, as well as possible means of financing the growth and operations of our business units or raising funds, through securities offerings or otherwise, for debt repayment or other purposes. In the current economic environment, we may seek to sell certain investments or other assets to increase our liquidity.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 We have made a number of acquisitions over the past three years to strengthen and expand our service offerings and customer base in our various businesses, to expand into other businesses or where we otherwise saw value.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5, 2012, we entered into a definitive agreement to acquire all of the outstanding shares of common stock of O'Charley's Inc., which operates more than 340 full-service restaurants under the O'Charley's, Ninety Nine and Stoney River Legendary Steaks concepts, that we do not currently own for $9.85 per share in cash. O'Charley's Inc. had 21,967,041 shares outstanding as of December 31, 2011. We own 2,079,542 or 9.5% of the outstanding shares of O'Charley's Inc. common stock prior to the tender offer. The transaction is expected to close in May 2012 and is subject to successful completion of the tender and other customary closing conditions.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27, 2011, we entered into a definitive agreement under which we will sell an 85% interest in our remaining subsidiaries that write personal lines insurance to WT Holdings, Inc. for approximately $119.0 million. The sales price is subject to typical closing adjustments based on working capital and surplus. The transaction is expected to close by the second quarter of 2012 and is subject to regulatory approval and closing conditions. Accordingly, the results of this business (which we refer to as our "at-risk" insurance business) for all periods presented are reflected as discontinued operations. The at-risk insurance business sale is expected to result in a pre-tax loss of approximately $15.1 million, which was recorded in the fourth quarter of 2011. See note A of the Notes to Consolidated Financial Statements for further details on this transaction.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31, 2011, we completed the sale of our flood insurance business to WRM America Holdings LLC for $135.0 million in cash and dividends, and a $75.0 million seller note. The seller note has an eight percent annual interest coupon, with interest payable quarterly and principal payable in full eighteen months subsequent to closing. Accordingly, the results of the flood insurance business for all periods presented are reflected as discontinued operations. The flood insurance business sale resulted in a pre-tax gain of approximately $154.1 million. See note A of the Notes to Consolidated Financial Statements for further details on this transaction.</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May 28, 2010, we completed the sale of our 32% interest in Sedgwick, our former minority-owned affiliate that provides claims management services to large corporate and public sector entities, to a group of private equity funds. We received approximately $225.6 million in proceeds, of which $32.0 million was held in an indemnity escrow and received in 2011, for our ownership interest, resulting in a pre-tax gain of approximately $98.4 million in 2010.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Market for title insurance. </w:t>
      </w:r>
      <w:r>
        <w:rPr>
          <w:rFonts w:ascii="Arial" w:cs="Arial" w:eastAsia="Arial" w:hAnsi="Arial"/>
          <w:sz w:val="17"/>
          <w:szCs w:val="17"/>
          <w:color w:val="auto"/>
        </w:rPr>
        <w:t>While we saw declines from 2007-2010 in the title insurance market in the United States, the market remains large having</w:t>
      </w:r>
      <w:r>
        <w:rPr>
          <w:rFonts w:ascii="Arial" w:cs="Arial" w:eastAsia="Arial" w:hAnsi="Arial"/>
          <w:sz w:val="17"/>
          <w:szCs w:val="17"/>
          <w:i w:val="1"/>
          <w:iCs w:val="1"/>
          <w:color w:val="auto"/>
        </w:rPr>
        <w:t xml:space="preserve"> </w:t>
      </w:r>
      <w:r>
        <w:rPr>
          <w:rFonts w:ascii="Arial" w:cs="Arial" w:eastAsia="Arial" w:hAnsi="Arial"/>
          <w:sz w:val="17"/>
          <w:szCs w:val="17"/>
          <w:color w:val="auto"/>
        </w:rPr>
        <w:t>grown significantly from 1995 until 2005. According to Demotech Performance of Title Insurance Companies 2011 Edition, an annual compilation of financial information from the title insurance industry that is published by Demotech Inc., an independent firm ("Demotech"), total operating income for the entire U.S. title insurance industry grew from $4.8 billion in 1995 to its highest at $17.8 billion in 2005 and then decreased to $15.2 billion in 2007, $11.3 billion in 2008, $10.7 billion in 2009, and to $10.5 billion in 2010. Growth in the industry is closely tied to various macroeconomic factors, including, but not limited to, growth in the gross domestic product, inflation, unemployment, the availability of credit, consumer confidence, interest rates and sales of and prices for new and existing homes, as well as the volume of refinancing of previously issued mortgages.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economy, the availability of mortgage funding, and changes in interest rates, which affect demand for new mortgage loans and refinancing transactions. Both the volume and the average price of residential real estate transactions have experienced significant declines over the past five years. Beginning in 2008 and continuing through 2011, the mortgage delinquency and default rates caused negative operating results at a number of banks and financial institutions. Multiple banks have failed during this time and others may fail in the future, reducing the capacity of the mortgage industry to make loans. Lenders have tightened their underwriting standards which has made it more difficult for buyers to qualify for new loans. However, during this same period, interest rates were at historically low levels, which spurred an increase in refinance activity in 2009 - 2011. Our revenues in future periods will continue to be subject to these and other factors which are beyond our control and, as a result, are likely to fluctuate.</w:t>
      </w:r>
    </w:p>
    <w:p>
      <w:pPr>
        <w:spacing w:after="0" w:line="124" w:lineRule="exact"/>
        <w:rPr>
          <w:sz w:val="20"/>
          <w:szCs w:val="20"/>
          <w:color w:val="auto"/>
        </w:rPr>
      </w:pPr>
    </w:p>
    <w:p>
      <w:pPr>
        <w:jc w:val="both"/>
        <w:ind w:firstLine="369"/>
        <w:spacing w:after="0" w:line="275" w:lineRule="auto"/>
        <w:rPr>
          <w:sz w:val="20"/>
          <w:szCs w:val="20"/>
          <w:color w:val="auto"/>
        </w:rPr>
      </w:pPr>
      <w:r>
        <w:rPr>
          <w:rFonts w:ascii="Arial" w:cs="Arial" w:eastAsia="Arial" w:hAnsi="Arial"/>
          <w:sz w:val="17"/>
          <w:szCs w:val="17"/>
          <w:color w:val="auto"/>
        </w:rPr>
        <w:t>The U.S. title insurance industry is concentrated among a handful of industry participants. According to Demotech the top four title insurance groups accounted for 89.0% of net premiums written in 2010. Over 30 independent title insurance companies accounted for the remaining 11.0% of net premiums written in 2010. Over the years, the title insurance industry has been consolidating, beginning with the merger of Lawyers Title Insurance Company (Lawyers) and Commonwealth Land Title Insurance Company (Commonwealth) in 1998 to create LandAmerica Financial Group (LFG), followed by our acquisition of Chicago Title in March 2000. Then, in December 2008, we acquired LFG’s two principal title insurance underwriters, Commonwealth and Lawyers (the "LFG Underwriters"). Consolidation has created opportunities for increased financial and operating efficiencies for the industry’s largest participants and should continue to drive profitability and market share in the industry.</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119" w:lineRule="exact"/>
        <w:rPr>
          <w:sz w:val="20"/>
          <w:szCs w:val="20"/>
          <w:color w:val="auto"/>
        </w:rPr>
      </w:pPr>
    </w:p>
    <w:p>
      <w:pPr>
        <w:jc w:val="both"/>
        <w:ind w:firstLine="356"/>
        <w:spacing w:after="0" w:line="264" w:lineRule="auto"/>
        <w:rPr>
          <w:sz w:val="20"/>
          <w:szCs w:val="20"/>
          <w:color w:val="auto"/>
        </w:rPr>
      </w:pPr>
      <w:r>
        <w:rPr>
          <w:rFonts w:ascii="Arial" w:cs="Arial" w:eastAsia="Arial" w:hAnsi="Arial"/>
          <w:sz w:val="18"/>
          <w:szCs w:val="18"/>
          <w:color w:val="auto"/>
        </w:rPr>
        <w:t>Title insurance premiums paid in connection with a title insurance policy are based on (and typically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The lender’s policy generally terminates upon the refinancing or resale of the property.</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insurance companies typically issue title insurance policies directly through branch offices or through affiliated title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13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their underwriting standards, policies and procedures.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over 1,100 offices throughout the U.S. primarily providing residential real estate title insurance. During 2008 and 2009, as title insurance activity slowed, we closed and consolidated a number of our offices.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p>
    <w:p>
      <w:pPr>
        <w:spacing w:after="0" w:line="134" w:lineRule="exact"/>
        <w:rPr>
          <w:sz w:val="20"/>
          <w:szCs w:val="20"/>
          <w:color w:val="auto"/>
        </w:rPr>
      </w:pPr>
    </w:p>
    <w:p>
      <w:pPr>
        <w:jc w:val="both"/>
        <w:ind w:firstLine="369"/>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and examination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periodically decrease the number of agents with which we transact business in an effort to reduce future expenses and manage risks. As of December 31, 2011, we transact business with over 5,000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37"/>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left="518"/>
              <w:spacing w:after="0"/>
              <w:rPr>
                <w:sz w:val="20"/>
                <w:szCs w:val="20"/>
                <w:color w:val="auto"/>
              </w:rPr>
            </w:pPr>
            <w:r>
              <w:rPr>
                <w:rFonts w:ascii="Arial" w:cs="Arial" w:eastAsia="Arial" w:hAnsi="Arial"/>
                <w:sz w:val="16"/>
                <w:szCs w:val="16"/>
                <w:b w:val="1"/>
                <w:bCs w:val="1"/>
                <w:color w:val="auto"/>
                <w:w w:val="89"/>
              </w:rPr>
              <w:t>2010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w w:val="89"/>
              </w:rPr>
              <w:t>2009</w:t>
            </w:r>
          </w:p>
        </w:tc>
      </w:tr>
      <w:tr>
        <w:trPr>
          <w:trHeight w:val="3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w w:val="99"/>
              </w:rPr>
              <w:t>Amount</w:t>
            </w:r>
          </w:p>
        </w:tc>
        <w:tc>
          <w:tcPr>
            <w:tcW w:w="78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w w:val="99"/>
              </w:rPr>
              <w:t>Amount</w:t>
            </w:r>
          </w:p>
        </w:tc>
        <w:tc>
          <w:tcPr>
            <w:tcW w:w="12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w:t>
            </w:r>
          </w:p>
        </w:tc>
      </w:tr>
      <w:tr>
        <w:trPr>
          <w:trHeight w:val="3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1,404.5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2,236.7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2,452.3</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62.4</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3,261.1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3,641.2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Geographic Operations. </w:t>
      </w:r>
      <w:r>
        <w:rPr>
          <w:rFonts w:ascii="Arial" w:cs="Arial" w:eastAsia="Arial" w:hAnsi="Arial"/>
          <w:sz w:val="18"/>
          <w:szCs w:val="18"/>
          <w:color w:val="auto"/>
        </w:rPr>
        <w:t>Our direct operations are divided into approximately 150 profit centers. Each profit center processes title insurance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its geographical area, which is usually identified by a county, a group of counties forming a region, or a state, depending on the management structure in that part of the country. We also transact title insurance business through a network of over 5,000 agents, primarily in those areas in which agents are the more prevalent title insurance provider.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gridSpan w:val="3"/>
          </w:tcPr>
          <w:p>
            <w:pPr>
              <w:jc w:val="right"/>
              <w:ind w:right="1040"/>
              <w:spacing w:after="0"/>
              <w:rPr>
                <w:sz w:val="20"/>
                <w:szCs w:val="20"/>
                <w:color w:val="auto"/>
              </w:rPr>
            </w:pPr>
            <w:r>
              <w:rPr>
                <w:rFonts w:ascii="Arial" w:cs="Arial" w:eastAsia="Arial" w:hAnsi="Arial"/>
                <w:sz w:val="16"/>
                <w:szCs w:val="16"/>
                <w:b w:val="1"/>
                <w:bCs w:val="1"/>
                <w:color w:val="auto"/>
                <w:w w:val="95"/>
              </w:rPr>
              <w:t>2009</w:t>
            </w: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Amount</w:t>
            </w: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14"/>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Arial" w:cs="Arial" w:eastAsia="Arial" w:hAnsi="Arial"/>
                <w:sz w:val="16"/>
                <w:szCs w:val="16"/>
                <w:b w:val="1"/>
                <w:bCs w:val="1"/>
                <w:color w:val="auto"/>
              </w:rPr>
              <w:t>Amount</w:t>
            </w:r>
          </w:p>
        </w:tc>
        <w:tc>
          <w:tcPr>
            <w:tcW w:w="140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w:t>
            </w: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(Dollars in 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Texas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10.3</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224.7</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1,991.3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2,219.0</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56.6</w:t>
            </w: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Escrow, Title-Related and Other Fees. </w:t>
      </w:r>
      <w:r>
        <w:rPr>
          <w:rFonts w:ascii="Arial" w:cs="Arial" w:eastAsia="Arial" w:hAnsi="Arial"/>
          <w:sz w:val="17"/>
          <w:szCs w:val="17"/>
          <w:color w:val="auto"/>
        </w:rPr>
        <w:t>In addition to fees for underwriting title insurance policies, we derive a significant amount of our revenues from</w:t>
      </w:r>
      <w:r>
        <w:rPr>
          <w:rFonts w:ascii="Arial" w:cs="Arial" w:eastAsia="Arial" w:hAnsi="Arial"/>
          <w:sz w:val="17"/>
          <w:szCs w:val="17"/>
          <w:i w:val="1"/>
          <w:iCs w:val="1"/>
          <w:color w:val="auto"/>
        </w:rPr>
        <w:t xml:space="preserve"> </w:t>
      </w:r>
      <w:r>
        <w:rPr>
          <w:rFonts w:ascii="Arial" w:cs="Arial" w:eastAsia="Arial" w:hAnsi="Arial"/>
          <w:sz w:val="17"/>
          <w:szCs w:val="17"/>
          <w:color w:val="auto"/>
        </w:rPr>
        <w:t>escrow, title-related and other services, including closing services. The escrow and other services provided by us include all of those typically required in connection with residential and commercial real estate purchases and refinance activities, as well as default and appraisal services. Escrow, title-related and other fees represented approximately 29.5%, 25.9%, and 25.8% of our revenues in 2011, 2010, and 2009,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systems requirements for electronic product delivery.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w:t>
      </w:r>
    </w:p>
    <w:p>
      <w:pPr>
        <w:spacing w:after="0" w:line="175"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8"/>
          <w:szCs w:val="18"/>
          <w:color w:val="auto"/>
        </w:rPr>
        <w:t>An important part of our operations is the handling of title and escrow claims. We employ a staff of approximately 550 employees in our claims department, over 250 of which are attorneys. We also use the services of outside attorneys. Our claims processing centers are located in Omaha, Nebraska and Jacksonville, Florida. In-house claims counsel who handle larger claims are also located in other parts of the country.</w:t>
      </w:r>
    </w:p>
    <w:p>
      <w:pPr>
        <w:spacing w:after="0" w:line="127"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defalcations),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six years after the policy has been issued, although claims may also be reported and paid many years later.</w:t>
      </w:r>
    </w:p>
    <w:p>
      <w:pPr>
        <w:spacing w:after="0" w:line="1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Reinsurance and Coinsurance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limit our maximum loss exposure by reinsuring risks with other insurers under excess of loss and case-by-case (“facultative”) reinsurance</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agreements. Reinsurance agreements provide generally that the reinsurer is liable for loss and loss adjustment expense payments exceeding the amount retained by the ceding company. However, the ceding company remains primarily liable in the event the reinsurer does not meet its contractual obligations. Facultative reinsurance agreements are entered into with other title insurers when the transaction to be insured will exceed state statutory or self-imposed limits. Excess of loss reinsurance protects us from a loss from a single occurrence. For 2012, our excess of loss coverage is split into two tiers. The first tier provides coverage for residential and commercial transactions up to $100 million per loss occurrence, subject to a $10 million retention per loss. Prior to any recovery, there is also an additional $5 million aggregate retention. The second tier provides additional coverage for commercial transactions in excess of $100 million of loss per occurrence up to $400 million per occurrence, with the Company participating at 20%.</w:t>
      </w:r>
    </w:p>
    <w:p>
      <w:pPr>
        <w:spacing w:after="0" w:line="124" w:lineRule="exact"/>
        <w:rPr>
          <w:sz w:val="20"/>
          <w:szCs w:val="20"/>
          <w:color w:val="auto"/>
        </w:rPr>
      </w:pPr>
    </w:p>
    <w:p>
      <w:pPr>
        <w:jc w:val="both"/>
        <w:ind w:right="20" w:firstLine="329"/>
        <w:spacing w:after="0" w:line="340"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review the financial condition of our reinsurers.</w:t>
      </w:r>
    </w:p>
    <w:p>
      <w:pPr>
        <w:spacing w:after="0" w:line="15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rely on a combination of contractual restrictions, internal security practices, and copyright and trade secret law to establish and protect our software,</w:t>
      </w:r>
    </w:p>
    <w:p>
      <w:pPr>
        <w:spacing w:after="0" w:line="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technology, and expertise.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a national provider of real estate transaction products and services, we participate in a dynamic industry that is subject to significant regulatory</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requirements,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 In order to meet new regulatory requirements, we also continue to expand our data collection and reporting 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Competition in the title insurance industry is based primarily on expertise, service and price. In addition, the financial strength of the insurer has become</w:t>
      </w:r>
    </w:p>
    <w:p>
      <w:pPr>
        <w:spacing w:after="0" w:line="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Independent agency operations account for 56.1% of our total title insurance premiums. Several of the smaller competitors have closed their operations in the past few years as a result of the significant decrease in activity in the residential real estate market.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96"/>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2011, the combined statutory unearned premium reserve required and reported for our title insurers was $1,858.3 million. In addition to statutory unearned premium reserves and reserves for known claims, each of our insurers maintains surplus funds for policyholder protection and business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that of each state in which it is licensed. The insurance commissioners of their respective states of domicile are the primary regulators of our insurance subsidiaries. Each of the insurers is subject to periodic regulatory financial examination by regulatory authorities, and certain of these examinations are currently ongoing.</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holding company with no significant business operations of our own, we depend on dividends or other distributions from our subsidiaries as the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source of cash to meet our obligations, including the payment of interest on and repayment of principal of any debt obligations, and to pay any dividends to our stockholders.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12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171"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color w:val="auto"/>
        </w:rPr>
        <w:t>The laws and regulations of some jurisdictions also prohibit an insurer from declaring or paying a dividend except out of its earned surplus or require the insurer to obtain prior regulatory approval. During 2012, our directly owned title insurers can pay dividends or make distributions to us of approximately $107.6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$894.4 million and $900.7 million as of December 31, 2011 and 2010, respectively. The combined statutory (loss) earnings of our title insurers were $140.1 million, $(46.6) million, and $237.2 million for the years ended December 31, 2011, 2010, and 2009, respectively.</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116" w:lineRule="exact"/>
        <w:rPr>
          <w:sz w:val="20"/>
          <w:szCs w:val="20"/>
          <w:color w:val="auto"/>
        </w:rPr>
      </w:pPr>
    </w:p>
    <w:p>
      <w:pPr>
        <w:jc w:val="both"/>
        <w:ind w:firstLine="329"/>
        <w:spacing w:after="0" w:line="340" w:lineRule="auto"/>
        <w:rPr>
          <w:sz w:val="20"/>
          <w:szCs w:val="20"/>
          <w:color w:val="auto"/>
        </w:rPr>
      </w:pPr>
      <w:r>
        <w:rPr>
          <w:rFonts w:ascii="Arial" w:cs="Arial" w:eastAsia="Arial" w:hAnsi="Arial"/>
          <w:sz w:val="18"/>
          <w:szCs w:val="18"/>
          <w:color w:val="auto"/>
        </w:rPr>
        <w:t>Pursuant to statutory requirements of the various states in which our insurers are domiciled, they must maintain certain levels of minimum capital and surplus. Each of our insurers has complied with the minimum statutory requirements as of December 31, 2011.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worth. Minimum net worth requirements for each underwritten title company are as follows: $7.5 million for Fidelity National Title Company, $2.5 million for Fidelity National Title Company of California, $3.0 million for Chicago Title Company, and $0.4 million for Ticor Title Company of California, Commonwealth Land Title Company, and Lawyers Title Company. These companies were in compliance with their respective minimum net worth requirements at December 31, 2011.</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receive inquiries and requests for information from state insurance departments, attorneys general and other regulatory agencies from time to time</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Item 3, Legal Proceedings.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shares would indirectly control the same percentage of the stock of our insurers, the insurance change of control laws would likely apply to such a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75"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and Fidelity National Title. Standard &amp; Poor’s Ratings Group (“S&amp;P”), Moody’s Investors Service (“Moody’s”), and A. M. Best Company ("A.M. Best") provide ratings for the entire FNF family of companies as a whole as follows: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S&amp;P</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Moody’s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A.M. Best</w:t>
            </w:r>
          </w:p>
        </w:tc>
      </w:tr>
      <w:tr>
        <w:trPr>
          <w:trHeight w:val="33"/>
        </w:trPr>
        <w:tc>
          <w:tcPr>
            <w:tcW w:w="7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8"/>
                <w:szCs w:val="18"/>
                <w:color w:val="auto"/>
              </w:rPr>
              <w:t>FNF family of companies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rPr>
              <w:t>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w:t>
            </w:r>
          </w:p>
        </w:tc>
      </w:tr>
    </w:tbl>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252" w:lineRule="exact"/>
        <w:rPr>
          <w:sz w:val="20"/>
          <w:szCs w:val="20"/>
          <w:color w:val="auto"/>
        </w:rPr>
      </w:pPr>
    </w:p>
    <w:p>
      <w:pPr>
        <w:ind w:left="80" w:firstLine="252"/>
        <w:spacing w:after="0" w:line="324" w:lineRule="auto"/>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S&amp;P "A-" rating is the eighth highest rating of 25 ratings for S&amp;P. S&amp;P states that an “A-” rating means that, in its opinion, the insurer is highly likely to have the ability to meet its financial obligations.</w:t>
      </w:r>
    </w:p>
    <w:p>
      <w:pPr>
        <w:spacing w:after="0" w:line="170" w:lineRule="exact"/>
        <w:rPr>
          <w:rFonts w:ascii="Arial" w:cs="Arial" w:eastAsia="Arial" w:hAnsi="Arial"/>
          <w:sz w:val="18"/>
          <w:szCs w:val="18"/>
          <w:color w:val="auto"/>
        </w:rPr>
      </w:pPr>
    </w:p>
    <w:p>
      <w:pPr>
        <w:ind w:left="80" w:firstLine="252"/>
        <w:spacing w:after="0" w:line="324" w:lineRule="auto"/>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Moody's "A3" rating is the twelfth highest rating of 33 ratings for Moody's. Moody's states that insurance companies rated “A3” offer good financial security.</w:t>
      </w:r>
    </w:p>
    <w:p>
      <w:pPr>
        <w:spacing w:after="0" w:line="170" w:lineRule="exact"/>
        <w:rPr>
          <w:rFonts w:ascii="Arial" w:cs="Arial" w:eastAsia="Arial" w:hAnsi="Arial"/>
          <w:sz w:val="18"/>
          <w:szCs w:val="18"/>
          <w:color w:val="auto"/>
        </w:rPr>
      </w:pPr>
    </w:p>
    <w:p>
      <w:pPr>
        <w:ind w:left="80" w:firstLine="252"/>
        <w:spacing w:after="0" w:line="324" w:lineRule="auto"/>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A.M. Best "A-" rating is the fourth highest rating of 15 ratings for A.M. Best. A.M. Best states that its “A- (Excellent)” rating is assigned to those companies that have, in its opinion, an excellent ability to meet their ongoing obligations to policyholders.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Demotech states that its ratings of “A´´ (A double prime)” and “A´ (A prime)” reflect its opinion that, regardless of the severity of a general economic</w:t>
      </w:r>
    </w:p>
    <w:p>
      <w:pPr>
        <w:spacing w:after="0" w:line="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downturn or deterioration in the insurance cycle, the insurers assigned either of those ratings possess “Unsurpassed” financial stability related to maintaining positive surplus as regards policyholders. The "A" rating reflects Demotech's opinion that, regardless of the severity of a general economic downturn or deterioration in the insurance cycle, the insurers assigned such rating possess “Exceptional” financial stability related to maintaining positive surplus as regards policyholders. The “A´´ (A double prime)”, “A´ (A prime)” and "A" ratings are the three highest ratings of Demotech's five ratings.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 If the rating agencies downgrade our Company, our results of operations and competitive position in the title insurance industry may suffer”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investment policy is designed to maximize total return through investment income and capital appreciation consistent with moderate risk of</w:t>
      </w:r>
    </w:p>
    <w:p>
      <w:pPr>
        <w:spacing w:after="0" w:line="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principal, while providing adequate liquidity. Our insurance subsidiaries, including title insurers, underwritten title companies and insurance agencies, are subject to extensive regulation under applicable state laws. The various states in which we operate regulate the types of assets that qualify for purposes of capital, surplus, and statutory unearned premium reserves. Our investment policy specifically limits duration and non-investment grade allocations in the core fixed-income portfolio. Maintaining shorter durations on the investment portfolio allows for the mitigation of interest rate risk. Equity securities are utilized to take advantage of perceived value or for strategic purposes. Due to the magnitude of the investment portfolio in relation to our claims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loss reserves, durations of investments are not specifically matched to the cash outflows required to pay claims.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2011 and 2010, the carrying amount, which approximates the fair value, of total investments, excluding investments in unconsolidated affiliates, was $3.5 billion and $3.8 billion, respectively.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in our portfolio are subject to economic conditions and normal market risks and uncertainties. Our fixed maturities included auction rate securities at December 31, 2010 with a par value of $14.1 million and fair value of $9.5 million, which were included in the assets of the LFG Underwriters that we acquired on December 22, 2008. Fair values for the auction rate securities were provided by a third-party pricing service. These auction rate securities were sold during 2011.</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portfolio at December 31, 2011 and 2010: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2010</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2"/>
                <w:szCs w:val="2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Aa/AA</w:t>
            </w: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1,139.5</w:t>
            </w:r>
          </w:p>
        </w:tc>
        <w:tc>
          <w:tcPr>
            <w:tcW w:w="100" w:type="dxa"/>
            <w:vAlign w:val="bottom"/>
          </w:tcPr>
          <w:p>
            <w:pPr>
              <w:spacing w:after="0"/>
              <w:rPr>
                <w:sz w:val="21"/>
                <w:szCs w:val="21"/>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1,220.5</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35.9</w:t>
            </w: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22.7</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Baa/BBB</w:t>
            </w: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15.5</w:t>
            </w: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Ba/BB/B</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Lower</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0.4</w:t>
            </w:r>
          </w:p>
        </w:tc>
      </w:tr>
      <w:tr>
        <w:trPr>
          <w:trHeight w:val="27"/>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r>
      <w:tr>
        <w:trPr>
          <w:trHeight w:val="237"/>
        </w:trPr>
        <w:tc>
          <w:tcPr>
            <w:tcW w:w="2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3,093.0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3,200.2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3,377.2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3,494.3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17145</wp:posOffset>
            </wp:positionV>
            <wp:extent cx="5737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-130175</wp:posOffset>
            </wp:positionV>
            <wp:extent cx="5737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2011</w:t>
            </w:r>
          </w:p>
        </w:tc>
        <w:tc>
          <w:tcPr>
            <w:tcW w:w="980" w:type="dxa"/>
            <w:vAlign w:val="bottom"/>
            <w:tcBorders>
              <w:bottom w:val="single" w:sz="8" w:color="auto"/>
            </w:tcBorders>
          </w:tcPr>
          <w:p>
            <w:pPr>
              <w:spacing w:after="0"/>
              <w:rPr>
                <w:sz w:val="16"/>
                <w:szCs w:val="16"/>
                <w:color w:val="auto"/>
              </w:rPr>
            </w:pPr>
          </w:p>
        </w:tc>
      </w:tr>
      <w:tr>
        <w:trPr>
          <w:trHeight w:val="237"/>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Amortized</w:t>
            </w:r>
          </w:p>
        </w:tc>
        <w:tc>
          <w:tcPr>
            <w:tcW w:w="110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 of</w:t>
            </w: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23"/>
                <w:szCs w:val="2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110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3"/>
                <w:szCs w:val="2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1,468.3</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45.9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r>
      <w:tr>
        <w:trPr>
          <w:trHeight w:val="237"/>
        </w:trPr>
        <w:tc>
          <w:tcPr>
            <w:tcW w:w="70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3,093.0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3,200.2</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December 31, 2011 substantially all of our mortgage-backed and asset-backed securities are rated AA or better. The mortgage-backed and asset-backed securities are made up of $157.6 million of agency mortgage-backed securities, $1.6 million of non-agency mortgage backed securities, $0.1 million of collateralized mortgage obligations, $25.9 million of commercial mortgage-backed securities, and $16.4 million in asset-backed securities.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 Fixed maturity securities with an amortized cost of $1,437.7 million and a fair value of $1,477.8 million were callable or had make-whole call provisions at December 31, 2011.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equity securities at December 31, 2011 and 2010 consisted of investments at a cost basis of $83.2 million and $51.1</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million, respectively, and fair value of $105.7 million and $75.2 million, respectively. The balance of equity securities at December 31, 2011 and 2010 contains an investment in Fidelity National Information Services ("FIS") stock, a related party. During the third quarter of 2010, we sold 1,611,574 shares of FIS stock as part of a tender offer by FIS at $29.00 per share for a realized gain of $21.7 million. The fair value of our investment in FIS stock was $42.6 million and $43.9 million as of December 31, 2011 and 2010, respectively. There were no significant investments in banks, trust or insurance companies at December 31, 2011 or 2010.</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2011 and 2010, we also held $546.5 million and $527.7 million, respectively, in investments that are accounted for using the equity method of accounting, principally our ownership interests in Ceridian and Remy.</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2011 and 2010, other long-term investments included structured notes at a fair value of $40.8 million and $90.1 million,</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respectively, which were purchased in the third quarter of 2009. Also included in other long-term investments were investments accounted for using the cost method of accounting of $36.7 million and $42.6 million, as of December 31, 2011 and 2010, respectively.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Short-term investments, which consist primarily of securities purchased under agreements to resell, commercial paper and money market instruments</w:t>
      </w:r>
    </w:p>
    <w:p>
      <w:pPr>
        <w:spacing w:after="0" w:line="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which have an original maturity of one year or less, are carried at amortized cost, which approximates fair value. As of December 31, 2011 and 2010, short-term investments amounted to $50.4 million and $128.6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2011, 2010 and 2009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2009</w:t>
            </w:r>
          </w:p>
        </w:tc>
      </w:tr>
      <w:tr>
        <w:trPr>
          <w:trHeight w:val="250"/>
        </w:trPr>
        <w:tc>
          <w:tcPr>
            <w:tcW w:w="2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156.6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164.7</w:t>
            </w:r>
          </w:p>
        </w:tc>
      </w:tr>
      <w:tr>
        <w:trPr>
          <w:trHeight w:val="243"/>
        </w:trPr>
        <w:tc>
          <w:tcPr>
            <w:tcW w:w="20" w:type="dxa"/>
            <w:vAlign w:val="bottom"/>
          </w:tcPr>
          <w:p>
            <w:pPr>
              <w:spacing w:after="0"/>
              <w:rPr>
                <w:sz w:val="21"/>
                <w:szCs w:val="21"/>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3,792.2</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3,928.7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3,972.1</w:t>
            </w: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8"/>
        </w:trPr>
        <w:tc>
          <w:tcPr>
            <w:tcW w:w="20" w:type="dxa"/>
            <w:vAlign w:val="bottom"/>
          </w:tcPr>
          <w:p>
            <w:pPr>
              <w:spacing w:after="0"/>
              <w:rPr>
                <w:sz w:val="18"/>
                <w:szCs w:val="18"/>
                <w:color w:val="auto"/>
              </w:rPr>
            </w:pPr>
          </w:p>
        </w:tc>
        <w:tc>
          <w:tcPr>
            <w:tcW w:w="7540" w:type="dxa"/>
            <w:vAlign w:val="bottom"/>
          </w:tcPr>
          <w:p>
            <w:pPr>
              <w:jc w:val="right"/>
              <w:ind w:right="405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Reserves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January 31, 2012, we had approximately 17,396 full-time equivalent employees. From 2006 to 2008, we actively sought to reduce our head count as activity in our Fidelity National Title Group segment declined. As the economic environment and order counts began to stabilize in 2009, we curtailed efforts to reduce staffing levels in our legacy title operations, but aggressively reduced staff in the acquired LFG Underwriters to meet our intended profitability standards. We have monitored our staffing levels based on current economic activity in 2010 and 2011 and will continue to do so in the future. We believe that our relations with employees are generally good. None of our employees are subject to collective bargaining agreements.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statements contained in this Form 10-K or in our other documents or in oral presentations or other statements made by our management that are not</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w:t>
      </w:r>
    </w:p>
    <w:p>
      <w:pPr>
        <w:spacing w:after="0" w:line="13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weakness or adverse changes in the level of real estate activity, which may be caused by, among other things, high or increasing interest rates, a limited supply of mortgage funding, increased mortgage defaults, or a weak U.S. economy;</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concentration in the State of California, the source of approximately 15.8% of our title insurance premiums;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declined in many parts of the country over the past five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71" w:lineRule="exact"/>
        <w:rPr>
          <w:sz w:val="20"/>
          <w:szCs w:val="20"/>
          <w:color w:val="auto"/>
        </w:rPr>
      </w:pPr>
    </w:p>
    <w:p>
      <w:pPr>
        <w:ind w:left="700" w:hanging="36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Declines in the level of real estate activity or the average price of real estate sales are likely to adversely affect our title insurance revenues. In 2008 and continuing through 2011, the continued mortgage delinquency and default rates caused negative operating results at a number of banks and financial institutions and, as a result, continued to suppress the level of lending activity. The Mortgage Bankers Association's ("MBA") Mortgage Finance Forecast currently estimates an approximately $1.0 trillion mortgage origination market for 2012, which would be a decrease of 23.1% from 2011. The MBA forecasts that the 23.1% decrease will result almost entirely from decreased refinance activity. Our revenues in future periods will continue to be subject to these and other factors which are beyond our control and, as a result, are likely to fluctuate.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 continued economic downturn could cause these balances to become impaired, requiring write-downs that would reduce our operating income.</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Goodwill aggregated approximately $1,452.2 million, or 18.5% of our total assets, as of December 31, 2011.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2011. However, if there is a continued economic downturn,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a continued economic downturn on our business to determine if there is an impairment of goodwill in future periods.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 We own a minority interest in Ceridian Corporation ("Ceridian"), a leading provider of global human capital management and payment solutions. We also own a minority interest in Remy International, Inc. (“Remy”), a designer, manufacturer, remanufacturer, marketer and distributor of aftermarket and original equipment electrical components for automobiles, light trucks, heavy-duty trucks and other vehicles. If the fair value of one of these companies were to decline below book value, we would be required to write down the value of our investment, which could have a material negative impact on our results of operations and financial condition. If one of these companies were to experience significant negative volatility in their results of operations it would have a material adverse effect on our own results of operations due to our inclusion of our portion of their earnings in our results of operations.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$5.4 billion at December 31, 2011.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134" w:lineRule="exact"/>
        <w:rPr>
          <w:sz w:val="20"/>
          <w:szCs w:val="20"/>
          <w:color w:val="auto"/>
        </w:rPr>
      </w:pPr>
    </w:p>
    <w:p>
      <w:pPr>
        <w:ind w:left="180" w:firstLine="58"/>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more qualitative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134"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color w:val="auto"/>
        </w:rPr>
        <w:t>Our average provision for claim losses was 6.8% of title premiums in 2011. We will reassess the provision to be recorded in future periods consistent with this methodology and can make no assurance that we will not need to record additional charges in the future to increase reserves in respect of prior periods.</w:t>
      </w:r>
    </w:p>
    <w:p>
      <w:pPr>
        <w:spacing w:after="0" w:line="12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Regulation.”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title insurance subsidiaries are subject to extensive rate regulation by the applicable state agencies in the jurisdictions in which they operate. Title insurance rates are regulated differently in the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 See also the risk factor below relating to regulatory conditions in California.</w:t>
      </w:r>
    </w:p>
    <w:p>
      <w:pPr>
        <w:spacing w:after="0" w:line="10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for approximately 15.8 percent of our title insurance premiums, our business may be adversely affected by regulatory conditions in California.</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California is the largest source of revenue for the title insurance industry and, in 2011, California-based premiums accounted for 35.4% of premiums earned by our direct operations and 1.3% of our agency premium revenues. In the aggregate, California accounted for approximately 15.8% of our total title insurance premiums for 2011.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the rating agencies downgrade our Company, our results of operations and competitive position in the title insurance industry may suffer.</w:t>
      </w:r>
    </w:p>
    <w:p>
      <w:pPr>
        <w:spacing w:after="0" w:line="1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119" w:lineRule="exact"/>
        <w:rPr>
          <w:sz w:val="20"/>
          <w:szCs w:val="20"/>
          <w:color w:val="auto"/>
        </w:rPr>
      </w:pPr>
    </w:p>
    <w:p>
      <w:pPr>
        <w:jc w:val="both"/>
        <w:ind w:left="180"/>
        <w:spacing w:after="0" w:line="312" w:lineRule="auto"/>
        <w:rPr>
          <w:sz w:val="20"/>
          <w:szCs w:val="20"/>
          <w:color w:val="auto"/>
        </w:rPr>
      </w:pPr>
      <w:r>
        <w:rPr>
          <w:rFonts w:ascii="Arial" w:cs="Arial" w:eastAsia="Arial" w:hAnsi="Arial"/>
          <w:sz w:val="16"/>
          <w:szCs w:val="16"/>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has stated that we may make acquisitions in lines of business that are not directly tied to or synergistic with our core operating segments. Accordingly, we have in the past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93"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2012, our title insurers may pay dividends or make distributions to us without prior regulatory approval of approximately $107.6 million.</w:t>
      </w:r>
    </w:p>
    <w:p>
      <w:pPr>
        <w:spacing w:after="0" w:line="133"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could have conflicts with Fidelity National Information Services ("FIS"), and our chairman of our Board of Directors and other officers and directors could have conflicts of interest due to their relationships with FIS.</w:t>
      </w:r>
    </w:p>
    <w:p>
      <w:pPr>
        <w:spacing w:after="0" w:line="116"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8"/>
          <w:szCs w:val="18"/>
          <w:color w:val="auto"/>
        </w:rPr>
        <w:t>FIS and FNF were under common ownership by another publicly traded company, also called Fidelity National Financial, Inc. (“Old FNF”) until October 2006, when Old FNF distributed all of its FNF shares to the stockholders of Old FNF (the "2006 Distribution"). In November 2006, Old FNF then merged into FIS.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Conflicts may arise between us and FIS as a result of our ongoing agreements and the nature of our respective businesses.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party to a number of agreements with FIS, and we may enter into further agreements with FIS. Certain of our executive officers and directors could be subject to conflicts of interest with respect to such agreements and other matters due to their relationships with FIS.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Some of our executive officers and directors own substantial amounts of FIS stock and stock options. Such ownership could create or appear to create potential conflicts of interest when our directors and officers are faced with decisions that involve FIS or any of its subsidiaries.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William P. Foley, II, is the executive chairman of our Board of Directors and the Chairman of the Board of FIS. As a result of these roles, he has obligations to us and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 Foley is able to allot, then his oversight of that company’s activities could be diminished. Finally, FIS and FNF have several overlapping directors and officers.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Matters that could give rise to conflicts between us and FIS include, among other things:</w:t>
      </w:r>
    </w:p>
    <w:p>
      <w:pPr>
        <w:spacing w:after="0" w:line="171" w:lineRule="exact"/>
        <w:rPr>
          <w:sz w:val="20"/>
          <w:szCs w:val="20"/>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ongoing and future relationships with FIS, including related party agreements and other arrangements with respect to the information technology support services, administrative corporate support and cost sharing services, indemnification, and other matters;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and pricing of services that we have agreed to provide to FIS or that it has agreed to provide to us.</w:t>
      </w:r>
    </w:p>
    <w:p>
      <w:pPr>
        <w:spacing w:after="0" w:line="171" w:lineRule="exact"/>
        <w:rPr>
          <w:sz w:val="20"/>
          <w:szCs w:val="20"/>
          <w:color w:val="auto"/>
        </w:rPr>
      </w:pPr>
    </w:p>
    <w:p>
      <w:pPr>
        <w:jc w:val="both"/>
        <w:ind w:left="60" w:firstLine="324"/>
        <w:spacing w:after="0" w:line="312" w:lineRule="auto"/>
        <w:rPr>
          <w:sz w:val="20"/>
          <w:szCs w:val="20"/>
          <w:color w:val="auto"/>
        </w:rPr>
      </w:pPr>
      <w:r>
        <w:rPr>
          <w:rFonts w:ascii="Arial" w:cs="Arial" w:eastAsia="Arial" w:hAnsi="Arial"/>
          <w:sz w:val="16"/>
          <w:szCs w:val="16"/>
          <w:color w:val="auto"/>
        </w:rPr>
        <w:t>We seek to manage these potential conflicts through dispute resolution and other provisions of our agreements with FIS and through oversight by independent members of our Board of Directors. However, there can be no assurance that such measures will be effective or that we will be able to resolve all potential conflicts with FIS, or that the resolution of any such conflicts will be no less favorable to us than if we were dealing with a third party.</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171"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our corporate headquarters on our campus in Jacksonville, Florida. The majority of our branch offices are leased from third parties (see note K to Notes to Consolidated Financial Statements). Our subsidiaries conduct their business operations primarily in leased office space in 43 states, Washington, DC, Puerto Rico, Canada, India and Mexico.</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 discussed below, depart from customary litigation incidental to our business.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for any particular period if an unfavorable outcome results, at present we do not believe that the ultimate resolution of currently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pending legal proceedings, either individually or in the aggregate, will have a material adverse effect on our financial condition, results of operations or cash flows.</w:t>
      </w:r>
    </w:p>
    <w:p>
      <w:pPr>
        <w:spacing w:after="0" w:line="17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November 24, 2010, plaintiffs filed a purported class action in the United States District Court, Northern District of California, Oakland Division titled Vivian Hays, et al. vs. Commonwealth Land Title Insurance Company and Lawyers Title Insurance Corporation, which we refer to as the Hays action. Plaintiffs seek to represent a class of all persons who deposited their exchange funds with LandAmerica 1031 Exchange Service (“LES”) and were not able to use them in their contemplated exchanges due to the alleged illiquidity of LES caused by the collapse of the auction rate security market in early 2008. Plaintiffs allege Commonwealth Land Title Insurance Company and Lawyers Title Insurance Corporation (which was merged into Fidelity National Title Insurance Company) knew of the problems at LES and had an obligation of disclosure to exchangers, but did not disclose and instead recommended exchangers use LES in order to fund prior exchangers' transactions with money from new exchangers. In the initial complaint, plaintiffs sued our subsidiaries Commonwealth Land Title Insurance Company and Lawyers Title Insurance Corporation for negligence, breach of fiduciary duty, constructive fraud and aiding and abetting LES. Plaintiffs ask for compensatory and punitive damages, prejudgment interest and reasonable attorney's fees. The case was transferred on our motion to a Multi-District Litigation proceeding in South Carolina and a status conference was held on April 22, 2011. This case was stayed until a decision was made on motions pending in a similar class action against an unrelated party. The court in that case ruled on June 15, 2011 on the motion to dismiss the complaint filed by the unrelated party and dismissed the complaint. The plaintiffs in the case against Commonwealth Land Title Insurance Company and Lawyers Title Insurance Corporation filed an amended complaint on August 15, 2011. The complaint added approximately twenty new plaintiffs and two new defendants; Commonwealth Land Title Company and LandAmerica Charter Title Company, both of which are affiliates of FNF. It also expanded the causes of action. The new causes of action are aiding and abetting fraud committed by LES; conspiracy to commit fraud with LES; aiding and abetting breach of fiduciary duty by LES; aiding and abetting conversion of trust funds by LES; enterprise liability; negligence; breach of fiduciary duty; conversion of escrow funds and RICO liability. We filed a motion to dismiss the second amended complaint on September 30, 2011 as we believe we have strong legal and factual defenses to this action. The amended complaint did not seek a specified amount of damages as to each of the plaintiffs but is seeking damages to plaintiffs and potential class members measured by the loss of their property, consequential damages and other elements of damages including punitive and treble damages. A hearing on the motion to dismiss was held on January 17, 2012 but no ruling has been issued. We are uncertain as to the total volume of claims against LES that remain unsatisfied; however in a related case, on January 26, 2012 the LES liquidation trust filed a motion to approve a settlement agreement between the LES liquidation trust, the LFG liquidation trust and certain underwriters at Lloyd's of London with the Bankruptcy Court for the Eastern District of Virginia. The motion asks the bankruptcy court to approve the settlement, which would have the effect of exhausting all insurance coverage for the LandAmerica Financial Group, Inc. (“LFG”) entities, including the entities FNF purchased ("FNF entities") from LFG that are named as defendants in the Hays action. The FNF entities are co-insureds under the Lloyds policies, had made claims based on the LES 1031 litigation, and other claims as a result of operations. Despite having made these claims as co-insureds</w:t>
      </w:r>
      <w:r>
        <w:rPr>
          <w:rFonts w:ascii="Arial" w:cs="Arial" w:eastAsia="Arial" w:hAnsi="Arial"/>
          <w:sz w:val="16"/>
          <w:szCs w:val="16"/>
          <w:color w:val="1F497D"/>
        </w:rPr>
        <w:t>,</w:t>
      </w:r>
      <w:r>
        <w:rPr>
          <w:rFonts w:ascii="Arial" w:cs="Arial" w:eastAsia="Arial" w:hAnsi="Arial"/>
          <w:sz w:val="16"/>
          <w:szCs w:val="16"/>
          <w:color w:val="auto"/>
        </w:rPr>
        <w:t xml:space="preserve"> and having requested notice</w:t>
      </w:r>
      <w:r>
        <w:rPr>
          <w:rFonts w:ascii="Arial" w:cs="Arial" w:eastAsia="Arial" w:hAnsi="Arial"/>
          <w:sz w:val="16"/>
          <w:szCs w:val="16"/>
          <w:color w:val="1F497D"/>
        </w:rPr>
        <w:t>,</w:t>
      </w:r>
      <w:r>
        <w:rPr>
          <w:rFonts w:ascii="Arial" w:cs="Arial" w:eastAsia="Arial" w:hAnsi="Arial"/>
          <w:sz w:val="16"/>
          <w:szCs w:val="16"/>
          <w:color w:val="auto"/>
        </w:rPr>
        <w:t xml:space="preserve"> and an opportunity to negotiate with Lloyds and the LES liquidation trust to find a mutually acceptable resolution to all claims, Lloyds and LES excluded the FNF entities from the settlement negotiation. On February 17, 2012 the FNF entities filed an objection to approval of the settlement. The FNF entities argued that the self-insured retention amounts and potential coverage have not been sufficiently disclosed and/or are incorrectly calculated, as well as that it is inequitable to exhaust coverage under the policy by settling with the LES liquidation trust leaving our claims unsatisfied. The matter is scheduled for hearing on February 23, 2012. In the settlement agreement, LES asserts total losses in excess of $300 million for exchange funds and taxes lost as well as defense costs of more than $12 million. According to the settlement agreement, the LES liquidation trust or the LFG liquidation trust have already paid more than $200 million of the total losses to claimants. If the settlement agreement is approved, $38 million would be distributed under certain Lloyds insurance coverages pursuant to the settlement agreement. Based on the facts of the settlement agreement, and assuming the Lloyds settlement is approved, which it may not be, $74 million of losses and attorney's fees remain unpaid. In order to make any meaningful estimate of our potential exposure, if any, under this case, we must consider multiple variables, including the following. First, it is uncertain what, if any, of the causes of action plead will remain after the court rules on our motion to dismiss. Also, at this time, no discovery has been undertaken or exchanged between the parties. The potential population of plaintiffs and/or class members under each cause of action alleged against us has not been determined and therefore neither has the amount of the potential compensatory loss for the exchange amount or other interest and tax savings allegedly lost. Our potential exposure will also be affected by the approval of the LES settlement agreement discussed above as well as other related cases that are outstanding. Due to these factors, among others, and the early stage of this case, it is not possible to make a meaningful estimate of the amount or range of loss to the Company, if any, that could result from this case at this time. We intend to continue to vigorously defend this action.</w:t>
      </w:r>
    </w:p>
    <w:p>
      <w:pPr>
        <w:spacing w:after="0" w:line="3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its processes and documentation. All of such matters may in the future result in claims or fines to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money or take other actions.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Price High</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Price Low</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Cash Dividends</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2011</w:t>
            </w:r>
          </w:p>
        </w:tc>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gridSpan w:val="2"/>
          </w:tcPr>
          <w:p>
            <w:pPr>
              <w:ind w:left="35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2010</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860" w:type="dxa"/>
            <w:vAlign w:val="bottom"/>
            <w:gridSpan w:val="2"/>
          </w:tcPr>
          <w:p>
            <w:pPr>
              <w:ind w:left="35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4"/>
                <w:szCs w:val="24"/>
                <w:color w:val="auto"/>
              </w:rPr>
            </w:pPr>
          </w:p>
        </w:tc>
        <w:tc>
          <w:tcPr>
            <w:tcW w:w="3500" w:type="dxa"/>
            <w:vAlign w:val="bottom"/>
          </w:tcPr>
          <w:p>
            <w:pPr>
              <w:jc w:val="right"/>
              <w:ind w:right="157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125" w:right="6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stockholder return on our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2011.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2006, with dividends reinvested over the periods indicated.</w:t>
      </w:r>
    </w:p>
    <w:p>
      <w:pPr>
        <w:spacing w:after="0" w:line="16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Among Fidelity National Financial, Inc., the S&amp;P 500 Index</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3667760</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142875</wp:posOffset>
            </wp:positionV>
            <wp:extent cx="5848985" cy="3198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9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12/31/2006</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12/31/2007</w:t>
            </w: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12/31/2008</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12/31/2009</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12/31/2010</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12/31/2011</w:t>
            </w:r>
          </w:p>
        </w:tc>
      </w:tr>
      <w:tr>
        <w:trPr>
          <w:trHeight w:val="393"/>
        </w:trPr>
        <w:tc>
          <w:tcPr>
            <w:tcW w:w="290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100.00</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64.93</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84.61</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66.80</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71.27</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85.66</w:t>
            </w:r>
          </w:p>
        </w:tc>
      </w:tr>
      <w:tr>
        <w:trPr>
          <w:trHeight w:val="270"/>
        </w:trPr>
        <w:tc>
          <w:tcPr>
            <w:tcW w:w="2900" w:type="dxa"/>
            <w:vAlign w:val="bottom"/>
          </w:tcPr>
          <w:p>
            <w:pPr>
              <w:ind w:left="40"/>
              <w:spacing w:after="0"/>
              <w:rPr>
                <w:sz w:val="20"/>
                <w:szCs w:val="20"/>
                <w:color w:val="auto"/>
              </w:rPr>
            </w:pPr>
            <w:r>
              <w:rPr>
                <w:rFonts w:ascii="Arial" w:cs="Arial" w:eastAsia="Arial" w:hAnsi="Arial"/>
                <w:sz w:val="14"/>
                <w:szCs w:val="14"/>
                <w:color w:val="auto"/>
              </w:rPr>
              <w:t>S&amp;P 500</w:t>
            </w: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100.00</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105.49</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66.46</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84.05</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96.71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98.75</w:t>
            </w:r>
          </w:p>
        </w:tc>
      </w:tr>
      <w:tr>
        <w:trPr>
          <w:trHeight w:val="270"/>
        </w:trPr>
        <w:tc>
          <w:tcPr>
            <w:tcW w:w="290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100.00</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81.87</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71.78</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78.22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63.81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56.08</w:t>
            </w:r>
          </w:p>
        </w:tc>
      </w:tr>
    </w:tbl>
    <w:p>
      <w:pPr>
        <w:spacing w:after="0" w:line="160"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On January 31, 2012 the last reported sale price of our common stock on the New York Stock Exchange was $18.19 per share and we had approximately 5,311 stockholders of record.</w:t>
      </w:r>
    </w:p>
    <w:p>
      <w:pPr>
        <w:spacing w:after="0" w:line="116"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8"/>
          <w:szCs w:val="18"/>
          <w:color w:val="auto"/>
        </w:rPr>
        <w:t>On February 8, 2012, our Board of Directors formally declared a $0.14 per share cash dividend that is payable on March 30, 2012 to stockholders of record as of March 16, 2012.</w:t>
      </w:r>
    </w:p>
    <w:p>
      <w:pPr>
        <w:spacing w:after="0" w:line="116"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133"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2011, $2,203.3 million of our net assets are restricted from dividend payments without prior approval from the Departments of Insurance in the States where our title insurance subsidiaries are domiciled. During</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2012, our directly owned title insurance subsidiaries can pay dividends or make distributions to us of approximately $107.6 million without prior approval.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limits placed on such subsidiaries’ abilities to pay dividends affect our ability to pay dividends.</w:t>
      </w:r>
    </w:p>
    <w:p>
      <w:pPr>
        <w:spacing w:after="0" w:line="15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21, 2009, our Board of Directors approved a three-year stock repurchase program under which we can repurchase up to 15 million shares through July 31, 2012. On January 27, 2011, our Board of Directors approved an additional 5 million shares that may be repurchased under the program. We may make repurchases from time to time in the open market, in block purchases or in privately negotiated transactions, depending on market conditions and other factors. Since the original commencement of the plan, and through December 31, 2011, we have repurchased a total of 15,378,512 shares for $221.7 million, or an average of $14.42 per share. For more information, see “Liquidity and Capital Resources” in Item 7 of this Form 10-K.</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year ending December 31, 2011.</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Number of Shares</w:t>
            </w:r>
          </w:p>
        </w:tc>
        <w:tc>
          <w:tcPr>
            <w:tcW w:w="120" w:type="dxa"/>
            <w:vAlign w:val="bottom"/>
          </w:tcPr>
          <w:p>
            <w:pPr>
              <w:spacing w:after="0"/>
              <w:rPr>
                <w:sz w:val="12"/>
                <w:szCs w:val="12"/>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1/1/2011 - 1/31/2011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w:t>
            </w:r>
          </w:p>
        </w:tc>
        <w:tc>
          <w:tcPr>
            <w:tcW w:w="1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10,011,338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2/1/2011 - 2/28/2011</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730,150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730,150</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9,281,188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3/1/2011 - 3/31/2011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w:t>
            </w:r>
          </w:p>
        </w:tc>
        <w:tc>
          <w:tcPr>
            <w:tcW w:w="1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9,231,188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4/1/2011 - 4/30/2011</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9,231,188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5/1/2011 - 5/31/2011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9,231,188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6/1/2011 - 6/30/2011</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9,231,188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7/1/2011 - 7/31/2011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4,609,700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4,609,700</w:t>
            </w:r>
          </w:p>
        </w:tc>
        <w:tc>
          <w:tcPr>
            <w:tcW w:w="1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8/1/2011 - 8/31/2011</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9/1/2011 - 9/30/2011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10/1/2011 - 10/31/2011</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11/1/2011 - 11/30/2011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12/1/2011 - 12/31/2011</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4,621,488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5,419,850</w:t>
            </w: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5,419,850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(1) As of the last day of the applicable month.</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5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2011 presentation.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22, 2008, we completed the acquisition of LandAmerica Financial Group's two principal title insurance underwriters, Commonwealth Land Title Insurance Company and Lawyers Title Insurance Corporation, as well as United Capital Title Insurance Company (collectively, the “LFG Underwriters”). For periods subsequent to December 22, 2008, the LFG Underwriters are included in our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2009(1)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9"/>
              </w:rPr>
              <w:t>2008(2)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2007(3)</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4,839.6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5,413.3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5,521.3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3,935.6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5,136.7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1,578.0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1,291.8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1,758.7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4,864.6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Earnings (loss) before income taxes, equity in earnings (loss) of unconsolidated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 and noncontrolling interest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Earnings (loss) before equity in earnings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Earnings from discontinued operations, net of tax</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Less: net earnings (loss) attributable to noncontrolling interests</w:t>
            </w: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620"/>
              <w:spacing w:after="0"/>
              <w:rPr>
                <w:sz w:val="20"/>
                <w:szCs w:val="20"/>
                <w:color w:val="auto"/>
              </w:rPr>
            </w:pPr>
            <w:r>
              <w:rPr>
                <w:rFonts w:ascii="Arial" w:cs="Arial" w:eastAsia="Arial" w:hAnsi="Arial"/>
                <w:sz w:val="18"/>
                <w:szCs w:val="18"/>
                <w:color w:val="auto"/>
                <w:w w:val="89"/>
              </w:rPr>
              <w:t>23</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5"/>
              </w:rPr>
              <w:t>2009(1)</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2008(2)</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2007(3)</w:t>
            </w: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gridSpan w:val="5"/>
          </w:tcPr>
          <w:p>
            <w:pPr>
              <w:jc w:val="center"/>
              <w:ind w:right="23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 (4):</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Basic net earnings (loss) per share attributable to FNF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1.69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0.99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(0.85)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0.60</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 basis (4)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219.0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226.2</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224.7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210.0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216.6</w:t>
            </w:r>
          </w:p>
        </w:tc>
      </w:tr>
      <w:tr>
        <w:trPr>
          <w:trHeight w:val="229"/>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8"/>
              </w:rPr>
              <w:t>Diluted net earnings (loss) per share attributable to FNF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1.66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0.97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(0.85)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0.59</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diluted basis (4)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222.7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229.3</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228.5</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210.0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220.0</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0.69</w:t>
            </w:r>
          </w:p>
        </w:tc>
        <w:tc>
          <w:tcPr>
            <w:tcW w:w="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0.60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1.05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1.20</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Investments (5)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4,051.7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4,358.5</w:t>
            </w:r>
          </w:p>
        </w:tc>
        <w:tc>
          <w:tcPr>
            <w:tcW w:w="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4,685.4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4,376.5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4,101.8</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665.7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580.8</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315.3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569.6</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7,862.1</w:t>
            </w: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7,887.5</w:t>
            </w:r>
          </w:p>
        </w:tc>
        <w:tc>
          <w:tcPr>
            <w:tcW w:w="4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7,934.4</w:t>
            </w: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8,368.2</w:t>
            </w: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7,587.8</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915.8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952.0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861.9</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1,350.8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1,167.7</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Reserve for claim losses (7)</w:t>
            </w: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1,912.8</w:t>
            </w: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2,270.1</w:t>
            </w:r>
          </w:p>
        </w:tc>
        <w:tc>
          <w:tcPr>
            <w:tcW w:w="4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2,539.2</w:t>
            </w: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2,735.7</w:t>
            </w: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1,416.7</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3,655.9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3,444.4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3,344.9</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2,856.8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3,298.0</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Book value per share (8)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16.57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15.39</w:t>
            </w:r>
          </w:p>
        </w:tc>
        <w:tc>
          <w:tcPr>
            <w:tcW w:w="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14.53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13.29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15.48</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320" w:type="dxa"/>
            <w:vAlign w:val="bottom"/>
          </w:tcPr>
          <w:p>
            <w:pPr>
              <w:spacing w:after="0"/>
              <w:rPr>
                <w:sz w:val="21"/>
                <w:szCs w:val="21"/>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2,140.1</w:t>
            </w: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2,385.3</w:t>
            </w:r>
          </w:p>
        </w:tc>
        <w:tc>
          <w:tcPr>
            <w:tcW w:w="4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2,611.4</w:t>
            </w: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1,860.4</w:t>
            </w: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2,259.8</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1,514.2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1,574.3</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1,792.0</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1,121.2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1,434.8</w:t>
            </w:r>
          </w:p>
        </w:tc>
      </w:tr>
      <w:tr>
        <w:trPr>
          <w:trHeight w:val="229"/>
        </w:trPr>
        <w:tc>
          <w:tcPr>
            <w:tcW w:w="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Provision for title insurance claim losses as a percent of title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insurance premiums (7)</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related revenue (9):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2009, include a decrease to our provision for claim losses of $74.4 million ($47.1 million net of income taxes) as a result of favorable claim loss development on prior policy years, offset by an increase to the provision for claim losses of $63.2 million ($40.0 million net of income taxes) as a result of unfavorable developments in the third quarter on a previously recorded insurance receivable.</w:t>
      </w:r>
    </w:p>
    <w:p>
      <w:pPr>
        <w:spacing w:after="0" w:line="19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2008, include a charge to our provision for claim losses of $261.6 million ($154.1 million net of income taxes) which we recorded as a result of adverse claim loss development on prior policy years.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2007, include charges to our provision for claim losses totaling $217.2 million ($159.5 million net of income taxes) which we recorded as a result of adverse claim loss development on prior policy years.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 average shares outstanding as of December 31, 2009 includes 18,170,000 shares that were issued as part of an equity offering by FNF on April 20, 2009.</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as of December 31, 2011, 2010, 2009, 2008, and 2007, include securities pledged to secured trust deposits of $274.2 million, $252.1 million, $288.7 million, $382.6 million, and $513.8 million, respectively.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as of December 31, 2011, 2010, 2009, 2008, and 2007 include cash pledged to secured trust deposits of $161.3 million, $146.2 million, $96.8 million, $109.6 million, and $193.5 million, respectively.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result of favorable title insurance claim loss development on prior policy years, we recorded a credit in 2009 totaling $74.4 million, or $47.1 million net of income taxes, to our provision for claims losses. As a result of adverse title insurance claim loss development on prior policy years, we recorded charges in 2008 totaling $261.6 million, or $154.1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net of income taxes, and in 2007 totaling $217.2 million, or $159.5 million net of income taxes, to our provision for claim losses. These credits/charges were recorded in addition to our average provision for claim losses of 7.3%, 8.5% and 7.5% for the years ended December 31, 2009, 2008, and 2007, respectively.</w:t>
      </w:r>
    </w:p>
    <w:p>
      <w:pPr>
        <w:spacing w:after="0" w:line="154"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Selected Quarterly Financial Data (Unaudited)</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160" w:type="dxa"/>
            <w:vAlign w:val="bottom"/>
          </w:tcPr>
          <w:p>
            <w:pPr>
              <w:ind w:left="280"/>
              <w:spacing w:after="0"/>
              <w:rPr>
                <w:sz w:val="20"/>
                <w:szCs w:val="20"/>
                <w:color w:val="auto"/>
              </w:rPr>
            </w:pPr>
            <w:r>
              <w:rPr>
                <w:rFonts w:ascii="Arial" w:cs="Arial" w:eastAsia="Arial" w:hAnsi="Arial"/>
                <w:sz w:val="18"/>
                <w:szCs w:val="18"/>
                <w:color w:val="auto"/>
              </w:rPr>
              <w:t>Selected quarterly financial data is as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0"/>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w w:val="93"/>
              </w:rPr>
              <w:t>(Dollars in millions, except per share data)</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1,131.9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1,233.7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1,201.1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Earnings from continuing operations before income taxes, equity 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unconsolidated affiliates, and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109.2</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Net earnings attributable to Fidelity National Financial, Inc. common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74.3</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Basic earnings per share attributable to Fidelity National 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0.36</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Diluted earnings per share attributable to Fidelity National Financial,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0.78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1,411.0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5"/>
              </w:rPr>
              <w:t>Earnings from continuing operations before income taxes, equity in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loss of unconsolidated affiliates, and noncontrolling interest</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206.9</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earnings attributable to Fidelity National Financial, Inc. common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139.6</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Basic earnings per share attributable to Fidelity National Financial,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0.61</w:t>
            </w:r>
          </w:p>
        </w:tc>
        <w:tc>
          <w:tcPr>
            <w:tcW w:w="3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Diluted earnings per share attributable to Fidelity National 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0.07</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0.36</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2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0.18</w:t>
            </w:r>
          </w:p>
        </w:tc>
      </w:tr>
      <w:tr>
        <w:trPr>
          <w:trHeight w:val="81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91"/>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through our subsidiaries provides title insurance, mortgage services, and diversified services. We are the nation's largest title insurance company through our title insurance underwriters — Fidelity National Title, Chicago Title, Commonwealth Land Title, and Alamo Title — which collectively issued more title insurance policies in 2011 than any other title company in the United States. We own a minority interest in Ceridian Corporation (“Ceridian”), a leading provider of global human capital management and payment solutions. We also own a minority interest in Remy International, Inc. (“Remy”), a leading designer, manufacturer, remanufacturer, marketer and distributor of aftermarket and original equipment electrical components for automobiles, light trucks, heavy-duty trucks and other vehicles and American Blue Ribbon Holdings, LLC, an owner and operator of the Village Inn, Bakers Square and Max &amp; Erma's restaurants.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two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FNF’s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other smaller operations, and our share in the operations of certain equity investments, including Ceridian and Remy and our former investment in Sedgwick in 2009 and 2010.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5, 2012, we entered into a definitive agreement to acquire all of the outstanding shares of common stock of O'Charley's Inc., which operates more than 340 full-service restaurants under the O'Charley's, Ninety Nine and Stoney River Legendary Steaks concepts, that we do not currently own for $9.85 per share in cash. O'Charley's Inc. had 21,967,041 shares outstanding as of December 31, 2011. We own 2,079,542 or 9.5% of the outstanding shares of O'Charley's Inc. common stock prior to the tender offer. The merger is expected to close in May 2012 and is subject to successful completion of the tender and other customary closing conditions.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27, 2011, we entered into a definitive agreement under which we will sell an 85% interest in our remaining subsidiaries that write personal lines insurance to WT Holdings, Inc. for approximately $119.5 million. The sales price is subject to typical closing adjustments based on working capital and surplus. The transaction is expected to close by the second quarter of 2012 and is subject to regulatory approval and closing conditions. Accordingly, the results of this business (which we refer to as our "at-risk" insurance business) for all periods presented are reflected as discontinued operations. The at-risk insurance business sale is expected to result in a pre-tax loss of approximately $15.1 million, which was recorded in the fourth quarter of 2011. See note A of the Notes to Consolidated Financial Statements for further details on this transaction.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31, 2011, we completed the sale of our flood insurance business to WRM America Holdings LLC for $135.0 million in cash and dividends, and a $75.0 million seller note. The seller note has an eight percent annual interest coupon, with interest payable quarterly and principal payable in full eighteen months subsequent to closing. Accordingly, the results of the flood insurance business for all periods presented are reflected as discontinued operations. The flood insurance business sale resulted in a pre-tax gain of approximately $154.1 million. See note A of the Notes to Consolidated Financial Statements for further details on this transaction.</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August 2, 2011, we completed an offering of $300.0 million in aggregate principal amount of 4.25% convertible senior notes due August 2018 (the "Notes"), pursuant to an effective registration statement previously filed with the Securities and Exchange Commission. The Notes were issued for cash at 100% of their principal amount. However, for financial reporting purposes, the notes were deemed to have been issued at 92.818% of par value, and as such we recorded a discount of $21.5 million to be amortized to August 2018, when the notes mature. The Notes will be convertible into cash, shares of common stock, or a combination of cash and shares of common stock, at our election, based on an initial conversion rate, subject to adjustment. We used $75.0 million of the proceeds from the Notes to purchase 4,609,700 shares of our common stock at $16.27 per share in privately negotiated transactions concurrently with the issuance. We used the remaining net proceeds along with other cash on hand for repayment of $250.0 million outstanding debt on our revolving credit agreement. Interest is payable semi-annually. See note H of the 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financial statements reflect transactions with Fidelity National Information Services ("FIS"), which is a related party, and with Lender Processing Services ("LPS") through March 15, 2009, which was a related party until that date. See note A of the Notes to Consolidated Financial Statements.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Trends and Conditions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Declines in the level of real estate activity or the average price of real estate sales will adversely affect our title insurance revenues. Both the volume and the average price of residential real estate transactions have experienced declines in many parts of the country over the past several years from 2005 and prior levels, resulting in a reduction of revenues in our businesses. These trends appear likely to continue.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the United States economy is weak, including during high unemployment levels.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2007, as interest rates on adjustable rate mortgages reset to higher rates, foreclosures on subprime mortgage loans increased to record levels. This resulted in a significant decrease in levels of available mortgage funding as investors became wary of the risks associated with investing in subprime mortgage loans. In addition, tighter lending standards and a bearish outlook on the real estate environment caused potential home buyers to become reluctant to purchase homes. In 2008, the increase in foreclosure activity, which had previously been limited to the subprime mortgage market, became more widespread as borrowers encountered difficulties in attempting to refinance their adjustable rate mortgages. In the last three years, the elevated mortgage delinquency and default rates caused negative operating results at a number of banks and financial institutions and, as a result, significantly reduced the level of lending activity. Multiple banks have failed over the past three years and others may fail in the future, further reducing the capacity of the mortgage industry to make loans.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December of 2008, the Federal Reserve has held the federal funds rate at 0.0%-0.25%, and has indicated that rates will stay at this level at least through late 2014. This action by the Federal Reserve, along with other government programs designed to increase liquidity in the mortgage markets, resulted in a significant increase in our refinance order volumes in December 2008 and continued to positively affect our revenues through the first nine months of 2009. In the fourth quarter of 2009 and through 2010, we again experienced a decline in order volumes. Mortgage interest rates remained at historically low levels throughout 2010 and continued to decrease in 2011.</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According to the MBA, U.S. mortgage originations (including refinancings) were approximately $1.3 trillion, $1.6 trillion and $2.0 trillion in 2011, 2010 and 2009, respectively. The MBA’s Mortgage Finance Forecast currently estimates an approximately $1.0 trillion mortgage origination market for 2012, which would be a decrease of 23.1% from 2011. The MBA forecasts that the 23.1% decrease will result almost entirely from decreased refinance activity.</w:t>
      </w:r>
    </w:p>
    <w:p>
      <w:pPr>
        <w:spacing w:after="0" w:line="39" w:lineRule="exact"/>
        <w:rPr>
          <w:sz w:val="20"/>
          <w:szCs w:val="20"/>
          <w:color w:val="auto"/>
        </w:rPr>
      </w:pPr>
    </w:p>
    <w:p>
      <w:pPr>
        <w:jc w:val="both"/>
        <w:ind w:firstLine="369"/>
        <w:spacing w:after="0" w:line="269"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One of these programs, the American Recovery and Reinvestment Act of 2009, passed on February 17, 2009, was a $787 billion stimulus package, that provided an array of types of relief for homebuyers, such as an $8,000 tax credit that became available to first-time homebuyers for the purchase of a principal residence. The first-time homebuyers tax credit program expired on September 30, 2010. We believe these measures had a positive impact on our 2010 order volumes. More recently, on October 24, 2011, the Federal Housing Finance Agency announced a series of changes to the Home Affordable Refinance Program ("HARP") which would make it easier for certain borrowers who owe more than their home is worth and who are current on their mortgage payments to refinance their mortgages at lower interest rates. The new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program but it could take several months before the new loans are made and Fannie Mae and Freddie Mac will not begin buying certain types of refinanced loans until March 2012. We are uncertain to what degree the modified HARP program may affect our results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 2012, the Obama Administration announced new initiatives designed to increase refinancing of mortgages,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reduce foreclosures and improve the housing market. Under these initiatives, among other things: (i) certain borrowers with loans insured by Fannie Mae or Freddie Mac ("GSEs" and such loans, "GSE loans") and certain borrowers with non-GSE loans, through a new FHA program, would be able to refinance their mortgages and take advantage of historically low interest rates; (ii) the FHA will begin transitioning foreclosed properties in the nations hardest-hit cities into rental housing units; (iii) GSEs and major banks have begun offering one year of forbearance (up from three months) to certain unemployed borrowers; and (iv) the Home Affordable Modification Program ("HAMP") was extended through 2013, including easing the eligibility requirements and increasing the financial incentives for banks to participate. As indicated, the Obama Administration has already begun implementing these initiatives, except for the refinancing initiatives; however, the GSEs have not started the refinancing program. The Obama Administration is looking to Congress to pass legislation to implement a refinancing program for non-GSE loans. We are uncertain to what degree these initiatives may affect our results in the future.</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During 2010, a number of lenders imposed freezes on foreclosures in some or all states as they reviewed their foreclosure practices. In response to these freezes, the Office of the Comptroller of the Currency ("OCC") is concurrently reviewing the foreclosure practices in the residential mortgage loan servicing industry. On April 13, 2011, the OCC and other federal regulators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We are not involved in these enforcement actions and we do not believe that we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policies, we would have the right to seek recovery from the foreclosing lender in the event of a failure to comply with state laws or local practices in connection with a foreclosure. Many states continue to evaluate foreclosure practices and related legislation may change in the future. As with the freezes on foreclosures in 2010, the consent orders imposed by the federal regulators may continue to delay lender foreclosure completions.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9, 2012, federal officials, state attorneys general and representatives of Bank of America, JP Morgan Chase, Wells Fargo, Citigroup and Ally Financial agreed to a $25 billion settlement of federal and state investigations into the foreclosure practices of banks and other mortgage servicers from September 2008 to December 2011. Under the settlement, approximately one million underwater borrowers will have their mortgages reduced by lenders and 300,000 homeowners will be able to refinance their homes at lower interest rates. We are uncertain to what degree these initiatives may affect our results in the future.</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In the past five years we have seen a divergence from these historical trends with orders being negatively affected by a reduction in the availability of financing, rising default levels, and falling home values causing an overall downward trend in home sales. In addition we have noted short term fluctuations through recent years in resale and refinance transactions as a result of changes in interest rates and the implementation and subsequent expiration of government programs designed to stimulate the real estate market.</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However, from 2007 to 2009 we experienced a significant decrease in our average commercial fee per file, which we believe was due, in part, to a decrease in the number of closings of larger deals due to difficulties or delays in obtaining financing. During 2010 and especially 2011, we again saw an increase in fee per file and in the volume of commercial transactions, which may indicate an improvement in availability of financing in the commercial markets.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which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additional description of the significant accounting policies that have been followed in preparing our Consolidated Financial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Reserve for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 As of December 31, 2011 and 2010, our reserve for title claim losses was $1.9 billion and $2.2 billion, respectively.</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process for recording our reserves for claim losses begins with analysis of our loss provision rate. We forecast ultimate losses for each policy year based upon historical policy year loss emergence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minor amounts of estimated adverse or positive development on prior years' policies. Any significant adjustments to strengthen or release loss reserves resulting from the comparison with our actuarial analysis are made in addition to this loss provision rate. We have been recording our periodic loss provision rate at 6.8% of title premiums in 2011 and 2010 and at 5.1% of title premiums in 2009. Of such amounts, 5.8%, 6.0% and 7.3% related to losses on policies written in the current year, and the remainder relates to developments on prior year policies. In 2011, adverse development of $33.6 million or 1.0% of 2011 premiums was accounted for in the loss provision rate. At each quarter 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 This process resulted in us recording additional adjustments to our stated loss provision in 2009, as noted below.</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estimate, we assess the position within the actuarial range by analysis of other factors in order to determine that the recorded amount is our best estimate. These factors, which are more qualitative than quantitative, can change from period to period, and include items such as current trends in the real estate industry (which we can assess, but for which there is a time lag in the development of the data used by our actuary),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2,210.9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2,679.0</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Reserve assumed/transferred (a)</w:t>
            </w:r>
          </w:p>
        </w:tc>
        <w:tc>
          <w:tcPr>
            <w:tcW w:w="1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loss provision related to:</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1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7"/>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Total title claims loss provision</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222.3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37"/>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1,912.8</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Title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3,261.1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3,927.6</w:t>
            </w:r>
          </w:p>
        </w:tc>
        <w:tc>
          <w:tcPr>
            <w:tcW w:w="0" w:type="dxa"/>
            <w:vAlign w:val="bottom"/>
          </w:tcPr>
          <w:p>
            <w:pPr>
              <w:spacing w:after="0"/>
              <w:rPr>
                <w:sz w:val="1"/>
                <w:szCs w:val="1"/>
                <w:color w:val="auto"/>
              </w:rPr>
            </w:pPr>
          </w:p>
        </w:tc>
      </w:tr>
      <w:tr>
        <w:trPr>
          <w:trHeight w:val="426"/>
        </w:trPr>
        <w:tc>
          <w:tcPr>
            <w:tcW w:w="74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140" w:type="dxa"/>
            <w:vAlign w:val="bottom"/>
          </w:tcPr>
          <w:p>
            <w:pPr>
              <w:spacing w:after="0"/>
              <w:rPr>
                <w:sz w:val="21"/>
                <w:szCs w:val="21"/>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97"/>
              </w:rPr>
              <w:t>5.8%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w w:val="92"/>
              </w:rPr>
              <w:t>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 (b)</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3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7"/>
              </w:rPr>
              <w:t>6.8%</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2"/>
              </w:rPr>
              <w:t>6.8%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2008, we assumed an estimated $1.1 billion in additional reserves for claim losses with the acquisition of the LFG Underwriters. During 2009, we completed our evaluation of the fair value of this claims reserve as of the acquisition date and adjusted the balance by $3.1 million to reflect our best estimate of the fair value of the liability.</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2009, we released $74.4 million of our loss reserves in addition to recording our loss provision rate of 7.3%. The release of excess reserves was due to consideration of positive development in our actuary's analysis of our reserve position in light of lower claim payments in 2009.</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are made up of loss payments and claims management expenses offset by recoupments and were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Claims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Management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Net Loss</w:t>
            </w:r>
          </w:p>
        </w:tc>
      </w:tr>
      <w:tr>
        <w:trPr>
          <w:trHeight w:val="234"/>
        </w:trPr>
        <w:tc>
          <w:tcPr>
            <w:tcW w:w="56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Loss Payments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Expenses</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Recoupments</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Payments</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2011</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Year ending December 31, 2010</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526.8</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2011, the recorded reserve for title insurance claims losses was $1.9 billion, which was approximately $0.1 billion below the central estimate provided by our actuary, but within the provided actuarial range of $1.8 billion to $2.2 billion. We believe that our recorded reserves are reasonable and represent our best estimate. In reaching this conclusion, we considered the following qualitative factors.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recorded reserves were below the mid-point of the range of our actuarial estimates as of December 31, 2011 because the actual claims paid were greater than the claims projected to be paid in the model utilized by our actuary. A higher volume of claims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were settled in 2011 compared to 2010 resulting in higher overall loss payments, offset by the decrease in claims management expenses due to management initiatives relating to use of outside counsel and their fees and additional use of internal counsel in handling claims matters. Overall, net loss payments primarily related to the high volume policy years in the mid-2000s, particularly the 2005-2007 policy years. We believe that this development related to both the fact that these policy years have higher loss ratios and that the reporting of these claims has been accelerated. In addition, due to the volatility of claims payment experience, we have seen expansion of the actuarial range of estimated losses from the central estimate. The reasons for the higher loss payments and payment acceleration are as follows:</w:t>
      </w:r>
    </w:p>
    <w:p>
      <w:pPr>
        <w:spacing w:after="0" w:line="19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Historical high prices for real estate (thus higher policy limits as compared to premiums earned)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volume of real estate transactions increased likelihood of errors in the examination and closing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values and volumes of real estate transactions and weaker loan underwriting standards increased the likelihood of fraudulent transactions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Subsequent declines in home equity values resulted in lender losses that would not have been losses had home equity been maintained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foreclosures resulted in higher litigation costs and acceleration in reporting of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mechanic lien claims from failures of builders and developers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during the first half of 2009 we were integrating the claims processing function of the LFG Underwriters which involved the closing and consolidation of claims centers and subsequent integration into our existing operations.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Some traditional actuarial methods, such as paid loss development, are particularly sensitive to distortions in payment activity. We believe that the recent high level of foreclosure activity in 2009 and 2010 noted above is accelerating the reporting of claims, particularly lender claims, thereby increasing paid losses and expenses in 2010 and 2011. As a result, a paid loss development approach may temporarily overstate ultimate cost projections. We believe that losses and expenses related to this accelerated claims activity, specifically losses relating to lender policies, will have a shorter duration and that expected payments relating to these policy years will eventually return to or perhaps even drop below historical levels. We have also seen positive development relating to the 2009 through 2011 policy years, which we believe is indicative of more stringent underwriting standards by us and the lending industry. In addition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 policy claim paid relating to a property that is in foreclosure negates any potential loss under an owner's policy previously issued on the property as the owner has no equity in the property. In addition, the Company has seen significant positive developments in 2011 in claims management expenses as a percentage of our total net losses and these developments are not yet fully reflected in our actuarial analysis. Our ending open claim inventory also decreased from approximately 37,000 claims at December 31, 2010 to 33,000 claims at December 31, 2011. However, if actual claims loss development is worse than currently expected and is not offset by other positive factors, such as continued improvement in claims management expenses and the other factors mentioned above, it is reasonably possible that our recorded reserves may fall outside a reasonable range of our actuary's central estimate, which may require additional reserve strengthening in future periods.</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2010 and 2009, our recorded reserves were $2.2 billion and $2.5 billion which we determined was reasonable and represented our best estimate and these recorded amounts were within a reasonable range of the central estimates provided by our actuaries.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$32.6 million increase (decrease) in our annualized provision for title claim losses would occur if our loss provision rate were 1% higher (lower), based on 2011 title premiums of $3,261.1 million. A 10% increase (decrease) in the reserve for title claim losses would result in an increase (decrease) in our provision for title claim losses of approximately $191.3 million.</w:t>
      </w:r>
    </w:p>
    <w:p>
      <w:pPr>
        <w:spacing w:after="0" w:line="1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w:t>
      </w:r>
    </w:p>
    <w:p>
      <w:pPr>
        <w:jc w:val="both"/>
        <w:ind w:firstLine="8"/>
        <w:spacing w:after="0" w:line="288" w:lineRule="auto"/>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 Our investment portfolio exposure to sub-prime mortgage-backed securities is immaterial.</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2011 and 2010,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3,457.0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105.7</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40.8</w:t>
            </w: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3,528.4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3,689.1</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9"/>
        </w:trPr>
        <w:tc>
          <w:tcPr>
            <w:tcW w:w="6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3,484.8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3,494.3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75.2</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r>
      <w:tr>
        <w:trPr>
          <w:trHeight w:val="257"/>
        </w:trPr>
        <w:tc>
          <w:tcPr>
            <w:tcW w:w="65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3,484.8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3,659.6</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Level 3 investments consist of structured notes that were purchased in the third quarter of 2009, and in 2010 also include auction rate securities which were included in the assets of the LFG Underwriters acquired on December 22, 2008. The structured notes are held for general investment purposes and represent less than one percent of our total investment portfolio. The structured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 pricing methodologies for our Level 3 investments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ensure that they are reasonable and believe they represent an exit price as of December 31, 2011.</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2011, we incurred impairment charges of $17.1 million relating to investments that were determined to be other-than-temporarily impaired. Impairment charges in 2011 related to fixed maturity securities primarily resulting from our conclusion that the credit risk related to the holdings was high and the ability of the issuer to pay the full amount of the principal outstanding was unlikely. We recorded no impairment charges to our investments during 2010. During 2009, we incurred impairment charges relating to investments that were determined to be other-than-temporarily impaired, which resulted in charges of $6.9 million. Impairment charges in 2009 related to equity securities that were deemed other-than-temporarily impaired. The impairment charges relating to the equity securities were based on the duration and severity of the unrealized loss and our inability to reasonably predict the time to recover if the investment continued to be held.</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Included in our available for sale fixed maturity securities are various holdings in European company debt instruments. We hold Belgian securities with a fair value of $15.4 million, German securities with a fair value of $14.2 million, Irish securities with a fair value of $17.5 million, Spanish securities with a fair value of $9.2 million, Swiss securities with a fair value of $22.0 million, and British securities with a fair value of $77.0 million. We have reviewed all of these securities as of December 31, 2011 and do not believe that there is a risk of credit loss as these securities are in a gross unrealized gain position of $5.5 million, and a gross unrealized loss position of $1.8 million. We held no European sovereign debt at December 31, 2011.</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have made acquisitions in the past that have resulted in a significant amount of goodwill. As of December 31, 2011 and 2010,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aggregated $1,452.2 million and $1,470.7 million, respectively. The majority of our goodwill as of December 31, 2011 and 2010 relates to goodwill recorded in connection with the Chicago Title merger in 2000. In evaluating the recoverability of goodwill, we early adopted an accounting standard that allowed us to perform a qualitative analysis to determine whether it is more likely than not that our fair value exceeds our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2011, 2010, or 2009. As of December 31, 2011, we have determined that we have a fair value which substantially exceeds our carrying value.</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Intangible Assets. </w:t>
      </w:r>
      <w:r>
        <w:rPr>
          <w:rFonts w:ascii="Arial" w:cs="Arial" w:eastAsia="Arial" w:hAnsi="Arial"/>
          <w:sz w:val="18"/>
          <w:szCs w:val="18"/>
          <w:color w:val="auto"/>
        </w:rPr>
        <w:t>We have intangible assets that were acquired through business acquisitions. These assets consist of purchased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trademarks, contracts, and the excess of purchase price over the fair value of identifiable net assets acquired (goodwill), discussed above. The determination of estimated useful lives and the allocation of the purchase price to the fair values of the intangible assets requires significant judgment and may affect the amount of future amortization on intangible assets other than goodwill.</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valuation of intangible assets such as purchased customer relationships and contracts involves significant estimates and assumptions concerning matters such as customer retention, future cash flows and discount rates. If any of these assumptions change, it could affect the carrying value of these assets in the future. Purchased customer relationships are amortized over their estimated useful lives using an accelerated method which takes into consideration expected customer attrition rates over a ten-year period. Contractual relationships are generally amortized using the straight-line method over their contractual life. Trademarks are considered intangible assets with indefinite lives and are reviewed for impairment at least annually. There were no impairment charges recorded relating to intangible assets during 2011, 2010 or 2009.</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direct title insurance premiums and escrow, title-related and other fees are recognized as revenue at the time of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60-70% reported within three months following closing, an additional 20-30% reported within the next three months and the remainder within seven to fifteen months. In addition to accruing these earned but unreported agency premiums, we also accrue agent commission expense, which was 77.1%, 78.6% and 79.6% of agent premiums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earned in 2011, 2010 and 2009, respectively. We also record provision for claim losses at our average provision rate at the time we record the accrual for the premiums, which was 7.0% for 2011 and 2010 and 7.3% for 2009, and accruals for premium taxes and other expenses relating to our premium accrual. The resulting impact to pretax earnings in any period is less than 10% of the accrued premium amount. The impact of the change in the accrual for agency premiums and related expenses for the years ended December 31, 2011, 2010 and 2009 on our pretax earnings was an increase (decrease) of $7.8 million, $10.7 million and $(3.4) million, respectively. The amount due from our agents relating to this accrual, i.e. the agent premium less their contractual retained commission, was approximately $91.3 million and $112.1 million at December 31, 2011 and 2010, respectively, which represents agency premiums of approximately $441.2 million and $546.0 million at December 31, 2011 and 2010, respectively, and agent commissions of $349.9 million and $433.9 million at December 31, 2011 and 2010, respectively. We may have changes in our accrual for agency revenue in the future if additional relevant information becomes available.</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the consolidated financial statements, we are required to determine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Year ended December 31, 2009. </w:t>
      </w:r>
      <w:r>
        <w:rPr>
          <w:rFonts w:ascii="Arial" w:cs="Arial" w:eastAsia="Arial" w:hAnsi="Arial"/>
          <w:sz w:val="18"/>
          <w:szCs w:val="18"/>
          <w:color w:val="auto"/>
        </w:rPr>
        <w:t>As a result of favorable claim loss development on our prior policy years, in 2009 we released excess reserves of</w:t>
      </w:r>
      <w:r>
        <w:rPr>
          <w:rFonts w:ascii="Arial" w:cs="Arial" w:eastAsia="Arial" w:hAnsi="Arial"/>
          <w:sz w:val="18"/>
          <w:szCs w:val="18"/>
          <w:i w:val="1"/>
          <w:iCs w:val="1"/>
          <w:color w:val="auto"/>
        </w:rPr>
        <w:t xml:space="preserve"> </w:t>
      </w:r>
      <w:r>
        <w:rPr>
          <w:rFonts w:ascii="Arial" w:cs="Arial" w:eastAsia="Arial" w:hAnsi="Arial"/>
          <w:sz w:val="18"/>
          <w:szCs w:val="18"/>
          <w:color w:val="auto"/>
        </w:rPr>
        <w:t>$74.4 million, or $47.1 million net of income taxes, to our provision for title claim losses. In addition, we recorded an average 7.3% provision for title claims losses. Also, as a result of certain court rulings, we reversed an insurance receivable by $63.2 million, or $40.0 million net of income taxes, as an increase to our provision for claim losses.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1,431.5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1,475.3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1,424.0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5,521.3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1,228.1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105.0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5,206.2</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2"/>
              </w:rPr>
              <w:t>Earnings from continuing operations before income taxes and equity in earnings (loss)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315.1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2,385.3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2,611.4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1,514.2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1,792.0</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 in 2011 decreased $573.7 million compared to 2010, reflecting a decrease in both the Fidelity National Title Group and the corporate and other segments. Total revenue in 2010 decreased $108.0 million compared to 2009, reflecting a decrease in the Fidelity National Title Group segment offset by an increase in the corporate and other segment.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Escrow, title-related and other fees increased $27.7 million, or 2.0%, in 2011 compared to 2010, consisting of an increase of $38.9 million in the Fidelity National Title Group segment offset by a decrease of $11.2 million in the corporate and other segment. Escrow, title-related and other fees decreased $22.6 million, or 1.6% in 2010 compared to 2009, consisting of decreases of $47.9 million in the Fidelity National Title Group segment offset by an increase of $25.3 million in the corporate and other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operations is discussed in further detail at the segment level below.</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was $142.7 million, $135.0 million, and $143.9 million for the years ended December 31, 2011, 2010, and 2009, respectively. The increase in 2011 as compared to 2010 is due to an overall increase in the fixed maturity security portfolio book value during 2011 as well as dividend income received on our preferred stock which was not held during 2010. The decrease in 2010 compared to 2009 is due to overall declines in bond interest income on our fixed maturity securities in 2010. Average invested assets were $3,792.2 million, $3,928.7 million, and $3,972.1 million for the years ended December 31, 2011, 2010, and 2009, respectively. Effective return on average invested assets, excluding realized gains and losses, was 4.3%, 4.0%, and 4.1% for the years ended December 31, 2011, 2010, and 2009, respectively.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realized gains and losses totaled $6.7 million, $235.7 million, and $25.8 million for the years ended December 31, 2011, 2010, and 2009, respectively. The net realized gain for the year ended December 31, 2011 includes $28.2 million net gains 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investments and other assets, offset by a $4.4 million decrease in the value of our structured notes and $17.1 million in impairment charges on investments determined to be other-than-temporarily impaired. The net realized gain for the year ended December 31, 2010 includes a $98.4 million gain on the sale of our 32% interest in Sedgwick in May 2010, a $27.2 million gain on the sale of a corporate bond purchased during 2009, a $21.7 million gain on the sale of FIS stock as part of a tender offer, $11.4 million in gains resulting from an increase in the value of our structured notes, and $77.0 million in gains from the sale of other various investments and assets. The net realized gain for the year ended December 31, 2009, included impairment charges totaling $6.9 million on equity securities that were deemed to be other-than-temporarily impaired, net realized gains on sales of various investments of $28.1 million, and net gains on sales of other assets of $4.6 million.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1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totaled $1,578.0 million, $1,578.6 million, and $1,620.0 million for the years ended December 31, 2011, 2010 and 2009, respectively. Personnel costs as a percentage of total revenues were 32.6%, 29.2%, and 29.3% for the years ended December 31, 2011, 2010, and 2009, respectively. In the Fidelity National Title Group segment, the decrease of $17.9 million in 2011 from 2010 is due mainly to decreases in open and closed order counts. The decrease in personnel costs of $44.1 million in 2010 from 2009 is due mainly to decreases in title premiums from direct operations and decreases in opened and closed order counts. Also affecting the comparison was $23.9 million in synergy bonuses earned in 2009 by certain executives upon realizing our synergy goals with respect to the acquisition of the LFG Underwriters. Average employee count in the title segment increased to 17,036 in 2011 from 16,747 in 2010 and decreased in 2010 from 17,411 in 2009. Personnel costs in the title segment as a percentage of total revenues from direct title premiums and escrow, title-related and other fees were 54.3%, 56.3% and 55.5% for the years ended December 31, 2011, 2010, and 2009, respectively. The increase in personnel costs in the corporate and other segment of $17.3 million in 2011 from 2010 is due mainly to higher bonus accruals earned as part of our cost savings initiative as well as improved overall profitability. Personnel costs in the corporate and other segment increased $2.7 million in 2010 from 2009. Included in personnel costs is stock-based compensation expense of $26.6 million, $25.1 million, and $33.7 million for the years ended December 31, 2011, 2010, and 2009, respectively.</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as a percentage of direct title insurance premiums and escrow, title-related and other fees were 37.9% in 2011 , 40.8% in 2010, and 42.4% in 2009. Other operating expenses decreased $62.5 million or 5.5% in 2011 from 2010, reflecting decreases of $55.6 million in the Fidelity National Title Group segment and $6.9 million in the corporate and other segment. In the Fidelity National Title Group segment, the decrease in other operating expenses was due mainly to decreases in facilities costs and technology costs as part of our corporate cost savings initiative. The decrease in the corporate and other segment was due primarily to the cost of sales on the sale of a large parcel of land and timber at our majority owned affiliate Cascade Timberlands included in the 2010 period. Other operating expenses decreased $82.6 million or 6.7% in 2010 from 2009, reflecting decreases of $106.0 million in the Fidelity National Title Group segment offset by an increase of $23.4 million in the corporate and other segment. In the Fidelity National Title Group segment, the decrease was due mainly to declines in business levels from the prior year. The increase in the corporate and other segment was due primarily to the cost of sales on the sale of a large parcel of land and timber at our majority owned affiliate Cascade Timberlands included in the 2010 period. Other operating expenses for the years ended December 31, 2011, 2010 and 2009, included $1.4 million, $11.7 million and $7.4 million, respectively, in abandoned lease charges relating to office closures.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decreased $13.2 million in 2011 from 2010 and $18.3 million in 2010 from 2009 in both cases due to older assets being fully depreciated and a decrease in capital spending over the past several years.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We monitor our claims loss experience on a continual basis and adjust the provision for claim losses accordingly as new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becomes known, new loss patterns emerge, or as other contributing factors are considered and incorporated into the analysis of the reserve for claim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title claim losses is discussed in further detail below at the segment level.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for the years ended December 31, 2011, 2010, and 2009 was $57.2 million, $46.2 million, and $36.7 million, respectively. The increase in 2011 from 2010 is due to additional interest incurred on the 4.25% convertible notes issued in August 2011 as well as interest expense incurred on the 6.60% notes issued in May 2010. The increase in 2010 from 2009 is primarily due to the additional interest expense incurred on the 6.60% notes partially offset by decreases in the amount drawn on our floating rate debt and retirement of a portion of our public debt in the prior year.</w:t>
      </w:r>
    </w:p>
    <w:p>
      <w:pPr>
        <w:spacing w:after="0" w:line="117"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color w:val="auto"/>
        </w:rPr>
        <w:t>Income tax expense was $134.4 million, $189.8 million, and $96.8 million for the years ended December 31, 2011, 2010, and 2009, respectively. Income tax expense as a percentage of earnings from continuing operations before income taxes for the years ended December 31, 2011, 2010, and 2009 was 32.4%, 34.6%, and 30.7%, respectively.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134"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Equity in earnings (losses) of unconsolidated affiliates was $9.7 million, $(1.2) million, and $(11.7) million for the years ended December 31, 2011, 2010, and 2009, respectively, and consisted of our equity in the net earnings (losses) of Ceridian, Remy, other investments in unconsolidated affiliates and our former investment in Sedgwick in 2010 and 2009.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Fidelity National Title Group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financial data for the years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1,475.3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1,392.5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5,488.0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1,189.2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102.6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5,100.9</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Earnings before income taxes and equity in earnings of unconsolidated affiliates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387.1</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revenues in 2011 decreased $437.3 million or 8.4% compared to 2010. Total revenues in 2010 decreased $257.8 million or 4.7% compared to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2009</w:t>
            </w:r>
          </w:p>
        </w:tc>
      </w:tr>
      <w:tr>
        <w:trPr>
          <w:trHeight w:val="264"/>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2,236.7</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2,452.3</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62.4</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3,261.1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the proportion of agency premiums to direct premiums decreased, with agency premiums comprising 56.1% of total premiums in 2011, compared with 61.4% in 2010. In 2010 the proportion of agency premiums to direct premiums decreased slightly to 61.4% of total premiums, compared with 62.4% in 2009.</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increase of $27.0 million in title premiums from direct operations in 2011 was primarily due to an increase in the fee per file in 2011 and an increase in commercial transactions during the year. In 2011, mortgage interest rates have continued to decrease from the historically low levels in 2010. Closed order volumes were 1,514,200 and 1,574,300 in the years ending 2011 and 2010, respectively. The average fee per file in our direct operations was $1,489 and $1,387 in the years ending 2011 and 2010, respectively, with the increase reflecting a higher volume of commercial transactions, which typically have a higher fee per file. The decrease of $70.8 million in title premiums from direct operations in 2010 compared to 2009 was due primarily to a decrease in closed order volumes that was partially offset by an increase in fee per file. Closed order volumes were 1,574,300 and 1,792,000 in the years ending 2010 and 2009, respectively. The average fee per file in our direct operations was $1,387 and $1,248 in the years ending 2010 and 2009, respectively, with the increase reflecting a higher volume of purchase transactions relative to refinance transactions, increases in title insurance rates across 26 states, and a modest increase in commercial transactions, partially offset by declines in home values, particularly in California, Arizona, Florida, and Nevada.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 The fee per file will also increase as the proportion of commercial orders increases.</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decrease of $407.1 million in agency premiums in 2011 is primarily the result of a decrease in remitted and accrued agency premiums related to the mix of business. Our agency operations typically garner a lower percentage of commercial and refinance transactions and a higher percentage of purchase transactions. We periodically review our agency relationships and consider the agent's experience, financial condition and loss history. Also contributing to the decrease in agency premiums were strategic reductions of agency relationships based on these reviews since the 2010 period. The decrease of $215.6 million in agency premiums in 2010 is primarily the result of a decrease in remitted and accrued agency premiums that is consistent with the decrease in direct title premiums. Contributing to the decrease in remitted premiums in both periods is a significant decrease in business from one of our largest agents.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Fidelity National Title Group segment, escrow fees, which are more directly related to our direct operations, increased $26.5 million, or 4.9%, in 2011 compared to 2010 due to the increase in direct title premiums over the prior year. Other fees in the Fidelity National Title Group segment, excluding escrow fees, increased $12.4 million, or 1.5%, in 2011 compared to 2010 primarily due to an increase in revenues from commercial transactions offset by a decrease in revenues at a division of our business that manages real estate owned by financial institutions due to a continued delay in lender foreclosure completions. Escrow fees in the Fidelity National Title Group segment decreased $21.7 million, or 3.8%, in 2010 compared to 2009 due to the decrease in residential transactions. Other fees in the Fidelity National Title Group segment, excluding escrow fees, decreased $26.2 million, or 3.2%, in 2010 compared to 2009 primarily due to a decrease in revenues from a division of our business that manages real estate owned by financial institutions.</w:t>
      </w:r>
    </w:p>
    <w:p>
      <w:pPr>
        <w:spacing w:after="0" w:line="11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2009</w:t>
            </w:r>
          </w:p>
        </w:tc>
      </w:tr>
      <w:tr>
        <w:trPr>
          <w:trHeight w:val="264"/>
        </w:trPr>
        <w:tc>
          <w:tcPr>
            <w:tcW w:w="4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1,758.7</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1,951.7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79.6</w:t>
            </w: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margin from agency title insurance premiums we retain as a percentage of total agency premiums increased from 21.4% in 2010 to 22.9% in 2011. The increase in 2011 is due primarily to the modification of various agency agreements since 2010 which resulted in an increase to our retained premium including our move to an 80%/20% split in New York. Also contributing to the change is a significant decrease in business from one of our largest agents from 2010 for which our retained premium was lower than that of our other agency contracts. Net margin from agency title insurance premiums we retain as a percentage of total agency premiums increased from 20.4% in 2009 to 21.4% in 2010. The increase in 2010 is due primarily to a significant decrease in business from our largest agent in 2010 as compared to 2009 for which our retained premium was lower than that of our other agency contracts. Also contributing to the increase in the net margin in 2010 was the cancellation of numerous agency relationships and modifications of agency agreements associated with the acquisition of the LFG Underwriters, for which our retained premium was lower than that of legacy FNF agency relationships.</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title claim losses accordingly as new information becomes known, new loss patterns emerge, or as other contributing factors are considered and incorporated into the analysis of the reserve for claim losses. The claim loss provision for title insurance was $222.3 million, $248.9 million, and $264.7 million for the years ended December 31, 2011, 2010, and 2009, respectively. These amounts reflected average claim loss provision rates of 6.8% for 2011 and 2010, and 5.1% of title premiums for 2009. The claim loss provision in each year is net of a reduction in claim loss expense related to the amortization of an acquisition-date fair value adjustment from the LFG Underwriters acquired in December 2008. The year ending December 31, 2009 also included additional credits/charges as follows:</w:t>
      </w:r>
    </w:p>
    <w:p>
      <w:pPr>
        <w:spacing w:after="0" w:line="1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year ended December 31, 2009, a credit of $74.4 million was recorded due to favorable claim loss development on prior policy years. During September and October 2009, 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Comprehensive General Liability policy together with a reevaluation of our position by new legal counsel, caused us to reverse $63.2 million of the receivable, recorded as a charge to the provision for title claim losses, during the quarter ended September 30, 2009. We also received a favorable summary judgment relating to an insurance providers’ duty to defend the Company under our Miscellaneous Professional Liability policy. In light of these developments, we did not believe it appropriate to carry more than the anticipated $20.0 million recovery for compensatory damages on the Miscellaneous Professional Liability policy as a receivable as of September 30, 2009. During the quarter ended December 31, 2009, we paid an additional $8.8 million in respect of these claims and received payments of $11.8 million relating to the Miscellaneous Professional Liability Policy and continued to negotiate with the carrier who had been found to act in bad faith under the terms of that policy. As of December 31, 2009, we carried an $8.2 million receivable related to these coverages. In February 2010, we reached a settlement agreement and subsequently received payment from the same carrier for an additional $16.2 million, representing the remaining $8.2 million receivable and $8.0 million in compensatory damages.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other smaller operations, and our share in the operations of certain equity investments, including Ceridian and Remy and our former investment in Sedgwick in 2010 and 2009. The corporate and other segment generated revenues of $46.7 million, $183.1 million and $33.3 million for the years ended December 31, 2011, 2010, and 2009, respectively.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fees decreased $11.2 million, or 19.7%, in 2011 compared to 2010 and increased $25.3 million, or 80.3%, in 2010 compared to 2009. The decrease in 2011 and the increase in 2010 were primarily due to the 2010 period including $13.7 million in revenue from the sale of a large parcel of land and timber at our majority-owned affiliate Cascade Timberlands.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segment generated pretax (losses) earnings of $(115.5) million, $42.3 million, and $(72.0) million for the years ended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December 31, 2011, 2010, and 2009, respectively. The change in pretax earnings in both periods is primarily related to changes in net realized gains (losses). Net realized gains (losses) totaled $(0.3) million, $124.8 million and $(1.5) million for the years ended December 31, 2011, 2010, and 2009, respectively. The decrease in 2011 from 2010 and the increase in 2010 from 2009 is due to a $98.4 million gain on the sale of our 32% interest in Sedgwick and a $27.2 million gain on the sale of a corporate bond being included in the year ended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operating expenses, taxes, payments of interest and principal on our debt,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business acquisitions, and dividends on our common stock. We paid dividends of $0.48 per share during 2011, or approximately $105.1 million. On February 8, 2012, our Board of Directors formally declared a $0.14 per share cash dividend that is payable on March 30, 2012 to stockholders of record as of March 16, 2012. The Board of Directors currently intends to maintain the quarterly cash dividend of $0.14 per share for 2012. However, the declaration of any future dividends is at the discretion of our Board of Directors. Additional uses of cash flow are expected to include stock repurchases, acquisitions, and debt repayments.</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9"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2011, $2,203.3 million of our net assets were restricted from dividend payments without prior approval from the relevant departments of insurance. During 2012, our title insurance subsidiaries can pay or make distributions to us of approximately $107.6 million without prior regulatory approval. Our underwritten title companies and non-title insurance subsidiaries collect revenue and pay operating expenses. However, they are not regulated to the same extent as our insurance subsidiaries.</w:t>
      </w:r>
    </w:p>
    <w:p>
      <w:pPr>
        <w:spacing w:after="0" w:line="125"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9" w:lineRule="exact"/>
        <w:rPr>
          <w:sz w:val="20"/>
          <w:szCs w:val="20"/>
          <w:color w:val="auto"/>
        </w:rPr>
      </w:pPr>
    </w:p>
    <w:p>
      <w:pPr>
        <w:jc w:val="both"/>
        <w:ind w:firstLine="383"/>
        <w:spacing w:after="0" w:line="276" w:lineRule="auto"/>
        <w:rPr>
          <w:sz w:val="20"/>
          <w:szCs w:val="20"/>
          <w:color w:val="auto"/>
        </w:rPr>
      </w:pPr>
      <w:r>
        <w:rPr>
          <w:rFonts w:ascii="Arial" w:cs="Arial" w:eastAsia="Arial" w:hAnsi="Arial"/>
          <w:sz w:val="17"/>
          <w:szCs w:val="17"/>
          <w:color w:val="auto"/>
        </w:rPr>
        <w:t>We are focused on evaluating our non-core assets and investments as potential vehicles for creating liquidity. Our intent is to use that liquidity for general corporate purposes, including payment of dividends as declared by the Board of Directors and potentially reducing debt, repurchasing shares of our stock, other strategic initiatives and/or conserving cash. During 2011, we were able to increase our liquidity through the sale of our flood insurance business, which generated approximately $119.5 million in net cash proceeds during 2011. During 2010, we were able to create additional liquidity through the sale of our 32% interest in Sedgwick, which generated cash proceeds of approximately $193.6 million in 2010 and $32.0 million in 2011.</w:t>
      </w:r>
    </w:p>
    <w:p>
      <w:pPr>
        <w:spacing w:after="0" w:line="119" w:lineRule="exact"/>
        <w:rPr>
          <w:sz w:val="20"/>
          <w:szCs w:val="20"/>
          <w:color w:val="auto"/>
        </w:rPr>
      </w:pPr>
    </w:p>
    <w:p>
      <w:pPr>
        <w:jc w:val="both"/>
        <w:ind w:firstLine="369"/>
        <w:spacing w:after="0" w:line="297" w:lineRule="auto"/>
        <w:rPr>
          <w:sz w:val="20"/>
          <w:szCs w:val="20"/>
          <w:color w:val="auto"/>
        </w:rPr>
      </w:pPr>
      <w:r>
        <w:rPr>
          <w:rFonts w:ascii="Arial" w:cs="Arial" w:eastAsia="Arial" w:hAnsi="Arial"/>
          <w:sz w:val="16"/>
          <w:szCs w:val="16"/>
          <w:color w:val="auto"/>
        </w:rPr>
        <w:t>Our cash flows provided by operations for the years ended December 31, 2011, 2010, and 2009 were $124.9 million, $182.5 million and $380.3 million, respectively. The decrease in cash provided by operations of $57.6 million from 2010 to 2011 is due mainly to a higher proportion of income relating to investing activities in 2010 as compared to 2011 and various smaller changes in other assets and liabilities. The decrease in cash provided by operations of $197.8 million from 2009 to 2010 included an increase in claims paid of approximately $148.1 million and an increase in income taxes paid of $36.3 million resulting from net income tax payments of $33.8 million in 2010 compared with tax refunds of $2.5 million in 2009. The remainder of the decrease was due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2010 net income including a higher proportion of income relating to investing activities as compared to 2009.</w:t>
      </w:r>
    </w:p>
    <w:p>
      <w:pPr>
        <w:spacing w:after="0" w:line="171"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were $29.1 million, $44.4 million and $50.8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2011, 2010, and 2009, respectively. Total capital expenditures for software were $6.8 million, $9.5 million and $7.1 million in 2011, 2010, and 2009, respectively.</w:t>
      </w:r>
    </w:p>
    <w:p>
      <w:pPr>
        <w:spacing w:after="0" w:line="127" w:lineRule="exact"/>
        <w:rPr>
          <w:sz w:val="20"/>
          <w:szCs w:val="20"/>
          <w:color w:val="auto"/>
        </w:rPr>
      </w:pPr>
    </w:p>
    <w:p>
      <w:pPr>
        <w:jc w:val="both"/>
        <w:ind w:firstLine="369"/>
        <w:spacing w:after="0" w:line="284" w:lineRule="auto"/>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On August 2, 2011, we completed an offering of $300.0 million in aggregate principal amount of 4.25% convertible senior notes due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$21.5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(1)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(2)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(3) upon the occurrence of specified corporate transactions; or (4)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used $75.0 million of the proceeds from the Notes to purchase 4,609,700 shares of our common stock at $16.27 per share in privately negotiated transactions concurrently with the issuance. We used the remaining net proceeds along with other cash on hand for repayment of $250.0 million outstanding debt on our revolving credit agreement.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2011, we borrowed $200.0 million on our revolving credit agreement and subsequently repaid the remaining $165.6 million principal amount of our outstanding 7.30% notes due August 2011. Our outstanding debt also includes $236.4 million aggregate principal amount of our 5.25% notes due March 2013 and $299.8 million aggregate principal amount of our 6.60% notes due May 2017. The indenture governing the 5.25% notes also contains customary events of default. These events of default include a cross default provision, with respect to any other debt of the Company in an aggregate amount exceeding $20 million for all such debt, arising from (i) failure to make a principal payment when due or (ii) the occurrence of an event which results in such debt being due and payable prior to its scheduled maturity.</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5, 2010, we completed an offering of $300.0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$0.3 million, which is netted against the $300.0 million aggregate principal amount of notes. The discount is amortized to May 2017 when the 6.60% Notes mature. We received net proceeds of $297.3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March 5, 2010, we entered into an agreement to amend and extend our credit agreement (the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 Bank of America, N.A. as Administrative Agent and Swing Line Lender, and the other financial institutions party thereto, and an agreement to change the aggregate size of the credit facility under the Credit Agreement. These agreements reduced the total size of the credit facility from $1.1 billion to $951.2 million, with an option to increase the size of the credit facility to $1.1 billion, and created a new tranche, representing $925.0 million of the total credit facility, with an extended maturity date of March 5, 2013. Pricing for the new tranche is based on an applicable margin between 160 basis points to 240 basis points over LIBOR, depending on the senior debt ratings of FNF. The Credit Agreement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At December 31, 2011, we were in compliance with all debt covenants. During the year ended December 31, 2011, we borrowed and repaid $200.0 million and $350.0 million, respectively, under the credit agreement. As of December 31, 2011, we had outstanding debt with a principal amount of $100.0 million under the Credit Agreement, due March 2013 with interest payable monthly at LIBOR plus 2.00% (2.28% at December 31, 2011).</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14, 2009, we received $331.4 million in net proceeds from our offering of a total of 18,170,000 shares of our common stock. The proceeds were partially used to repay $135.0 million in borrowings under our $1.1 billion credit agreement. In addition, we used the proceeds to purchase $67.8 million in par value of our 7.30% notes due in 2011 for an aggregate purchase price of $68.7 million, including accrued interest of $1.2 million, and $3.0 million in par value of our 5.25% notes due in 2013 for an aggregate purchase price of $2.8 million.</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In the past five years, we have seen a divergence from these historical trends with orders being negatively effected by a reduction in the availability of financing, rising default levels, and falling home values causing an overall downward trend in home sales. In addition we have noted short term fluctuations through recent years in resale and refinance transactions as a result of changes in interest rates and the implementation and subsequent expiration of government programs designed to stimulate the real estate market.</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 As of December 31, 2011, our required annual payments relating to these contractual obligations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Thereafter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915.8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367.4</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96"/>
              </w:rPr>
              <w:t>1,912.8</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benefit payments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694.4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1,454.4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6"/>
              </w:rPr>
              <w:t>3,400.7</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2011, we had title insurance reserves of $1,912.8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of changes in:</w:t>
      </w:r>
    </w:p>
    <w:p>
      <w:pPr>
        <w:spacing w:after="0" w:line="171"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16" w:lineRule="exact"/>
        <w:rPr>
          <w:sz w:val="20"/>
          <w:szCs w:val="20"/>
          <w:color w:val="auto"/>
        </w:rPr>
      </w:pPr>
    </w:p>
    <w:p>
      <w:pPr>
        <w:jc w:val="both"/>
        <w:ind w:firstLine="369"/>
        <w:spacing w:after="0" w:line="273" w:lineRule="auto"/>
        <w:rPr>
          <w:sz w:val="20"/>
          <w:szCs w:val="20"/>
          <w:color w:val="auto"/>
        </w:rPr>
      </w:pPr>
      <w:r>
        <w:rPr>
          <w:rFonts w:ascii="Arial" w:cs="Arial" w:eastAsia="Arial" w:hAnsi="Arial"/>
          <w:sz w:val="17"/>
          <w:szCs w:val="17"/>
          <w:i w:val="1"/>
          <w:iCs w:val="1"/>
          <w:color w:val="auto"/>
        </w:rPr>
        <w:t xml:space="preserve">Capital Stock Transactions. </w:t>
      </w:r>
      <w:r>
        <w:rPr>
          <w:rFonts w:ascii="Arial" w:cs="Arial" w:eastAsia="Arial" w:hAnsi="Arial"/>
          <w:sz w:val="17"/>
          <w:szCs w:val="17"/>
          <w:color w:val="auto"/>
        </w:rPr>
        <w:t>On April 14, 2009, we offered 15,800,000 shares of common stock at an offering price of $19.00 per share,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registration statement previously filed with the Securities and Exchange Commission. The underwriters were granted and chose to exercise an option to purchase additional shares equal to 15% of the offering, or 2,370,000 shares, at the offering price. A total of 18,170,000 shares was issued on April 20, 2009, for net proceeds of approximately $331.4 million. The proceeds were used as follows: $135.0 million to repay borrowings under our $1.1 billion revolving credit facility, $71.5 million to repurchase our public bonds, $50.8 million to repurchase shares of our common stock, $25.0 million as part of a $57.1 million capital infusion into Lawyers Title and Commonwealth Land Title, and the remainder for general corporate purposes.</w:t>
      </w:r>
    </w:p>
    <w:p>
      <w:pPr>
        <w:spacing w:after="0" w:line="124" w:lineRule="exact"/>
        <w:rPr>
          <w:sz w:val="20"/>
          <w:szCs w:val="20"/>
          <w:color w:val="auto"/>
        </w:rPr>
      </w:pPr>
    </w:p>
    <w:p>
      <w:pPr>
        <w:jc w:val="both"/>
        <w:ind w:firstLine="369"/>
        <w:spacing w:after="0" w:line="286" w:lineRule="auto"/>
        <w:rPr>
          <w:sz w:val="20"/>
          <w:szCs w:val="20"/>
          <w:color w:val="auto"/>
        </w:rPr>
      </w:pPr>
      <w:r>
        <w:rPr>
          <w:rFonts w:ascii="Arial" w:cs="Arial" w:eastAsia="Arial" w:hAnsi="Arial"/>
          <w:sz w:val="16"/>
          <w:szCs w:val="16"/>
          <w:color w:val="auto"/>
        </w:rPr>
        <w:t>On October 25, 2006, the Board of Directors approved a three-year stock repurchase program under which we can repurchase up to 25 million shares of our common stock. We may make repurchases from time to time in the open market, in block purchases or in privately negotiated transactions, depending on market conditions and other factors. Since the original commencement of the plan adopted in October 2006, and through September 2009, we repurchased a total of 17,161,120 shares for $286.2 million, or an average of $16.68 per share. On July 21, 2009, the Board of Directors approved a three-year stock repurchase program under which we can repurchase up to 15 million shares through July 31, 2012. We began repurchasing shares under this program in October 2009, and we repurchased a total of 1,294,400 shares for $17.9 million, or an average of $13.83 per share in 2009 and 8,664,262 shares for $117.6 million, or an average of $13.57 per share in 2010, including 859,866 shares purchased on January 4, 2010 for $11.6 million from the administrator of two of our former subsidiaries’ employee benefit plans. Because we were actively repurchasing shares of our stock on the open market as part of the stock repurchase plan, we agreed to purchase the shares from the administrator at a price of $13.46 per share, the market price at the time of purchase. On January 27, 2011, our Board of Directors approved an additional 5 million shares that may be repurchased under the program. We may make repurchases from time to time in the open market, in block purchases or in privately negotiated transactions, depending on market conditions and other factors. In the year ended December 31, 2011, we repurchased a total of 5,419,850 shares for $86.2 million, or an average of $15.90 per share. Included in our share repurchases during 2011 were 4,609,700 shares for $75.0 million or an average $16.27 per share, purchased utilizing proceeds from the $300 million convertible note offering. Since the original commencement of the plan adopted July 21, 2009, we have repurchased a total of 15,378,512 shares for $221.7 million, or an average of $14.42 per share, and there are 4,621,488 shares available to be repurchased under the plan.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33" w:lineRule="exact"/>
        <w:rPr>
          <w:sz w:val="20"/>
          <w:szCs w:val="20"/>
          <w:color w:val="auto"/>
        </w:rPr>
      </w:pPr>
    </w:p>
    <w:p>
      <w:pPr>
        <w:jc w:val="both"/>
        <w:ind w:firstLine="369"/>
        <w:spacing w:after="0" w:line="273" w:lineRule="auto"/>
        <w:rPr>
          <w:sz w:val="20"/>
          <w:szCs w:val="20"/>
          <w:color w:val="auto"/>
        </w:rPr>
      </w:pPr>
      <w:r>
        <w:rPr>
          <w:rFonts w:ascii="Arial" w:cs="Arial" w:eastAsia="Arial" w:hAnsi="Arial"/>
          <w:sz w:val="17"/>
          <w:szCs w:val="17"/>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Additionally, we received a transaction fee of $1.5 million from FIS. During the third quarter of 2010, we sold 1,611,574 shares as part of a tender offer by FIS at $29.00 per share for a realized gain of $21.7 million. The fair value of this investment is $42.6 million and $43.9 million as of December 31, 2011 and 2010, respectively, and is recorded in equity securities. Changes in fair value of the FIS stock are recorded as other comprehensive earnings.</w:t>
      </w:r>
    </w:p>
    <w:p>
      <w:pPr>
        <w:spacing w:after="0" w:line="124" w:lineRule="exact"/>
        <w:rPr>
          <w:sz w:val="20"/>
          <w:szCs w:val="20"/>
          <w:color w:val="auto"/>
        </w:rPr>
      </w:pPr>
    </w:p>
    <w:p>
      <w:pPr>
        <w:ind w:firstLine="369"/>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We do not engage in off-balance sheet activities other than facility and equipment leasing arrangements. On June 29,</w:t>
      </w:r>
      <w:r>
        <w:rPr>
          <w:rFonts w:ascii="Arial" w:cs="Arial" w:eastAsia="Arial" w:hAnsi="Arial"/>
          <w:sz w:val="18"/>
          <w:szCs w:val="18"/>
          <w:i w:val="1"/>
          <w:iCs w:val="1"/>
          <w:color w:val="auto"/>
        </w:rPr>
        <w:t xml:space="preserve"> </w:t>
      </w:r>
      <w:r>
        <w:rPr>
          <w:rFonts w:ascii="Arial" w:cs="Arial" w:eastAsia="Arial" w:hAnsi="Arial"/>
          <w:sz w:val="18"/>
          <w:szCs w:val="18"/>
          <w:color w:val="auto"/>
        </w:rPr>
        <w:t>2004 we entered into an off-balance sheet financing arrangement (commonly referred to as a “synthetic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December 31, 2011 of $71.3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2011 related to these arrangements.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recent accounting pronouncements, see note Q of Notes to Consolidated Financial Statements included elsewhere herein.</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December 31, 2011, we had $915.8 million in long-term debt, of which $100.0 million bears interest at a floating rate. 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we do not currently use derivative financial instruments to hedge these risks.</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In the past, our exposure to changes in equity prices primarily resulted from our holdings of equity securities. At December 31, 2011, we held $105.7 million in marketable equity securities (not including our investments in preferred stock of $71.4 million at December 31, 2011 and our equity method investments such as Ceridian and Remy, which amounted to $546.5 million at December 31, 2011).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 to equity price risk include marketable equity securities. With the exception of our equity method investments, it is not anticipated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there would be a significant change in the fair value of other long-term investments or short-term investments if there were a change in market conditions, based on the nature and duration of the financial instruments involved.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claim losses (representing 45.5% of total liabilities at December 31, 2011) is not included in the hypothetical effects.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2011 and December 31, 2010, are as follows: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2011, an increase (decrease) in the levels of interest rates of 100 basis points, with all other variables held constant, would result in a (decrease) increase in the fair value of our fixed maturity securities and preferred stock of $108.0 million as compared with a (decrease) increase of $111.5 million at December 31, 2010.</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for the year ended December 31, 2011, a decrease of 100 basis points in the levels of interest rates, with all other variables held constant, would result in a decrease in the interest expense on our average outstanding floating rate debt of $0.1 million as compared to a decrease of $0.1 million for the year ended December 31, 2010. An increase of 100 basis points in the levels of interest rates, with all other variables held constant, would result in an increase in the interest expense of our average outstanding floating rate debt of $2.0 million for the year ended December 31, 2011, as compared to $2.1 million for the year ended December 31, 2010.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December 31, 2011, a 20% increase (decrease) in market prices, with all other variables held constant, would result in an increase (decrease) in the fair value of our equity securities portfolio of $21.1 million, as compared with an increase (decrease) of $15.0 million at December 31, 2010.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our equity securities, fixed maturity investments and borrowings, we hold structured notes which were purchased during 2009 with a par value of $37.5 million and fair value of $40.8 million at December 31, 2011. These instruments are subject to market risks including commodity price risk. The fair value of these instruments represents exit prices obtained from a proprietary valuation model utilized by the trading desk of a broker-dealer. The fair value of the structured notes is subject to various assumptions utilized in the valuation model, including the underlying value of the relevant commodities index. The structured notes are held for general investment purposes and represent one percent of our total investment portfolio. In part because of the relatively small size of this investment, we do not believe that an adverse change in the relevant commodity prices, foreign exchange rates or interest rates on which the value of the notes depends would likely have a material effect on our financial position, and therefore we have not provided a sensitivity analysis for these items.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8"/>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Report of Independent Registered Public Accounting Firm on Effectiveness of Internal Control over Financial Reporting</w:t>
              </w:r>
            </w:hyperlink>
          </w:p>
        </w:tc>
        <w:tc>
          <w:tcPr>
            <w:tcW w:w="1140" w:type="dxa"/>
            <w:vAlign w:val="bottom"/>
            <w:gridSpan w:val="3"/>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68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 on Consolidated Financial Statements</w:t>
              </w:r>
            </w:hyperlink>
          </w:p>
        </w:tc>
        <w:tc>
          <w:tcPr>
            <w:tcW w:w="1560" w:type="dxa"/>
            <w:vAlign w:val="bottom"/>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40" w:type="dxa"/>
            <w:vAlign w:val="bottom"/>
            <w:gridSpan w:val="2"/>
          </w:tcPr>
          <w:p>
            <w:pPr>
              <w:spacing w:after="0"/>
              <w:rPr>
                <w:rFonts w:ascii="Arial" w:cs="Arial" w:eastAsia="Arial" w:hAnsi="Arial"/>
                <w:sz w:val="18"/>
                <w:szCs w:val="18"/>
                <w:color w:val="0000FF"/>
                <w:w w:val="88"/>
              </w:rPr>
            </w:pPr>
            <w:hyperlink w:anchor="page50">
              <w:r>
                <w:rPr>
                  <w:rFonts w:ascii="Arial" w:cs="Arial" w:eastAsia="Arial" w:hAnsi="Arial"/>
                  <w:sz w:val="18"/>
                  <w:szCs w:val="18"/>
                  <w:color w:val="0000FF"/>
                  <w:w w:val="88"/>
                </w:rPr>
                <w:t>Consolidated Balance Sheets as of December 31, 2011 and 2010</w:t>
              </w:r>
            </w:hyperlink>
          </w:p>
        </w:tc>
        <w:tc>
          <w:tcPr>
            <w:tcW w:w="2300" w:type="dxa"/>
            <w:vAlign w:val="bottom"/>
            <w:gridSpan w:val="3"/>
          </w:tcPr>
          <w:p>
            <w:pPr>
              <w:spacing w:after="0"/>
              <w:rPr>
                <w:sz w:val="21"/>
                <w:szCs w:val="21"/>
                <w:color w:val="auto"/>
              </w:rPr>
            </w:pPr>
          </w:p>
        </w:tc>
        <w:tc>
          <w:tcPr>
            <w:tcW w:w="3300" w:type="dxa"/>
            <w:vAlign w:val="bottom"/>
            <w:gridSpan w:val="3"/>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40" w:type="dxa"/>
            <w:vAlign w:val="bottom"/>
            <w:gridSpan w:val="4"/>
          </w:tcPr>
          <w:p>
            <w:pPr>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Consolidated Statements of Earnings for the years ended December 31, 2011, 2010, and 2009</w:t>
              </w:r>
            </w:hyperlink>
          </w:p>
        </w:tc>
        <w:tc>
          <w:tcPr>
            <w:tcW w:w="3500" w:type="dxa"/>
            <w:vAlign w:val="bottom"/>
            <w:gridSpan w:val="4"/>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gridSpan w:val="6"/>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Consolidated Statements of Comprehensive Earnings for the years ended December 31, 2011, 2010, and 2009</w:t>
              </w:r>
            </w:hyperlink>
          </w:p>
        </w:tc>
        <w:tc>
          <w:tcPr>
            <w:tcW w:w="2320" w:type="dxa"/>
            <w:vAlign w:val="bottom"/>
            <w:gridSpan w:val="2"/>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580" w:type="dxa"/>
            <w:vAlign w:val="bottom"/>
            <w:gridSpan w:val="3"/>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Consolidated Statements of Equity for the years ended December 31, 2011, 2010, and 2009</w:t>
              </w:r>
            </w:hyperlink>
          </w:p>
        </w:tc>
        <w:tc>
          <w:tcPr>
            <w:tcW w:w="1340" w:type="dxa"/>
            <w:vAlign w:val="bottom"/>
            <w:gridSpan w:val="3"/>
          </w:tcPr>
          <w:p>
            <w:pPr>
              <w:spacing w:after="0"/>
              <w:rPr>
                <w:sz w:val="21"/>
                <w:szCs w:val="21"/>
                <w:color w:val="auto"/>
              </w:rPr>
            </w:pPr>
          </w:p>
        </w:tc>
        <w:tc>
          <w:tcPr>
            <w:tcW w:w="2320" w:type="dxa"/>
            <w:vAlign w:val="bottom"/>
            <w:gridSpan w:val="2"/>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Consolidated Statements of Cash Flows for the years ended December 31, 2011, 2010, and 2009</w:t>
              </w:r>
            </w:hyperlink>
          </w:p>
        </w:tc>
        <w:tc>
          <w:tcPr>
            <w:tcW w:w="114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Notes to Consolidated Financial Statements</w:t>
              </w:r>
            </w:hyperlink>
          </w:p>
        </w:tc>
        <w:tc>
          <w:tcPr>
            <w:tcW w:w="3300" w:type="dxa"/>
            <w:vAlign w:val="bottom"/>
            <w:gridSpan w:val="3"/>
          </w:tcPr>
          <w:p>
            <w:pPr>
              <w:spacing w:after="0"/>
              <w:rPr>
                <w:sz w:val="21"/>
                <w:szCs w:val="21"/>
                <w:color w:val="auto"/>
              </w:rPr>
            </w:pPr>
          </w:p>
        </w:tc>
        <w:tc>
          <w:tcPr>
            <w:tcW w:w="114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723"/>
        </w:trPr>
        <w:tc>
          <w:tcPr>
            <w:tcW w:w="3140" w:type="dxa"/>
            <w:vAlign w:val="bottom"/>
            <w:tcBorders>
              <w:top w:val="single" w:sz="8" w:color="0000FF"/>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audited Fidelity National Financial, Inc.’s internal control over financial reporting as of December 31, 2011,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(COSO). Fidelity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369"/>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our opinion, Fidelity National Financial, Inc. maintained, in all material respects, effective internal control over financial reporting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Fidelity National Financial, Inc. and subsidiaries as of December 31, 2011 and 2010, and the related Consolidated Statements of Earnings, Comprehensive Earnings, Equity and Cash Flows for each of the years in the three-year period ended December 31, 2011, and our report dated February 23, 2012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as of December 31, 2011 and 2010, and the related Consolidated Statements of Earnings, Comprehensive Earnings, Equity and Cash Flows for each of the years in the three-year period ended December 31, 2011. These Consolidated Financial Statements are the responsibility of the Company’s management. Our responsibility is to express an opinion on these Consolidated Financial Statements based on our audits.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2011 and 2010, and the results of their operations and their cash flows for each of the years in the three-year period ended December 31, 2011, in conformity with U.S. generally accepted accounting principles.</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Fidelity National Financial, Inc.’s internal control over financial reporting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23, 2012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maturities available for sale, at fair value, at December 31, 2011 and 2010, includes pledged fixed maturities of $274.2 and $251.9,</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 related to secured trust deposits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546.5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527.7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4,051.7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4,358.5</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2"/>
              </w:rPr>
              <w:t>Cash and cash equivalents, at December 31, 2011 and 2010, includes pledged cash of $161.3 and $146.2,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$22.6 and $28.8 at December 31, 2011 and 2010, respectively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1,452.2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1,470.7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389.1</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390.8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83"/>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7,862.1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7,887.5</w:t>
            </w:r>
          </w:p>
        </w:tc>
        <w:tc>
          <w:tcPr>
            <w:tcW w:w="0" w:type="dxa"/>
            <w:vAlign w:val="bottom"/>
          </w:tcPr>
          <w:p>
            <w:pPr>
              <w:spacing w:after="0"/>
              <w:rPr>
                <w:sz w:val="1"/>
                <w:szCs w:val="1"/>
                <w:color w:val="auto"/>
              </w:rPr>
            </w:pPr>
          </w:p>
        </w:tc>
      </w:tr>
      <w:tr>
        <w:trPr>
          <w:trHeight w:val="264"/>
        </w:trPr>
        <w:tc>
          <w:tcPr>
            <w:tcW w:w="8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800" w:type="dxa"/>
            <w:vAlign w:val="bottom"/>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Accounts payable to related parties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915.8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952.0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claim 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2,270.1</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388.4</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80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4,206.2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4,443.1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5"/>
              </w:rPr>
              <w:t>Common stock, Class A, $0.0001 par value; authorized, 600,000,000 shares as of December 31, 2011 and 2010; issued 254,868,454 shares and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180"/>
              <w:spacing w:after="0"/>
              <w:rPr>
                <w:sz w:val="20"/>
                <w:szCs w:val="20"/>
                <w:color w:val="auto"/>
              </w:rPr>
            </w:pPr>
            <w:r>
              <w:rPr>
                <w:rFonts w:ascii="Arial" w:cs="Arial" w:eastAsia="Arial" w:hAnsi="Arial"/>
                <w:sz w:val="14"/>
                <w:szCs w:val="14"/>
                <w:color w:val="auto"/>
              </w:rPr>
              <w:t>252,184,269 shares at December 31, 2011 and 2010, respectively</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3,798.6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3,745.0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Accumulated other comprehensive (loss) earnings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treasury stock, 34,190,969 shares and 28,435,980 shares as of December 31, 2011 and 2010, respectively, at cost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w:t>
            </w:r>
          </w:p>
        </w:tc>
        <w:tc>
          <w:tcPr>
            <w:tcW w:w="0" w:type="dxa"/>
            <w:vAlign w:val="bottom"/>
          </w:tcPr>
          <w:p>
            <w:pPr>
              <w:spacing w:after="0"/>
              <w:rPr>
                <w:sz w:val="1"/>
                <w:szCs w:val="1"/>
                <w:color w:val="auto"/>
              </w:rPr>
            </w:pPr>
          </w:p>
        </w:tc>
      </w:tr>
      <w:tr>
        <w:trPr>
          <w:trHeight w:val="250"/>
        </w:trPr>
        <w:tc>
          <w:tcPr>
            <w:tcW w:w="8800" w:type="dxa"/>
            <w:vAlign w:val="bottom"/>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3,632.7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3,427.1</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3,655.9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3,444.4</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7,862.1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7,887.5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1"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88"/>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2009</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7"/>
          </w:tcPr>
          <w:p>
            <w:pPr>
              <w:jc w:val="center"/>
              <w:ind w:left="548"/>
              <w:spacing w:after="0"/>
              <w:rPr>
                <w:sz w:val="20"/>
                <w:szCs w:val="20"/>
                <w:color w:val="auto"/>
              </w:rPr>
            </w:pPr>
            <w:r>
              <w:rPr>
                <w:rFonts w:ascii="Arial" w:cs="Arial" w:eastAsia="Arial" w:hAnsi="Arial"/>
                <w:sz w:val="14"/>
                <w:szCs w:val="14"/>
                <w:b w:val="1"/>
                <w:bCs w:val="1"/>
                <w:color w:val="auto"/>
                <w:w w:val="91"/>
              </w:rPr>
              <w:t>(In millions, except share data)</w:t>
            </w:r>
          </w:p>
        </w:tc>
        <w:tc>
          <w:tcPr>
            <w:tcW w:w="90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Direct title insurance premiums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1,431.5</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1,404.5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1,475.3</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title insurance premiums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Escrow, title-related and other fees</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1,401.4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1,424.0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and investment income</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143.9</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Realized gains and losses, net</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w:t>
            </w: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4,839.6</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5,521.3</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Personnel costs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1,620.0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operating expenses</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1,228.1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Agent commissions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105.0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title claim losses</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264.7</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w:t>
            </w:r>
          </w:p>
        </w:tc>
      </w:tr>
      <w:tr>
        <w:trPr>
          <w:trHeight w:val="25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4,424.8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4,864.6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5,206.2</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w w:val="99"/>
              </w:rPr>
              <w:t>Earnings from continuing operations before income tax expense and equity in earnings (loss) of unconsolidated affiliates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315.1</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on continuing operations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96.8</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earnings (loss) of unconsolidated affiliates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218.3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206.6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from discontinued operations, net of tax</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224.5</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83"/>
        </w:trPr>
        <w:tc>
          <w:tcPr>
            <w:tcW w:w="7440" w:type="dxa"/>
            <w:vAlign w:val="bottom"/>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369.5</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370.1</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222.3</w:t>
            </w:r>
          </w:p>
        </w:tc>
      </w:tr>
      <w:tr>
        <w:trPr>
          <w:trHeight w:val="22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0.91</w:t>
            </w:r>
          </w:p>
        </w:tc>
      </w:tr>
      <w:tr>
        <w:trPr>
          <w:trHeight w:val="26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w:t>
            </w:r>
          </w:p>
        </w:tc>
      </w:tr>
      <w:tr>
        <w:trPr>
          <w:trHeight w:val="22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Diluted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0.89</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r>
      <w:tr>
        <w:trPr>
          <w:trHeight w:val="283"/>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1.66</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0.97</w:t>
            </w:r>
          </w:p>
        </w:tc>
      </w:tr>
      <w:tr>
        <w:trPr>
          <w:trHeight w:val="21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Dividends per share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0.48</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0.60</w:t>
            </w:r>
          </w:p>
        </w:tc>
      </w:tr>
      <w:tr>
        <w:trPr>
          <w:trHeight w:val="22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280.5</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352.2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204.3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discontinued operations, attributable to Fidelity National Financial, Inc. common shareholders</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369.5</w:t>
            </w: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370.1</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222.3</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left="40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2009</w:t>
            </w:r>
          </w:p>
        </w:tc>
      </w:tr>
      <w:tr>
        <w:trPr>
          <w:trHeight w:val="237"/>
        </w:trPr>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6"/>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224.5</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Other comprehensive (loss) earnings: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Unrealized gain on investments and other financial instruments, net (excluding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123.4</w:t>
            </w:r>
          </w:p>
        </w:tc>
      </w:tr>
      <w:tr>
        <w:trPr>
          <w:trHeight w:val="237"/>
        </w:trPr>
        <w:tc>
          <w:tcPr>
            <w:tcW w:w="8300" w:type="dxa"/>
            <w:vAlign w:val="bottom"/>
          </w:tcPr>
          <w:p>
            <w:pPr>
              <w:ind w:left="280"/>
              <w:spacing w:after="0"/>
              <w:rPr>
                <w:sz w:val="20"/>
                <w:szCs w:val="20"/>
                <w:color w:val="auto"/>
              </w:rPr>
            </w:pPr>
            <w:r>
              <w:rPr>
                <w:rFonts w:ascii="Arial" w:cs="Arial" w:eastAsia="Arial" w:hAnsi="Arial"/>
                <w:sz w:val="16"/>
                <w:szCs w:val="16"/>
                <w:color w:val="auto"/>
              </w:rPr>
              <w:t>Unrealized (loss) gain relating to investments in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gain on foreign currency translation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r>
      <w:tr>
        <w:trPr>
          <w:trHeight w:val="237"/>
        </w:trPr>
        <w:tc>
          <w:tcPr>
            <w:tcW w:w="8300" w:type="dxa"/>
            <w:vAlign w:val="bottom"/>
          </w:tcPr>
          <w:p>
            <w:pPr>
              <w:ind w:left="280"/>
              <w:spacing w:after="0"/>
              <w:rPr>
                <w:sz w:val="20"/>
                <w:szCs w:val="20"/>
                <w:color w:val="auto"/>
              </w:rPr>
            </w:pPr>
            <w:r>
              <w:rPr>
                <w:rFonts w:ascii="Arial" w:cs="Arial" w:eastAsia="Arial" w:hAnsi="Arial"/>
                <w:sz w:val="16"/>
                <w:szCs w:val="16"/>
                <w:color w:val="auto"/>
              </w:rPr>
              <w:t>Reclassification adjustments for change in unrealized gains and losses included in net earnings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r>
      <w:tr>
        <w:trPr>
          <w:trHeight w:val="217"/>
        </w:trPr>
        <w:tc>
          <w:tcPr>
            <w:tcW w:w="8300" w:type="dxa"/>
            <w:vAlign w:val="bottom"/>
          </w:tcPr>
          <w:p>
            <w:pPr>
              <w:ind w:left="40"/>
              <w:spacing w:after="0"/>
              <w:rPr>
                <w:sz w:val="20"/>
                <w:szCs w:val="20"/>
                <w:color w:val="auto"/>
              </w:rPr>
            </w:pPr>
            <w:r>
              <w:rPr>
                <w:rFonts w:ascii="Arial" w:cs="Arial" w:eastAsia="Arial" w:hAnsi="Arial"/>
                <w:sz w:val="16"/>
                <w:szCs w:val="16"/>
                <w:color w:val="auto"/>
              </w:rPr>
              <w:t>Other comprehensive (loss) earnings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127.4</w:t>
            </w:r>
          </w:p>
        </w:tc>
      </w:tr>
      <w:tr>
        <w:trPr>
          <w:trHeight w:val="33"/>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351.9</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Less: Comprehensive earnings attributable to noncontrolling interests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w:t>
            </w:r>
          </w:p>
        </w:tc>
      </w:tr>
      <w:tr>
        <w:trPr>
          <w:trHeight w:val="33"/>
        </w:trPr>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349.7</w:t>
            </w: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1" w:right="2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ind w:left="4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30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32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7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7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54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Earnings (Loss)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(In millions)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2008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3,325.2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(238.9)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2,856.8</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Equity offering</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331.4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331.4</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Treasury stock repurchased</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Tax benefit associated with the exercise of 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Issuance of restricted stock</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Other comprehensive earnings — unrealized gain on investments and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financial instruments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118.5</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118.5</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5"/>
              </w:rPr>
              <w:t>Other comprehensive earnings — unrealized loss on investments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Other comprehensive earnings — unrealized gain on foreign currency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w w:val="90"/>
              </w:rPr>
              <w:t>Other comprehensive earnings — minimum pension liability adjustment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De-consolidation of previous majority-owned subsidiary</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(135.8)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(135.8)</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224.5</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2009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(319.4)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3,344.9</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repurchased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w w:val="91"/>
              </w:rPr>
              <w:t>Tax benefit associated with the exercise of stock-based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stock</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2"/>
              </w:rPr>
              <w:t>Other comprehensive earnings — unrealized loss on investments and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other financial instruments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Other comprehensive earnings — unrealized gain on investments in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unconsolidated affiliates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w w:val="92"/>
              </w:rPr>
              <w:t>Other comprehensive earnings — unrealized gain on foreign currency</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0"/>
              </w:rPr>
              <w:t>Other comprehensive earnings — minimum pension liability adjustment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Contributions to noncontrolling interests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noncontrolling interest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(157.4)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(157.4)</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375.6</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(440.8)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3,444.4</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repurchased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88"/>
              </w:rPr>
              <w:t>Issuance of convertible notes, net of deferred taxes of $8.2 and issuance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costs of $0.5</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Tax benefit associated with the exercise of 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Issuance of restricted stock</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Other comprehensive earnings — unrealized loss on investments and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financial instruments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5"/>
              </w:rPr>
              <w:t>Other comprehensive earnings — unrealized loss on investments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Other comprehensive earnings — unrealized loss on foreign currency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w w:val="90"/>
              </w:rPr>
              <w:t>Other comprehensive earnings — minimum pension liability adjustment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0" w:type="dxa"/>
            <w:vAlign w:val="bottom"/>
          </w:tcPr>
          <w:p>
            <w:pPr>
              <w:spacing w:after="0"/>
              <w:rPr>
                <w:sz w:val="1"/>
                <w:szCs w:val="1"/>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72"/>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369.5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242"/>
        </w:trPr>
        <w:tc>
          <w:tcPr>
            <w:tcW w:w="3900" w:type="dxa"/>
            <w:vAlign w:val="bottom"/>
          </w:tcPr>
          <w:p>
            <w:pPr>
              <w:ind w:left="40"/>
              <w:spacing w:after="0"/>
              <w:rPr>
                <w:sz w:val="20"/>
                <w:szCs w:val="20"/>
                <w:color w:val="auto"/>
              </w:rPr>
            </w:pPr>
            <w:r>
              <w:rPr>
                <w:rFonts w:ascii="Arial" w:cs="Arial" w:eastAsia="Arial" w:hAnsi="Arial"/>
                <w:sz w:val="13"/>
                <w:szCs w:val="13"/>
                <w:color w:val="auto"/>
              </w:rPr>
              <w:t>Balance, December 31, 2011</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254.9</w:t>
            </w:r>
          </w:p>
        </w:tc>
        <w:tc>
          <w:tcPr>
            <w:tcW w:w="120" w:type="dxa"/>
            <w:vAlign w:val="bottom"/>
          </w:tcPr>
          <w:p>
            <w:pPr>
              <w:spacing w:after="0"/>
              <w:rPr>
                <w:sz w:val="21"/>
                <w:szCs w:val="21"/>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3,798.6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373.4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34.2</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8"/>
              </w:rPr>
              <w:t>$ (532.2)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96"/>
              </w:rPr>
              <w:t>3,655.9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2009</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379.1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375.6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127.6</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(earnings) loss of unconsolidated affiliates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Gain on sales of investments and other assets, net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gain on sale of at-risk and flood insurance businesses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Gain on sale of investment in Sedgwick CMS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cost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(increase) decrease in pledged cash, pledged investments and secured trust deposits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(increase) in trade receivables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(increase) decrease in prepaid expenses and other assets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32.3</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decrease in reserve for claim losses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(294.8)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in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138.3</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380.3</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738.7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849.0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maturities of investment securities available for sale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sales of other assets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Additions to property and equipment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Additions to capitalized software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short-term investment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(Contributions to) distributions from investments in unconsolidated affiliates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other investing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the sale of flood insurance business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Sedgwick CMS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the sale of FN Capital</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49.2</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acquisitions/disposals of businesses, net of cash acquired</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(368.6)</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Equity offering</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Debt service payments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(398.4)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Purchases of treasury stock</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 excluding pledged cash related to secured trust deposits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(100.4)</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205.7</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9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9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through our subsidiaries provides title insurance, mortgage services and diversified services. We are the nation's largest title insurance company through our title insurance underwriters — Fidelity National Title, Chicago Title, Commonwealth Land Title, and Alamo Title — which collectively issued more title insurance policies in 2011 than any other title company in the United States. We own a minority interest in Ceridian Corporation (“Ceridian”), a leading provider of global human capital management and payment solutions. We also own a minority interest in Remy International, Inc. (“Remy”), a leading designer, manufacturer, remanufacturer, marketer and distributor of aftermarket and original equipment electrical components for automobiles, light trucks, heavy-duty trucks and other vehicles and American Blue Ribbon Holdings, LLC, an owner and operator of the Village Inn, Bakers Square and Max &amp; Erma's restaurants.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2010, we completed a project to reduce the number of our title insurance underwriters. Our remaining four principal title insurance underwriters are Fidelity National Title, Chicago Title, Commonwealth Land Title, and Alamo Title. Security Union Title and Ticor Title were merged into Chicago Title. Lawyers Title was merged into Fidelity National Title.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two reporting segments as follows: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FNF’s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other smaller operations, and our share in the operations of certain equity investments, including Ceridian and Remy and our former investment in Sedgwick in 2009 and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O'Charley's Inc.</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5, 2012, we entered into a definitive agreement to acquire all of the outstanding shares of common stock of O'Charley's Inc., which operates more than 340 full-service restaurants under the O'Charley's, Ninety Nine and Stoney River Legendary Steaks concepts, that we do not currently own for $9.85 per share in cash. O'Charley's Inc. had 21,967,041 shares outstanding as of December 31, 2011. We own 2,079,542 or 9.5% of the outstanding shares of O'Charley's Inc. common stock prior to the tender offer. The transaction is expected to close in May 2012 and is subject to successful completion of the tender and other customary closing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27, 2011, we entered into a definitive agreement under which we will sell an 85% interest in our remaining subsidiaries that write personal lines insurance to WT Holdings, Inc. for approximately $119.5 million. The sales price is subject to typical closing adjustments based on working capital and surplus. The transaction is expected to close by the second quarter of 2012 and is subject to regulatory approval and closing conditions. Accordingly, the results of this business (which we refer to as our "at-risk" insurance business) for all periods presented are reflected in the Consolidated Statements of Earnings as discontinued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operations. The at-risk insurance business sale is expected to result in a pre-tax loss of approximately $15.1 million, which was recorded in the fourth quarter of 2011. Total revenues from the at-risk insurance business included in discontinued operations are $162.8 million, $160.9 million and $149.1 million for the years ending December 31, 2011, 2010, and 2009, respectively. Pre-tax (loss) earnings from the at-risk insurance business included in discontinued operations are $(23.6) million, $(16.4) million and $1.3 million for the years ending December 31, 2011, 2010, and 2009, respectively. Total assets of $317.4 million and total liabilities of $145.6 million related to the at-risk business are considered held for sale and are included in prepaid and other assets and accounts payable and accrued liabilities, respectively, in the Consolidated Balance Sheet as of December 31, 2011.</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31, 2011, we completed the sale of our flood insurance business to WRM America Holdings LLC for $135.0 million in cash and dividends, and a $75.0 million seller note included in Trade and Notes Receivable on the Consolidated Balance Sheet as of December 31, 2011. The seller note has an eight percent annual interest coupon, with interest payable quarterly and principal payable in full eighteen months subsequent to closing. Accordingly, the results of the flood insurance business for all periods presented are reflected in the Consolidated Statements of Earnings as discontinued operations. The flood insurance business sale resulted in a pre-tax gain of approximately $154.1 million ($94.9 million after tax), which was recorded in the fourth quarter of 2011. Total revenues from the flood business included in discontinued operations are $151.3 million, $166.4 million and $158.0 million for the years ending December 31, 2011, 2010 and 2009, respectively. Pre-tax earnings from the flood business included in discontinued operations are $29.2 million, $30.0 million and $28.6 million for the years ending December 31, 2011, 2010 and 2009, respectively.</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September 25, 2009, we closed on the sale of Fidelity National Capital, Inc. (“FN Capital”), a wholly-owned financing and leasing subsidiary, to Winthrop Resources Corporation. Accordingly, the sale and results of FN Capital for periods prior to the sale are reflected in the Consolidated Statements of Earnings as discontinued operations for all periods presented. Net proceeds to FNF from the sale of FN Capital were $49.2 million. We recorded a pre-tax loss on the sale of $3.4 million ($2.2 million after tax). Total revenues from FN Capital included in discontinued operations were $29.3 million for the year ended December 31, 2009. Pre-tax loss included in discontinued operations was $2.1 million for the year ended December 31, 2009.</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February 2009, we transferred our ownership interest in FNRES Holdings, Inc. (“FNRES”) to Lender Processing Services, Inc. ("LPS"), a related party at the time, in exchange for all of the outstanding shares of Investment Property Exchange Services, Inc. (“IPEX”), a company that facilitates real estate exchanges under Section 1031 of the Internal Revenue Code. The purchase price of IPEX was approximately $43.0 million, which was the fair value of FNF’s 61% holdings in FNRES. The results of operations of FNRES are reflected as discontinued operations in the Consolidated Statements of Earnings for the year ending December 31, 2009. Discontinued operations included revenues from FNRES operations of $3.5 million for the year ending December 31, 2009. Discontinued operations included pre-tax losses related to FNRES operations of $0.5 million for the year ending December 31,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Sedgwick CMS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May 28, 2010, we completed the sale of our 32% interest in Sedgwick, our former minority-owned affiliate that provides claims management services to large corporate and public sector entities, to a group of private equity funds. See note C on investments for further discussion of the 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accreted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prospectively.</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long-term investments consist primarily of structured notes, and are carried at fair value as of the balance sheet dates. Fair values are based on exit prices obtained from a broker-dealer.</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annual goodwill impairment analyses in the fourth quarter of each respective year using a September 30 measurement date and as a result no goodwill impairments have been recorded. For the years ended December 31, 2011 and 2010, we determined there were no events or circumstances which indicated that the carrying value exceeded the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Capitalized software includes software acquired in business acquisitions, purchased software and internally developed capitalized software. Purchased software is recorded at cost and amortized using the straight-line method over a three-year period and software acquired in a business acquisition is recorded at its fair value upon acquisition and amortized using straight-line and accelerated methods over its estimated useful life. After the technological feasibility of software to be developed internally has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been established, or at the beginning of application development, software development costs, which include salaries and related payroll costs and costs of independent contractors incurred during development, are capitalized. Research and development costs incurred prior to the establishment of technological feasibility, or prior to software development, are expensed as incurred. For internally developed software, software development costs are amortized on a product by product basis commencing on the date of general release of the products, generally the greater of (1) the straight-line method over its estimated useful life, which ranges from three to seven years or (2) the ratio of current revenues to total anticipated revenue over estimated useful life.</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2011, capitalized software was $186.1 million, less accumulated amortization of $158.0 million. At December 31, 2010, capitalized software was $191.7 million, less accumulated amortization of $147.7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relating to capitalized software was $16.1 million, $23.5 million, and $25.0 million for the years ended December 31, 2011,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other intangible assets, not including software and goodwill, which consist primarily of customer relationships and contracts and trademarks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Customer relationships are amortized over their estimated useful lives using an accelerated method which takes into consideration expected customer attrition rates over a ten-year period. Contractual relationships are generally amortized over their contractual life. Trademarks are considered intangible assets with indefinite lives and are reviewed for impairment at least annually.We recorded no impairment expense related to other intangible assets in 2011, 2010, or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in the years ending December 31, 2011, 2010, and 2009 and identified and recorded impairment expense of $2.6 million, $4.3 million and $2.2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Property and equipment are recorded at cost, less depreciation. Depreciation is computed primarily using the straight-line method based on the estimated useful lives of the related assets: thirty years for buildings and three to seven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Claim Losses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type of policy written.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reserve for claim losses also includes reserves for losses arising from the escrow, closing and disbursement functions due to fraud or operational error.</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$419.9 million and $388.4 million at December 31, 2011 and 2010, respectively, representing customers’ assets held by us and corresponding assets including cash and investments pledged as security for those trust balances.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direct title insurance premiums and escrow, title-related and other fees are recognized as revenue at the time of closing of the 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60-70% reported within three months following closing, an additional 20-30% reported within the next three months and the remainder within seven to fifteen months. In addition to accruing these earned but unreported agency premiums, we also accrue agent commission expense, which was 77.1%, 78.6% and 79.6% of agent premiums earned in 2011, 2010 and 2009, respectively. We also record provision for claim losses at our average provision rate at the time we record the accrual for the premiums, which was 7.0% for 2011 and 2010 and 7.3% for 2009, and accruals for premium taxes and other expenses relating to our premium accrual. The resulting impact to pretax earnings in any period is less than 10% of the accrued premium amount. The impact of the change in the accrual for agency premiums and related expenses for the years ended December 31, 2011, 2010 and 2009 on our pretax earnings was an increase (decrease) of $7.8 million, $10.7 million and $(3.4) million, respectively. The amount due from our agents relating to this accrual, i.e. the agent premium less their contractual retained commission, was approximately $91.3 million and $112.1 million at December 31, 2011 and 2010, respectively, which represents agency premiums of approximately $441.2 million and $546.0 million at December 31, 2011 and 2010, respectively, and agent commissions of $349.9 million and $433.9 million at December 31, 2011 and 2010, respectively.</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home warranty insurance policies are recognized over the life of the policy, which is one year. The unrecognized portion is recorded as deferred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during the period. In periods when earnings are positive, diluted earnings per share is calculated by dividing net earnings available to common stockholders by the sum of the weighted average number of common shares outstanding and the impact of assumed conversions of potentially dilutive securities. For periods when we recognize a net loss, diluted earnings per share is equal to basic earnings per share as the impact of assumed conversions of potentially dilutive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is considered to be anti-dilutive. We have granted certain options, warrants and restricted stock which have been treated as common share equivalents for purposes of calculating diluted earnings per share for periods in which positive earnings have been reported.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80" w:type="dxa"/>
            <w:vAlign w:val="bottom"/>
            <w:gridSpan w:val="8"/>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per share data)</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 attributable to FNF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 from discontinued operations attributable to FNF common shareholders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shares outstanding during the period, basic basis</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Common stock equivalent shares assumed from conversion of options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during the period, diluted basis</w:t>
            </w:r>
          </w:p>
        </w:tc>
        <w:tc>
          <w:tcPr>
            <w:tcW w:w="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228.5</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Basic net earnings per share from continuing operations attributable to FNF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net earnings from discontinued operations attributable to FNF common shareholders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FNF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w w:val="92"/>
              </w:rPr>
              <w:t>Diluted net earnings per share from continuing operations attributable to FNF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earnings from discontinued operations attributable to FNF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0.97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years ended December 31, 2011, 2010, and 2009, options to purchase 7.8 million shares, 12.6 million shares and 10.2 million shares, respectively, of our common stock were excluded from the computation of diluted earnings per share because they were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historically conducted business with Fidelity National Information Services ("FIS") and its subsidiaries. On July 2, 2008, FIS completed the spin-off of its lender processing services segment into a separate publicly traded company, Lender Processing Services ("LPS"). As part of the spin-off of LPS, a number of the agreements that were previously between FNF and FIS were amended and renegotiated to reflect the revised relationships between FNF and FIS and the new relationships between FNF and LPS. Effective March 15, 2009, William P. Foley, II, retired from his position as an officer and director of LPS. Prior to March 15, 2009, Mr. Foley was the Chairman of the Board of LPS. Also at that time, Daniel D. (Ron) Lane and Cary H. Thompson, retired from the LPS Board of Directors. As a result, as of March 15, 2009, LPS is no longer a related party and activity between FNF and LPS subsequent to that date is not included in our disclosures of transactions with related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2011, is as follows:</w:t>
      </w:r>
    </w:p>
    <w:p>
      <w:pPr>
        <w:spacing w:after="0" w:line="171" w:lineRule="exact"/>
        <w:rPr>
          <w:sz w:val="20"/>
          <w:szCs w:val="20"/>
          <w:color w:val="auto"/>
        </w:rPr>
      </w:pPr>
    </w:p>
    <w:p>
      <w:pPr>
        <w:jc w:val="both"/>
        <w:ind w:left="660" w:hanging="328"/>
        <w:spacing w:after="0" w:line="31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Technology (“IT”) and data processing services from FIS. These agreements govern IT support services provided to us by FIS, primarily consisting of infrastructure support and data center management. Subject to certain early termination provisions (including the payment of minimum monthly service and termination fees), the agreement expires on or about June 30, 2013 with an option to renew for one or two additional years.</w:t>
      </w:r>
    </w:p>
    <w:p>
      <w:pPr>
        <w:spacing w:after="0" w:line="9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Administrative corporate support and cost-sharing services to FIS. We have provided certain administrative corporate support services such as corporate aviation and other administrative support services to FIS.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estate management and lease agreements. Included in our revenues are amounts received related to leases or subleases of certain office space and furnishings to FIS.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detail of related party items between us and FIS that were included in revenues and expenses for the periods presented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r>
      <w:tr>
        <w:trPr>
          <w:trHeight w:val="196"/>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expense</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color w:val="auto"/>
              </w:rPr>
              <w:t>Net expense</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7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FNF earned or was charged under these arrangements were not negotiated at arm’s-length, and may not represent the terms that we might have obtained from an unrelated third party. The net amounts due to FIS as a result of these agreements were $5.6 million and $8.3 million as of December 31, 2011 and 2010, respectively.</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Additionally, we received a transaction fee of $1.5 million from FIS. During the third quarter of 2010, we sold 1,611,574 shares as part of a tender offer by FIS at $29.00 per share for a realized gain of $21.7 million. The fair value of this investment is $42.6 million and $43.9 million as of December 31, 2011 and 2010, respectively, and is recorded in equity securities. Changes in fair value of the FIS stock are recorded as other comprehensive earnings.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included in fixed maturities available for sale are FIS bonds with a fair value of $23.6 million and $27.4 million as of December 31, 2011 and 2010, respectively, as well as an FIS term loan acquired in May 2011 with a fair value of $13.0 million as of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LPS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noted above, prior to March 15, 2009, LPS was a related party to us. Agreements with LPS for title agency and other services were in effect at that time. A detail of related party revenues and expenses between FNF and LPS are as follows. For the period from January 1 through March 15, 2009, we recorded agency title premiums of $84.2 million. We recorded agency title commissions of $73.8 million for the period from January 1 through March 15, 2009. We recorded other revenue of $4.9 million for the period from January 1 through March 15, 2009. Other operating expenses relating to agreements with LPS were $18.9 million for the period from January 1 through March 15,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account for stock-based compensation plans using the fair value method. Using the fair value method of accounting, compensation cost is measured based on the fair value of the award at the grant date and recognized over the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functional currency for our foreign operations is either the U.S. Dollar or the local currency.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Statements of Equity and are excluded from net earnings. Gains or losses resulting from foreign currency transactions are included in realized gains and losses and are insignificant in 2011, 2010, and 2009.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reclassifications have been made in the 2010 and 2009 Consolidated Financial Statements to conform to the classifications used in 2011.</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2011 and 2010,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 (1):</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1,569.1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 (2)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3,528.4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3,689.1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right="20" w:hanging="252"/>
        <w:spacing w:after="0" w:line="250"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$256.8 million relating to the at-risk insurance business that have been reclassed into prepaid and other assets on the Consolidated Balance Sheet as they are considered held for sale as of December 31, 2011.</w:t>
      </w:r>
    </w:p>
    <w:p>
      <w:pPr>
        <w:ind w:left="260" w:hanging="252"/>
        <w:spacing w:after="0" w:line="261" w:lineRule="auto"/>
        <w:tabs>
          <w:tab w:leader="none" w:pos="27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$14.2 million relating to the at-risk insurance business that have been reclassed into prepaid and other assets on the Consolidated Balance Sheet as they are considered held for sale as of December 31,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313.5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1,532.7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1,532.7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 and other fixed maturity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184.0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90.1</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3,659.6</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government and agencies: These securities are valued based on data obtained for similar securities in active markets and from inter-dealer brokers.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and political subdivisions: These securities are valued based on data obtained for similar securities in active markets and from inter-dealer brokers.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considered include relevant trade information, dealer quotes and other relevant market data.</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Level 3 investments consist of structured notes that were purchased in the third quarter of 2009 and in 2010 also included auction rate securities which were included in the assets of Commonwealth Land Title Insurance Company, Lawyers Title Insurance Corporation and United Capital Title Insurance Company (collectively, the "LFG Underwriters") that were acquired on December 22, 2008. The auction rate securities are classified in other fixed-maturity securities and had a par value of $14.1 million and fair value of $9.5 million at December 31, 2010. These auction rate securities were sold during 2011. The structured notes had a par value of $37.5 million and fair value of $40.8 million at December 31, 2011 and a par value of $75.0 million and fair value of $90.1 million at December 31, 2010. The structured notes are held for general investment purposes and represent one percent of our total investment portfolio. The structured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pricing methodologies for our Level 3 investments to ensure that they are reasonable and believe they represent an exit price as of December 31, 2011.</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investments that are classified as Level 3 for the years ended December 31, 2011 and 2010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Proceeds received upon call/sales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change included in other comprehensive earnings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Proceeds received upon call/sales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change included in other comprehensive earnings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short-term investments, accounts receivable and notes receivable approximate fair value due to their short-term nature. The fair value of our notes payable is included in Note 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Investments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available for sale securities at December 31, 2011 and 2010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3,251.0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5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1,532.7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 and other fixed maturity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3,569.5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3,428.3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3,569.5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 At December 31, 2011 all of our mortgage-backed and asset-backed securities are rated AA or better. The mortgage-backed and asset-backed securities are made up of $157.6 million of agency mortgage-backed securities, $1.6 million of non-agency mortgage backed securities, $0.1 million of collateralized mortgage obligations, $25.9 million of commercial mortgage-backed securities, and $16.4 million in asset-backed securities.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2011, 2010, and 2009 was $(9.9) million, $(52.5) million, and $150.0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1,146.4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3,093.0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3,200.2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6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$1,024.0 million and $1,047.5 million in amortized cost and fair value, respectively, of fixed maturity securities with make-whole call provisions as of December 31, 2011.</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$165.6 million and $185.4 million were on deposit with various governmental authorities at December 31, 2011 and 2010, respectively, as required by law.</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Equity securities at December 31, 2011 and 2010 consisted of investments at a cost basis of $83.2 million and $51.1 million, respectively, and fair value of $105.7 million and $75.2 million, respectively. Equity securities are carried at fair value. The balance of equity securities includes an investment in FIS stock, which we purchased on October 1, 2009 for $50.0 million, pursuant to an investment agreement between us and FIS dated March 31, 2009 in connection with a merger between FIS and Metavante Technologies, Inc. During the third quarter of 2010, we sold 1,611,574 shares as part of a tender offer by FIS at $29.00 per share for a realized gain of $21.7 million. The fair value of this investment is $42.6 million and $43.9 million as of December 31, 2011 and 2010, respectively. The change in unrealized gains (losses) on equity securities for the years ended December 31, 2011, 2010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2009 was a net (decrease) increase of $(1.6) million, $(3.8) million, and $36.2 million, respectively. There were no significant investments in banks, trust and insurance companies at December 31, 2011 or 2010.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2011 and 2010 are as follows (in millions):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2010</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Foreign government bonds and other fixed maturity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substantial portion of our unrealized losses relate to debt securities. These unrealized losses were primarily caused by widening credit spreads that we consider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2011.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2011, we incurred impairment charges relating to investments that were determined to be other-than-temporarily impaired, which resulted in impairment charges of $17.1 million. Impairment charges in 2011 related to fixed maturity securities primarily related to our conclusion that the credit risk of these holdings was high and the ability of the issuer to pay the full amount of the principal outstanding was unlikely. During 2010, we incurred no impairment charges relating to investments that were determined to be other-than-temporarily impaired. During 2009, we incurred impairment charges relating to investments that were determined to be other-than-temporarily impaired, which resulted in charges of $6.9 million. Impairment charges in 2009 related to equity securities that were deemed other-than-temporarily impaired. The impairment charges relating to the equity securities were based on the duration and severity of the unrealized loss and our inability to reasonably predict the time to recover if the investment continued to be held.</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April 2009, the FASB updated their guidance on recognition of other-than-temporary impairments on investments, specifically on debt and equity securities for which changes in fair value are not regularly recognized in earnings. In accordance with the updated guidance, we determined that a total of $1.3 million in other-than-temporary impairments on fixed maturity securities had previously been recognized in relation to investments held at April 1, 2009, all of which were related to credit losses. We further concluded that no cumulative effect adjustment was necessary as a result of implementing the updated guidance as all of the securities for which an other-than-temporary impairment had previously been recognized were sold within three months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updated guidance. As of December 31, 2011 we held $106.7 million of fixed maturity securities for which other-than-temporary impairments had been previously recognized; all of the impairments related to credit losses. In 2010, we held no investments for which an other-than-temporary impairment had been previously recognized.</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ending December 31, 2011, 2010, and 2009,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1,205.6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780" w:type="dxa"/>
            <w:vAlign w:val="bottom"/>
          </w:tcPr>
          <w:p>
            <w:pPr>
              <w:jc w:val="right"/>
              <w:ind w:right="6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2010</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235.7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2009</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780" w:type="dxa"/>
            <w:vAlign w:val="bottom"/>
          </w:tcPr>
          <w:p>
            <w:pPr>
              <w:jc w:val="right"/>
              <w:ind w:right="61"/>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8" w:name="page69"/>
    <w:bookmarkEnd w:id="6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133.4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143.9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our other long-term investments are fixed-maturity structured notes purchased in the third quarter of 2009. The structured notes are carried at fair value (see note B) and changes in the fair value of these structured notes are recorded as realized gains and losses in the Consolidated Statements of Earnings. The carrying value of the structured notes was $40.8 million and $90.1 million as of December 31, 2011 and 2010, respectively, and we recorded a net (loss) gain of $(4.4) million, $11.4 million, and $3.7 million related to the structured notes in the years ended December 31, 2011, 2010 and 2009,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December 31, 2011 and 2010, consisted of the following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at</w:t>
            </w:r>
          </w:p>
        </w:tc>
        <w:tc>
          <w:tcPr>
            <w:tcW w:w="240" w:type="dxa"/>
            <w:vAlign w:val="bottom"/>
          </w:tcPr>
          <w:p>
            <w:pPr>
              <w:spacing w:after="0"/>
              <w:rPr>
                <w:sz w:val="14"/>
                <w:szCs w:val="14"/>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2011</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Remy</w:t>
            </w: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various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21, 2011, as part of a Common Stock Rights Offering ("the Offering") to all Remy common shareholders, we purchased an additional 9.9 million shares of Remy common stock in exchange for tendering our 42,359 shares of Remy preferred stock held and cash of $26.0 million. Following the Offering and preferred stock conversion, we own 14.8 million shares of Remy common stock, representing an increase of our ownership interest from 46% to 47%.</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to our equity method investment in Remy, we held $29.7 million and $29.9 million in par value of a Remy term loan as of December 31, 2011 and 2010, respectively. The fair value of the term loan was $29.3 million and $29.7 million as of December 31, 2011 and 2010, respectively, and is included in our fixed maturity securities available for sale. Also, included in our fixed maturity securities available for sale at December 31, 2010 were $54.8 million of Remy’s bonds. On December 17, 2010, as part of a credit refinancing, Remy called these bonds at 109 percent of par, payable January 14, 2011. We received the proceeds and recognized a gain of $8.5 million during the first quarter of 2011.</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28, 2010, we completed the sale of our 32% interest in Sedgwick, our former minority-owned affiliate that provides claims management services to large corporate and public sector entities, to a group of private equity funds, resulting in a pre-tax gain of approximately $98.4 million during the second quarter of 2010. We received approximately $225.6 million in proceeds for our ownership interest, of which $32.0 million was held in an indemnity escrow until 2011.</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years ended December 31, 2011, 2010, and 2009, we recorded an aggregate of $9.7 million, $(1.2) million, and $(11.7) million, respectively, in equity in earnings (losses) of unconsolidated affiliates. We account for our equity in Ceridian and Remy on a three-month and one-month lag, respectively. Accordingly, our net earnings for the year ended December 31, 2011, includes our equity in Ceridian’s earnings for the period from October 1, 2010 through September 30, 2011 and our net earnings for the year ended December 31, 2010, includes our equity in Ceridian’s earnings for the period from October 1, 2009 through September 30, 2010. Our net earnings for the year ended December 31, 2011, includes our equity in Remy's earnings for the period from December 1, 2010 through November 30, 2011 and our net earnings for the year ended December 31, 2010, includes our equity in Remy's earnings for the period from December 1, 2009 through November 30, 2010. In addition, we record our share of the other comprehensive earnings (loss) of unconsolidated affiliates. As of December 31, 2011, included within the Consolidated Statements of Equity, we had recorded accumulated other comprehensive losses of $55.0 million and $22.9 million related to our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Ceridian and Remy, respectively, and less than $0.1 million related to our other investments in unconsolidated affiliates.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for the periods included in our Consolidated Financial Statements for Ceridian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September 30, 2011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September 30, 2010</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520" w:type="dxa"/>
            <w:vAlign w:val="bottom"/>
          </w:tcPr>
          <w:p>
            <w:pPr>
              <w:jc w:val="right"/>
              <w:ind w:right="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4,577.6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4,700.6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4,859.2</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9,991.2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10,640.1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3,451.4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3,492.5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5,222.2</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8,909.4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9,514.2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1,125.9</w:t>
            </w:r>
          </w:p>
        </w:tc>
      </w:tr>
      <w:tr>
        <w:trPr>
          <w:trHeight w:val="25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9,991.2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10,640.1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Period from</w:t>
      </w:r>
    </w:p>
    <w:p>
      <w:pPr>
        <w:jc w:val="center"/>
        <w:ind w:left="8160"/>
        <w:spacing w:after="0" w:line="226" w:lineRule="auto"/>
        <w:rPr>
          <w:sz w:val="20"/>
          <w:szCs w:val="20"/>
          <w:color w:val="auto"/>
        </w:rPr>
      </w:pPr>
      <w:r>
        <w:rPr>
          <w:rFonts w:ascii="Arial" w:cs="Arial" w:eastAsia="Arial" w:hAnsi="Arial"/>
          <w:sz w:val="14"/>
          <w:szCs w:val="14"/>
          <w:b w:val="1"/>
          <w:bCs w:val="1"/>
          <w:color w:val="auto"/>
        </w:rPr>
        <w:t>October 1, 2010,</w:t>
      </w:r>
    </w:p>
    <w:p>
      <w:pPr>
        <w:jc w:val="center"/>
        <w:ind w:left="8160"/>
        <w:spacing w:after="0" w:line="222" w:lineRule="auto"/>
        <w:rPr>
          <w:sz w:val="20"/>
          <w:szCs w:val="20"/>
          <w:color w:val="auto"/>
        </w:rPr>
      </w:pPr>
      <w:r>
        <w:rPr>
          <w:rFonts w:ascii="Arial" w:cs="Arial" w:eastAsia="Arial" w:hAnsi="Arial"/>
          <w:sz w:val="14"/>
          <w:szCs w:val="14"/>
          <w:b w:val="1"/>
          <w:bCs w:val="1"/>
          <w:color w:val="auto"/>
        </w:rPr>
        <w:t>through</w:t>
      </w:r>
    </w:p>
    <w:p>
      <w:pPr>
        <w:jc w:val="center"/>
        <w:ind w:left="8160"/>
        <w:spacing w:after="0"/>
        <w:rPr>
          <w:sz w:val="20"/>
          <w:szCs w:val="20"/>
          <w:color w:val="auto"/>
        </w:rPr>
      </w:pPr>
      <w:r>
        <w:rPr>
          <w:rFonts w:ascii="Arial" w:cs="Arial" w:eastAsia="Arial" w:hAnsi="Arial"/>
          <w:sz w:val="12"/>
          <w:szCs w:val="12"/>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27940</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96"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Period from</w:t>
      </w:r>
    </w:p>
    <w:p>
      <w:pPr>
        <w:jc w:val="center"/>
        <w:ind w:right="240"/>
        <w:spacing w:after="0" w:line="226" w:lineRule="auto"/>
        <w:rPr>
          <w:sz w:val="20"/>
          <w:szCs w:val="20"/>
          <w:color w:val="auto"/>
        </w:rPr>
      </w:pPr>
      <w:r>
        <w:rPr>
          <w:rFonts w:ascii="Arial" w:cs="Arial" w:eastAsia="Arial" w:hAnsi="Arial"/>
          <w:sz w:val="14"/>
          <w:szCs w:val="14"/>
          <w:b w:val="1"/>
          <w:bCs w:val="1"/>
          <w:color w:val="auto"/>
        </w:rPr>
        <w:t>October 1, 2009,</w:t>
      </w:r>
    </w:p>
    <w:p>
      <w:pPr>
        <w:jc w:val="center"/>
        <w:ind w:right="240"/>
        <w:spacing w:after="0" w:line="222" w:lineRule="auto"/>
        <w:rPr>
          <w:sz w:val="20"/>
          <w:szCs w:val="20"/>
          <w:color w:val="auto"/>
        </w:rPr>
      </w:pPr>
      <w:r>
        <w:rPr>
          <w:rFonts w:ascii="Arial" w:cs="Arial" w:eastAsia="Arial" w:hAnsi="Arial"/>
          <w:sz w:val="14"/>
          <w:szCs w:val="14"/>
          <w:b w:val="1"/>
          <w:bCs w:val="1"/>
          <w:color w:val="auto"/>
        </w:rPr>
        <w:t>through</w:t>
      </w:r>
    </w:p>
    <w:p>
      <w:pPr>
        <w:jc w:val="center"/>
        <w:ind w:right="240"/>
        <w:spacing w:after="0"/>
        <w:rPr>
          <w:sz w:val="20"/>
          <w:szCs w:val="20"/>
          <w:color w:val="auto"/>
        </w:rPr>
      </w:pPr>
      <w:r>
        <w:rPr>
          <w:rFonts w:ascii="Arial" w:cs="Arial" w:eastAsia="Arial" w:hAnsi="Arial"/>
          <w:sz w:val="13"/>
          <w:szCs w:val="13"/>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20955</wp:posOffset>
            </wp:positionV>
            <wp:extent cx="1080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9360" w:space="600"/>
            <w:col w:w="1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revenues</w:t>
            </w:r>
          </w:p>
        </w:tc>
        <w:tc>
          <w:tcPr>
            <w:tcW w:w="472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6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1,472.4</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25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7"/>
        </w:trPr>
        <w:tc>
          <w:tcPr>
            <w:tcW w:w="12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7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Note D.</w:t>
            </w:r>
          </w:p>
        </w:tc>
        <w:tc>
          <w:tcPr>
            <w:tcW w:w="4720" w:type="dxa"/>
            <w:vAlign w:val="bottom"/>
          </w:tcPr>
          <w:p>
            <w:pPr>
              <w:ind w:left="100"/>
              <w:spacing w:after="0"/>
              <w:rPr>
                <w:sz w:val="20"/>
                <w:szCs w:val="20"/>
                <w:color w:val="auto"/>
              </w:rPr>
            </w:pPr>
            <w:r>
              <w:rPr>
                <w:rFonts w:ascii="Arial" w:cs="Arial" w:eastAsia="Arial" w:hAnsi="Arial"/>
                <w:sz w:val="18"/>
                <w:szCs w:val="18"/>
                <w:b w:val="1"/>
                <w:bCs w:val="1"/>
                <w:color w:val="auto"/>
              </w:rPr>
              <w:t>Property and Equipment</w:t>
            </w: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5920" w:type="dxa"/>
            <w:vAlign w:val="bottom"/>
            <w:gridSpan w:val="2"/>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4"/>
        </w:trPr>
        <w:tc>
          <w:tcPr>
            <w:tcW w:w="12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12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0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2010</w:t>
            </w:r>
          </w:p>
        </w:tc>
      </w:tr>
      <w:tr>
        <w:trPr>
          <w:trHeight w:val="190"/>
        </w:trPr>
        <w:tc>
          <w:tcPr>
            <w:tcW w:w="12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r>
      <w:tr>
        <w:trPr>
          <w:trHeight w:val="255"/>
        </w:trPr>
        <w:tc>
          <w:tcPr>
            <w:tcW w:w="1200" w:type="dxa"/>
            <w:vAlign w:val="bottom"/>
          </w:tcPr>
          <w:p>
            <w:pPr>
              <w:ind w:left="40"/>
              <w:spacing w:after="0"/>
              <w:rPr>
                <w:sz w:val="20"/>
                <w:szCs w:val="20"/>
                <w:color w:val="auto"/>
              </w:rPr>
            </w:pPr>
            <w:r>
              <w:rPr>
                <w:rFonts w:ascii="Arial" w:cs="Arial" w:eastAsia="Arial" w:hAnsi="Arial"/>
                <w:sz w:val="18"/>
                <w:szCs w:val="18"/>
                <w:color w:val="auto"/>
              </w:rPr>
              <w:t>Land</w:t>
            </w:r>
          </w:p>
        </w:tc>
        <w:tc>
          <w:tcPr>
            <w:tcW w:w="47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10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78.0</w:t>
            </w:r>
          </w:p>
        </w:tc>
      </w:tr>
      <w:tr>
        <w:trPr>
          <w:trHeight w:val="27"/>
        </w:trPr>
        <w:tc>
          <w:tcPr>
            <w:tcW w:w="12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7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82.4</w:t>
            </w:r>
          </w:p>
        </w:tc>
      </w:tr>
      <w:tr>
        <w:trPr>
          <w:trHeight w:val="27"/>
        </w:trPr>
        <w:tc>
          <w:tcPr>
            <w:tcW w:w="592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5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463.0</w:t>
            </w:r>
          </w:p>
        </w:tc>
      </w:tr>
      <w:tr>
        <w:trPr>
          <w:trHeight w:val="237"/>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661.9</w:t>
            </w:r>
          </w:p>
        </w:tc>
      </w:tr>
      <w:tr>
        <w:trPr>
          <w:trHeight w:val="27"/>
        </w:trPr>
        <w:tc>
          <w:tcPr>
            <w:tcW w:w="592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5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37"/>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179.9</w:t>
            </w:r>
          </w:p>
        </w:tc>
      </w:tr>
      <w:tr>
        <w:trPr>
          <w:trHeight w:val="27"/>
        </w:trPr>
        <w:tc>
          <w:tcPr>
            <w:tcW w:w="12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and equipment was $38.4 million, $40.4 million, and $52.9 million for the years ended December 31, 2011, 2010, and 2009, respectively.</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860" w:type="dxa"/>
            <w:vAlign w:val="bottom"/>
            <w:gridSpan w:val="7"/>
          </w:tcPr>
          <w:p>
            <w:pPr>
              <w:jc w:val="center"/>
              <w:ind w:left="155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40" w:type="dxa"/>
            <w:vAlign w:val="bottom"/>
          </w:tcPr>
          <w:p>
            <w:pPr>
              <w:spacing w:after="0"/>
              <w:rPr>
                <w:sz w:val="24"/>
                <w:szCs w:val="24"/>
                <w:color w:val="auto"/>
              </w:rPr>
            </w:pPr>
          </w:p>
        </w:tc>
        <w:tc>
          <w:tcPr>
            <w:tcW w:w="7860" w:type="dxa"/>
            <w:vAlign w:val="bottom"/>
            <w:gridSpan w:val="7"/>
          </w:tcPr>
          <w:p>
            <w:pPr>
              <w:jc w:val="center"/>
              <w:ind w:left="15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Note E.</w:t>
            </w:r>
          </w:p>
        </w:tc>
        <w:tc>
          <w:tcPr>
            <w:tcW w:w="4680" w:type="dxa"/>
            <w:vAlign w:val="bottom"/>
          </w:tcPr>
          <w:p>
            <w:pPr>
              <w:ind w:left="360"/>
              <w:spacing w:after="0"/>
              <w:rPr>
                <w:sz w:val="20"/>
                <w:szCs w:val="20"/>
                <w:color w:val="auto"/>
              </w:rPr>
            </w:pPr>
            <w:r>
              <w:rPr>
                <w:rFonts w:ascii="Arial" w:cs="Arial" w:eastAsia="Arial" w:hAnsi="Arial"/>
                <w:sz w:val="18"/>
                <w:szCs w:val="18"/>
                <w:b w:val="1"/>
                <w:bCs w:val="1"/>
                <w:color w:val="auto"/>
              </w:rPr>
              <w:t>Goodwill</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ind w:left="340"/>
              <w:spacing w:after="0"/>
              <w:rPr>
                <w:sz w:val="20"/>
                <w:szCs w:val="20"/>
                <w:color w:val="auto"/>
              </w:rPr>
            </w:pPr>
            <w:r>
              <w:rPr>
                <w:rFonts w:ascii="Arial" w:cs="Arial" w:eastAsia="Arial" w:hAnsi="Arial"/>
                <w:sz w:val="18"/>
                <w:szCs w:val="18"/>
                <w:color w:val="auto"/>
              </w:rPr>
              <w:t>Goodwill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Fidelity National</w:t>
            </w:r>
          </w:p>
        </w:tc>
        <w:tc>
          <w:tcPr>
            <w:tcW w:w="26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Specialty</w:t>
            </w:r>
          </w:p>
        </w:tc>
        <w:tc>
          <w:tcPr>
            <w:tcW w:w="22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4"/>
                <w:szCs w:val="2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Title Group</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Insurance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and Other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Goodwill acquired during the year</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2010</w:t>
            </w: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acquired during the year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assets related to discontinued operations (1)</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2011</w:t>
            </w: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During 2011, we completed the sale of our flood insurance businesses. See Note A under "Discontinued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9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196"/>
        </w:trPr>
        <w:tc>
          <w:tcPr>
            <w:tcW w:w="9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234.5</w:t>
            </w:r>
          </w:p>
        </w:tc>
      </w:tr>
      <w:tr>
        <w:trPr>
          <w:trHeight w:val="243"/>
        </w:trPr>
        <w:tc>
          <w:tcPr>
            <w:tcW w:w="920" w:type="dxa"/>
            <w:vAlign w:val="bottom"/>
          </w:tcPr>
          <w:p>
            <w:pPr>
              <w:ind w:left="40"/>
              <w:spacing w:after="0"/>
              <w:rPr>
                <w:sz w:val="20"/>
                <w:szCs w:val="20"/>
                <w:color w:val="auto"/>
              </w:rPr>
            </w:pPr>
            <w:r>
              <w:rPr>
                <w:rFonts w:ascii="Arial" w:cs="Arial" w:eastAsia="Arial" w:hAnsi="Arial"/>
                <w:sz w:val="18"/>
                <w:szCs w:val="18"/>
                <w:color w:val="auto"/>
              </w:rPr>
              <w:t>Other</w:t>
            </w:r>
          </w:p>
        </w:tc>
        <w:tc>
          <w:tcPr>
            <w:tcW w:w="7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46.8</w:t>
            </w:r>
          </w:p>
        </w:tc>
      </w:tr>
      <w:tr>
        <w:trPr>
          <w:trHeight w:val="27"/>
        </w:trPr>
        <w:tc>
          <w:tcPr>
            <w:tcW w:w="9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(126.1)</w:t>
            </w:r>
          </w:p>
        </w:tc>
      </w:tr>
      <w:tr>
        <w:trPr>
          <w:trHeight w:val="27"/>
        </w:trPr>
        <w:tc>
          <w:tcPr>
            <w:tcW w:w="9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amortizable intangible assets, which consist primarily of customer relationships, was $16.5 million, $19.1 million, and $22.1 million for the years ended December 31, 2011, 2010, and 2009, respectively. Other intangible assets primarily represent non-amortizable intangible assets such as trademarks and licenses. Estimated amortization expense for the next five years for assets owned at December 31, 2011, is $18.3 million in 2012, $14.3 million in 2013, $11.5 million in 2014, $10.5 million in 2015 and $9.4 million in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8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8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18"/>
                <w:szCs w:val="18"/>
                <w:b w:val="1"/>
                <w:bCs w:val="1"/>
                <w:color w:val="auto"/>
              </w:rPr>
              <w:t>Note G.</w:t>
            </w:r>
          </w:p>
        </w:tc>
        <w:tc>
          <w:tcPr>
            <w:tcW w:w="7820" w:type="dxa"/>
            <w:vAlign w:val="bottom"/>
            <w:gridSpan w:val="2"/>
          </w:tcPr>
          <w:p>
            <w:pPr>
              <w:jc w:val="right"/>
              <w:ind w:right="4490"/>
              <w:spacing w:after="0"/>
              <w:rPr>
                <w:sz w:val="20"/>
                <w:szCs w:val="20"/>
                <w:color w:val="auto"/>
              </w:rPr>
            </w:pPr>
            <w:r>
              <w:rPr>
                <w:rFonts w:ascii="Arial" w:cs="Arial" w:eastAsia="Arial" w:hAnsi="Arial"/>
                <w:sz w:val="18"/>
                <w:szCs w:val="18"/>
                <w:b w:val="1"/>
                <w:bCs w:val="1"/>
                <w:color w:val="auto"/>
                <w:w w:val="90"/>
              </w:rPr>
              <w:t>Accounts Payable and Accrued Liabilities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 consist of the following:</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Accrued benefits</w:t>
            </w:r>
          </w:p>
        </w:tc>
        <w:tc>
          <w:tcPr>
            <w:tcW w:w="7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Salaries and incentives</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7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Accrued premium taxes</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 (1)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right="160" w:hanging="252"/>
        <w:spacing w:after="0" w:line="290" w:lineRule="auto"/>
        <w:tabs>
          <w:tab w:leader="none" w:pos="2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accrued liabilities includes $145.6 million in liabilities related to the at-risk insurance business that have been reclassed in to accounts payable and other accrued liabilities on the Consolidated Balance Sheet as they are considered held for sale as of December 31,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H.</w:t>
            </w:r>
          </w:p>
        </w:tc>
        <w:tc>
          <w:tcPr>
            <w:tcW w:w="7620" w:type="dxa"/>
            <w:vAlign w:val="bottom"/>
          </w:tcPr>
          <w:p>
            <w:pPr>
              <w:ind w:left="340"/>
              <w:spacing w:after="0"/>
              <w:rPr>
                <w:sz w:val="20"/>
                <w:szCs w:val="20"/>
                <w:color w:val="auto"/>
              </w:rPr>
            </w:pPr>
            <w:r>
              <w:rPr>
                <w:rFonts w:ascii="Arial" w:cs="Arial" w:eastAsia="Arial" w:hAnsi="Arial"/>
                <w:sz w:val="18"/>
                <w:szCs w:val="18"/>
                <w:b w:val="1"/>
                <w:bCs w:val="1"/>
                <w:color w:val="auto"/>
              </w:rPr>
              <w:t>Notes Payable</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250"/>
        </w:trPr>
        <w:tc>
          <w:tcPr>
            <w:tcW w:w="96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279.5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8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299.8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299.7</w:t>
            </w:r>
          </w:p>
        </w:tc>
      </w:tr>
      <w:tr>
        <w:trPr>
          <w:trHeight w:val="27"/>
        </w:trPr>
        <w:tc>
          <w:tcPr>
            <w:tcW w:w="8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236.4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Unsecured notes, net of discount, interest payable semi-annually at 7.30%, due August 2011</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165.6</w:t>
            </w:r>
          </w:p>
        </w:tc>
      </w:tr>
      <w:tr>
        <w:trPr>
          <w:trHeight w:val="27"/>
        </w:trPr>
        <w:tc>
          <w:tcPr>
            <w:tcW w:w="8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Revolving credit facility, unsecured, unused portion of $825.0 at December 31, 2011, due March 2013 with interest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monthly at LIBOR + 2.00% (2.28% at December 31, 2011)</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r>
      <w:tr>
        <w:trPr>
          <w:trHeight w:val="243"/>
        </w:trPr>
        <w:tc>
          <w:tcPr>
            <w:tcW w:w="960" w:type="dxa"/>
            <w:vAlign w:val="bottom"/>
          </w:tcPr>
          <w:p>
            <w:pPr>
              <w:ind w:left="40"/>
              <w:spacing w:after="0"/>
              <w:rPr>
                <w:sz w:val="20"/>
                <w:szCs w:val="20"/>
                <w:color w:val="auto"/>
              </w:rPr>
            </w:pPr>
            <w:r>
              <w:rPr>
                <w:rFonts w:ascii="Arial" w:cs="Arial" w:eastAsia="Arial" w:hAnsi="Arial"/>
                <w:sz w:val="18"/>
                <w:szCs w:val="18"/>
                <w:color w:val="auto"/>
              </w:rPr>
              <w:t>Other</w:t>
            </w:r>
          </w:p>
        </w:tc>
        <w:tc>
          <w:tcPr>
            <w:tcW w:w="7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96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6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915.8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952.0</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December 31, 2011, the estimated fair value of our outstanding notes payable was approximately $927.8 million or $12.0 million higher than its carrying value. The fair value of our notes payable was approximately $957.6 million or $5.6 million higher than its estimated carrying value at December 31, 2010. The fair values of our unsecured notes payable are based on established market prices for the securities on December 31, 2011 and 2010. The fair value of our revolving credit facility is estimated using a discounted cash flow analysis based on current market interest rates and comparison of interest rates being paid to our current incremental borrowing rates for similar types of borrowing arrangements.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2, 2011, we completed an offering of $300.0 million in aggregate principal amount of 4.25% convertible senior notes due August 15,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$21.5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(1)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(2)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(3) upon the occurrence of specified corporate transactions; or (4)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account separately for the liability and equity components of the Notes in accordance with authoritative guidance for convertible debt instruments that may be settled in cash upon conversion. The guidance requires the carrying amount of the liability component to be estimated by measuring the fair value of a similar liability that does not have an associated conversion feature. Based on market data available for our publicly traded, senior, unsecured corporate bonds, we estimated the implied interest rate of the Notes to be 5.5%, assuming no conversion option. Assumptions used in the estimate represent what market participants would use in pricing the liability component which are defined as Level 2 observable inputs. The estimated implied interest rate was applied to the Notes, which resulted in a fair value of the liability component of $278.5 million, calculated as the present value of implied future payments. The $21.5 million difference between the cash proceeds of $300.0 million and the estimated fair value of the liability component was recorded in additional paid-in capital as the Notes are not considered currently redeemable at the balance sheet date. If the Notes were converted as of December 31, 2011, the if-converted value would not exceed the principal amount. As a policy election under applicable guidance related to the calculation of diluted net income per share, we elected the net-share settlement method as our stated settlement policy and applied the treasury stock method in the calculation of the dilutive impact of the Notes, which was anti-dilutive for the year ended December 31, 2011.</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used $75.0 million of the proceeds from the Notes to purchase 4,609,700 shares of our common stock at $16.27 per share in privately negotiated transactions concurrently with the issuance. We used the remaining net proceeds along with other cash on hand for repayment of $250.0 million outstanding debt on our revolving credit agreement.</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August 2011, we borrowed $200.0 million on our revolving credit agreement and subsequently repaid the remaining$165.6 million principal amount of our outstanding 7.30% notes due August 2011. In December 2011, we repaid an additional $100.0 million on our revolving credit agreement.</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5, 2010, we completed an offering of $300.0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$0.3 million, which is netted against the $300.0 million aggregate principal amount of notes. The discount is amortized to May 2017 when the 6.60% Notes mature. We received net proceeds of $297.3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$100.0 million for all such debt, arising from (i) failure to make a principal payment when due or (ii) the occurrence of an event which results in such debt being due and payable prior to its scheduled maturity.</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March 5, 2010, we entered into an agreement to amend and extend our credit agreement dated September 12, 2006 (the “Credit Agreement”) with Bank of America, N.A. as administrative agent and swing line lender (the “Administrative Agent”), and the other financial institutions party thereto, and an agreement to change the aggregate size of the credit facility under the Credit Agreement. These agreements reduced the total size of the credit facility from $1.1 billion to $951.2 million, with an option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increase the size of the credit facility to $1.1 billion, and created a new tranche, representing $925.0 million of the total credit facility, with an extended maturity date of March 5, 2013. Pricing for the new tranche is based on an applicable margin between 160 basis points to 240 basis points over LIBOR, depending on the senior debt ratings of FNF, and is at 200 basis points over LIBOR as of December 31, 2011. The Credit Agreement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22, 2008, in connection with the acquisition of the LFG Underwriters, we entered into a $50 million subordinated note payable to LFG, due December 2013, with interest of 2.36% payable annually. On March 1, 2010, we paid approximately $49 million to the LFG Liquidation Trust in full satisfaction of this obligation.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$236.4 million aggregate principal amount of 5.25% notes due March 2013 contain customary covenants and events of default for investment grade public debt. The indenture governing the 5.25% notes also contains customary events of default. These events of default include a cross default provision, with respect to any other debt of the Company in an aggregate amount exceeding $20.0 million for all such debt, arising from (i) failure to make a principal payment when due or (ii) the occurrence of an event which results in such debt being due and payable prior to its scheduled maturity.</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April 14, 2009, we received $331.4 million in net proceeds from our offering of a total of 18,170,000 shares of our common stock. The proceeds were partially used to repay $135 million in borrowings under our $1.1 billion revolving credit facility. In addition, we used the proceeds to purchase $67.8 million in par value of our 7.30% notes due in 2011 for an aggregate purchase price of $68.7 million, including accrued interest of $1.2 million, and $3.0 million in par value of our 5.25% notes due in 2013 for an aggregate purchase price of $2.8 million. In the third and fourth quarters of 2009, one of our subsidiaries purchased $7.8 million in par value of our 7.30% notes for a total purchase price of $8.0 million.</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maturities of notes payable at December 31, 2011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2012</w:t>
            </w:r>
          </w:p>
        </w:tc>
        <w:tc>
          <w:tcPr>
            <w:tcW w:w="73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6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2014</w:t>
            </w:r>
          </w:p>
        </w:tc>
        <w:tc>
          <w:tcPr>
            <w:tcW w:w="6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6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2016</w:t>
            </w:r>
          </w:p>
        </w:tc>
        <w:tc>
          <w:tcPr>
            <w:tcW w:w="6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vMerge w:val="restart"/>
          </w:tcPr>
          <w:p>
            <w:pPr>
              <w:jc w:val="right"/>
              <w:ind w:right="4170"/>
              <w:spacing w:after="0"/>
              <w:rPr>
                <w:sz w:val="20"/>
                <w:szCs w:val="20"/>
                <w:color w:val="auto"/>
              </w:rPr>
            </w:pPr>
            <w:r>
              <w:rPr>
                <w:rFonts w:ascii="Arial" w:cs="Arial" w:eastAsia="Arial" w:hAnsi="Arial"/>
                <w:sz w:val="18"/>
                <w:szCs w:val="18"/>
                <w:color w:val="auto"/>
              </w:rPr>
              <w:t>72</w:t>
            </w: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86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6760" w:type="dxa"/>
            <w:vAlign w:val="bottom"/>
            <w:gridSpan w:val="2"/>
          </w:tcPr>
          <w:p>
            <w:pPr>
              <w:jc w:val="right"/>
              <w:ind w:right="5380"/>
              <w:spacing w:after="0"/>
              <w:rPr>
                <w:sz w:val="20"/>
                <w:szCs w:val="20"/>
                <w:color w:val="auto"/>
              </w:rPr>
            </w:pPr>
            <w:r>
              <w:rPr>
                <w:rFonts w:ascii="Arial" w:cs="Arial" w:eastAsia="Arial" w:hAnsi="Arial"/>
                <w:sz w:val="18"/>
                <w:szCs w:val="18"/>
                <w:b w:val="1"/>
                <w:bCs w:val="1"/>
                <w:color w:val="auto"/>
              </w:rPr>
              <w:t>Income Taxes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7740" w:type="dxa"/>
            <w:vAlign w:val="bottom"/>
            <w:gridSpan w:val="3"/>
          </w:tcPr>
          <w:p>
            <w:pPr>
              <w:ind w:left="340"/>
              <w:spacing w:after="0"/>
              <w:rPr>
                <w:sz w:val="20"/>
                <w:szCs w:val="20"/>
                <w:color w:val="auto"/>
              </w:rPr>
            </w:pPr>
            <w:r>
              <w:rPr>
                <w:rFonts w:ascii="Arial" w:cs="Arial" w:eastAsia="Arial" w:hAnsi="Arial"/>
                <w:sz w:val="18"/>
                <w:szCs w:val="18"/>
                <w:color w:val="auto"/>
              </w:rPr>
              <w:t>Income tax expense on continuing operations consists of the following: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2"/>
        </w:trPr>
        <w:tc>
          <w:tcPr>
            <w:tcW w:w="9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98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r>
      <w:tr>
        <w:trPr>
          <w:trHeight w:val="196"/>
        </w:trPr>
        <w:tc>
          <w:tcPr>
            <w:tcW w:w="98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Deferred</w:t>
            </w:r>
          </w:p>
        </w:tc>
        <w:tc>
          <w:tcPr>
            <w:tcW w:w="6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94.0</w:t>
            </w:r>
          </w:p>
        </w:tc>
      </w:tr>
      <w:tr>
        <w:trPr>
          <w:trHeight w:val="27"/>
        </w:trPr>
        <w:tc>
          <w:tcPr>
            <w:tcW w:w="98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980" w:type="dxa"/>
            <w:vAlign w:val="bottom"/>
            <w:tcBorders>
              <w:bottom w:val="single" w:sz="8" w:color="CCEEFF"/>
            </w:tcBorders>
            <w:shd w:val="clear" w:color="auto" w:fill="CCEEFF"/>
          </w:tcPr>
          <w:p>
            <w:pPr>
              <w:spacing w:after="0"/>
              <w:rPr>
                <w:sz w:val="22"/>
                <w:szCs w:val="22"/>
                <w:color w:val="auto"/>
              </w:rPr>
            </w:pPr>
          </w:p>
        </w:tc>
        <w:tc>
          <w:tcPr>
            <w:tcW w:w="6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w:t>
            </w: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income tax expense (benefit) on continuing operations for the years ended December 31 was allocated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Tax expense (benefit) attributable to discontinued operations</w:t>
            </w: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Unrealized (losses) gains on investments and other financial instruments</w:t>
            </w: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 gain on 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8"/>
              </w:rPr>
              <w:t>Reclassification adjustment for change in unrealized gains and losses included in net earnings</w:t>
            </w:r>
          </w:p>
        </w:tc>
        <w:tc>
          <w:tcPr>
            <w:tcW w:w="20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Minimum pension liability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income tax (benefit) expense allocated to other comprehensive earnings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 stock-based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172.1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Federal benefit of state taxes</w:t>
            </w:r>
          </w:p>
        </w:tc>
        <w:tc>
          <w:tcPr>
            <w:tcW w:w="20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Tax exempt interest income</w:t>
            </w:r>
          </w:p>
        </w:tc>
        <w:tc>
          <w:tcPr>
            <w:tcW w:w="20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 of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Release of valuation allowance</w:t>
            </w:r>
          </w:p>
        </w:tc>
        <w:tc>
          <w:tcPr>
            <w:tcW w:w="200" w:type="dxa"/>
            <w:vAlign w:val="bottom"/>
          </w:tcPr>
          <w:p>
            <w:pPr>
              <w:spacing w:after="0"/>
              <w:rPr>
                <w:sz w:val="21"/>
                <w:szCs w:val="21"/>
                <w:color w:val="auto"/>
              </w:rPr>
            </w:pPr>
          </w:p>
        </w:tc>
        <w:tc>
          <w:tcPr>
            <w:tcW w:w="11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Non-deductible expenses and other, net</w:t>
            </w:r>
          </w:p>
        </w:tc>
        <w:tc>
          <w:tcPr>
            <w:tcW w:w="20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2011 and 2010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Insurance reserve discounting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accruals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Rent abatement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Title plant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Insurance reserve discounting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 accounting</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Net deferred tax (liability) asset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net deferred tax (liability) asset was $(95.0) million and $32.1 million at December 31, 2011, and 2010, respectively. The significant changes in the deferred taxes are as follows: The deferred tax relating to insurance reserves changed from a deferred tax asset of $29.3 million to a deferred tax liability of $75.6 million due primarily to actual title losses paid and deducted during the year, in addition to increased claims reserves established for statutory and tax purposes. Utilization of prior year capital losses caused a decrease in the deferred tax asset by $7.4 million. The deferred tax liability for investment securities changed from $30.7 million to $38.3 million due in large part to the deferred tax recorded on the discount on convertible bonds issued in August 2011 recorded in additional paid in capital. See Note H. Tax amortization of goodwill and intangible assets increased the deferred tax liability from $88.9 million to $95.7 million.</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2011, we have net operating losses on a pretax basis of $112.5 million available to carryforward and offset future federal taxable income through 2027. The amount of capital losses available to carryforward has been reduced to zero as we expect to utilize all prior year capital losses generated in the 2011 tax return.</w:t>
      </w:r>
    </w:p>
    <w:p>
      <w:pPr>
        <w:spacing w:after="0" w:line="19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Tax benefits of $6.3 million, $3.0 million, and $2.4 million associated with the exercise of employee stock options and the vesting of restricted stock grants were allocated to equity for the years ended December 31, 2011, 2010, and 2009, respectively.</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2011 and 2010, we had approximately $1.6 million (including interest of $0.6 million)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Internal Revenue Service (“IRS”) has selected us to participate in the Compliance Assurance Program that is a real-time audit. During 2011, the IRS completed its examination of our consolidated tax return for the tax year ended 2009, which resulted in no additional tax. We are currently under audit by the Internal Revenue Service for the 2010, 2011 and 2012 tax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566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2,679.0</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Reserves assumed/transferred (1)</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9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5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5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7"/>
        </w:trPr>
        <w:tc>
          <w:tcPr>
            <w:tcW w:w="6900" w:type="dxa"/>
            <w:vAlign w:val="bottom"/>
            <w:gridSpan w:val="2"/>
          </w:tcPr>
          <w:p>
            <w:pPr>
              <w:ind w:left="500"/>
              <w:spacing w:after="0"/>
              <w:rPr>
                <w:sz w:val="20"/>
                <w:szCs w:val="20"/>
                <w:color w:val="auto"/>
              </w:rPr>
            </w:pPr>
            <w:r>
              <w:rPr>
                <w:rFonts w:ascii="Arial" w:cs="Arial" w:eastAsia="Arial" w:hAnsi="Arial"/>
                <w:sz w:val="18"/>
                <w:szCs w:val="18"/>
                <w:color w:val="auto"/>
              </w:rPr>
              <w:t>Total title claim loss provision</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9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5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5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37"/>
        </w:trPr>
        <w:tc>
          <w:tcPr>
            <w:tcW w:w="6900" w:type="dxa"/>
            <w:vAlign w:val="bottom"/>
            <w:gridSpan w:val="2"/>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37"/>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Claim loss reserve for specialty insurance (2)</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1,912.8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2,270.1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2008, we assumed an estimated $1,115.8 million in additional reserves for claim losses with the acquisition of the LFG Underwriters. During 2009 we completed our evaluation of the fair value of this claims reserve as of the acquisition date and adjusted the balance by $3.1 million to reflect our best estimate of the fair value of the liability.</w:t>
      </w:r>
    </w:p>
    <w:p>
      <w:pPr>
        <w:ind w:left="66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2011, we entered into agreements to sell our at-risk insurance businesses, resulting in a decrease to the reserve for claim losses of $59.2 million. See Note A under "Discontinued Operations".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 As a result of continued volatility experienced during 2010 and 2011 in claim development on policy years 2005 - 2007, we believe there is an increased level of uncertainty attributable to these policy years. If actual claims loss development is worse than currently expected and is not offset by other positive factors, it is reasonably possible that we may record additional reserve strengthening in future periods.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response to the favorable development on recent year claims, the average title loss provision rate decreased in 2010 from 2009 and remained consistent for 2011. During the year ended December 31, 2009, we released excess title reserves of $74.4 million in addition to recording an average 7.3% provision for claims losses. The release of excess reserves was due to analysis of the reserve position in light of consistently lower claim payments since 2008.</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Beginning in 2007, we began making payments on a group of related claims alleging negligence and fraud related to issuing title insurance policies and closing escrow transactions. We believed that we had the ability to recoup all of these payments, subject to a $10 million retention, from various insurance policies. Through December 31, 2007, we had paid approximately $51.9 million in claims, had received cash recoupment from insurance carriers of approximately $15.5 million and had an insurance recoverable of $31.4 million included in the Consolidated Balance Sheet. Through March 31, 2008, we had paid an additional $79.3 million in claims, had received an additional $27.5 million in cash recoupment from insurance carriers and had an insurance recoverable of $78.2 million included in the Consolidated Balance Sheet. During the remainder of 2008 and through the third quarter of 2009 there were approximately $8.2 million in claims payments and approximately $3.2 million in insurance recoveries resulting in an $83.2 million insurance recoverable included in the Consolidated Balance Sheet at that time. During September and October 2009,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Comprehensive General Liability policy together with a reevaluation of our position by new legal counsel, caused us to reverse $63.2 million of the receivable, recorded as a charge to the provision for claim losses, during the quarter ended September 30, 2009. We also received a favorable summary judgment relating to an insurance providers’ duty to defend the Company under our Miscellaneous Professional Liability policy. In light of these developments, we did not believe it appropriate to carry more than the anticipated $20.0 million recovery for compensatory damages on the Miscellaneous Professional Liability policy as a receivable as of September 30, 2009. During the quarter ended December 31, 2009, the Company paid an additional $8.8 million in respect of these claims and received payments of $11.8 million relating to the Miscellaneous Professional Liability Policy and continued to negotiate with the carrier who had been found to act in bad faith under the terms of that policy. As of December 31, 2009, we carried an $8.2 million receivable related to these coverages. During the first quarter of 2010, we reached a settlement agreement with the same carrier for an additional $16.2 million, representing the remaining $8.2 million receivable and $8.0 million in compensatory damages. The $16.2 million settlement amount was received in February 2010.</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 discussed below, depart from customary litigation incidental to our business.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17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November 24, 2010, plaintiffs filed a purported class action in the United States District Court, Northern District of California, Oakland Division titled Vivian Hays, et al. vs. Commonwealth Land Title Insurance Company and Lawyers Title Insurance Corporation, which we refer to as the Hays action. Plaintiffs seek to represent a class of all persons who deposited their exchange funds with LandAmerica 1031 Exchange Service (“LES”) and were not able to use them in their contemplated exchanges due to the alleged illiquidity of LES caused by the collapse of the auction rate security market in early 2008. Plaintiffs allege Commonwealth Land Title Insurance Company and Lawyers Title Insurance Corporation (which was merged into Fidelity National Title Insurance Company) knew of the problems at LES and had an obligation of disclosure to exchangers, but did not disclose and instead recommended exchangers use LES in order to fund prior exchangers' transactions with money from new exchangers. In the initial complaint, plaintiffs sued our subsidiaries Commonwealth Land Title Insurance Company and Lawyers Title Insurance Corporation for negligence, breach of fiduciary duty, constructive fraud and aiding and abetting LES. Plaintiffs ask for compensatory and punitive damages, prejudgment interest and reasonable attorney's fees. The case was transferred on our motion to a Multi-District Litigation proceeding in South Carolina and a status conference was held on April 22, 2011. This case was stayed until a decision was made on motions pending in a similar class action against an unrelated party. The court in that case ruled on June 15, 2011 on the motion to dismiss the complaint filed by the unrelated party and dismissed the complaint. The plaintiffs in the case against Commonwealth Land Title Insurance Company and Lawyers Title Insurance Corporation filed an amended complaint on August 15, 2011. The complaint added approximately twenty new plaintiffs and two new defendants; Commonwealth Land Title Company and LandAmerica Charter Title Company, both of which are affiliates of FNF. It also expanded the causes of action. The new causes of action are aiding and abetting fraud committed by LES; conspiracy to commit fraud with LES; aiding and abetting breach of fiduciary duty by LES; aiding and abetting conversion of trust funds by LES; enterprise liability; negligence; breach of fiduciary duty; conversion of escrow funds and RICO liability. We filed a motion to dismiss the second amended complaint on September 30, 2011 as we believe we have strong legal and factual defenses to this action. The amended complaint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did not seek a specified amount of damages as to each of the plaintiffs but is seeking damages to plaintiffs and potential class members measured by the loss of their property, consequential damages and other elements of damages including punitive and treble damages. A hearing on the motion to dismiss was held on January 17, 2012 but no ruling has been issued. We are uncertain as to the total volume of claims against LES that remain unsatisfied; however in a related case, on January 26, 2012 the LES liquidation trust filed a motion to approve a settlement agreement between the LES liquidation trust, the LFG liquidation trust and certain underwriters at Lloyd's of London with the Bankruptcy Court for the Eastern District of Virginia. The motion asks the bankruptcy court to approve the settlement, which would have the effect of exhausting all insurance coverage for the LandAmerica Financial Group, Inc. (“LFG”) entities, including the entities FNF purchased ("FNF entities") from LFG that are named as defendants in the Hays action. The FNF entities are co-insureds under the Lloyds policies, had made claims based on the LES 1031 litigation, and other claims as a result of operations. Despite having made these claims as co-insureds</w:t>
      </w:r>
      <w:r>
        <w:rPr>
          <w:rFonts w:ascii="Arial" w:cs="Arial" w:eastAsia="Arial" w:hAnsi="Arial"/>
          <w:sz w:val="16"/>
          <w:szCs w:val="16"/>
          <w:color w:val="1F497D"/>
        </w:rPr>
        <w:t>,</w:t>
      </w:r>
      <w:r>
        <w:rPr>
          <w:rFonts w:ascii="Arial" w:cs="Arial" w:eastAsia="Arial" w:hAnsi="Arial"/>
          <w:sz w:val="16"/>
          <w:szCs w:val="16"/>
          <w:color w:val="auto"/>
        </w:rPr>
        <w:t xml:space="preserve"> and having requested notice</w:t>
      </w:r>
      <w:r>
        <w:rPr>
          <w:rFonts w:ascii="Arial" w:cs="Arial" w:eastAsia="Arial" w:hAnsi="Arial"/>
          <w:sz w:val="16"/>
          <w:szCs w:val="16"/>
          <w:color w:val="1F497D"/>
        </w:rPr>
        <w:t>,</w:t>
      </w:r>
      <w:r>
        <w:rPr>
          <w:rFonts w:ascii="Arial" w:cs="Arial" w:eastAsia="Arial" w:hAnsi="Arial"/>
          <w:sz w:val="16"/>
          <w:szCs w:val="16"/>
          <w:color w:val="auto"/>
        </w:rPr>
        <w:t xml:space="preserve"> and an opportunity to negotiate with Lloyds and the LES liquidation trust to find a mutually acceptable resolution to all claims, Lloyds and LES excluded the FNF entities from the swettlement negotiation. On February 17, 2012 the FNF entities filed an objection to approval of the settlement. The FNF entities argued that the self-insured retention amounts and potential coverage have not been sufficiently disclosed and/or are incorrectly calculated, as well as that it is inequitable to exhaust coverage under the policy by settling with the LES liquidation trust leaving our claims unsatisfied. The matter is scheduled for hearing on February 23, 2012. In the settlement agreement, LES asserts total losses in excess of $300 million for exchange funds and taxes lost as well as defense costs of more than $12 million. According to the settlement agreement, the LES liquidation trust or the LFG liquidation trust have already paid more than $200 million of the total losses to claimants. If the settlement agreement is approved, $38 million would be distributed under certain Lloyds insurance coverages pursuant to the settlement agreement. Based on the facts of the settlement agreement, and assuming the Lloyds settlement is approved, which it may not be, $74 million of losses and attorney's fees remain unpaid. In order to make any meaningful estimate of our potential exposure, if any, under this case, we must consider multiple variables, including the following. First, it is uncertain what, if any, of the causes of action plead will remain after the court rules on our motion to dismiss. Also, at this time, no discovery has been undertaken or exchanged between the parties. The potential population of plaintiffs and/or class members under each cause of action alleged against us has not been determined and therefore neither has the amount of the potential compensatory loss for the exchange amount or other interest and tax savings allegedly lost. Our potential exposure will also be affected by the approval of the LES settlement agreement discussed above as well as other related cases that are outstanding. Due to these factors, among others, and the early stage of this case, it is not possible to make a meaningful estimate of the amount or range of loss to the Company, if any, that could result from this case at this time. We intend to continue to vigorously defend this action.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its processes and documentation. All of such matters may in the future result in claims or fines to the Company.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money or take other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$5.4 billion at December 31, 2011. As a result of holding these customers’ assets in escrow, we have ongoing programs for realizing economic benefits during the year through favorable borrowing and vendor arrangements with various banks. There were no investments or loans outstanding as of December 31, 2011 and 2010 related to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028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75"/>
        </w:trPr>
        <w:tc>
          <w:tcPr>
            <w:tcW w:w="10280" w:type="dxa"/>
            <w:vAlign w:val="bottom"/>
          </w:tcPr>
          <w:p>
            <w:pPr>
              <w:spacing w:after="0"/>
              <w:rPr>
                <w:sz w:val="20"/>
                <w:szCs w:val="20"/>
                <w:color w:val="auto"/>
              </w:rPr>
            </w:pPr>
            <w:r>
              <w:rPr>
                <w:rFonts w:ascii="Arial" w:cs="Arial" w:eastAsia="Arial" w:hAnsi="Arial"/>
                <w:sz w:val="18"/>
                <w:szCs w:val="18"/>
                <w:i w:val="1"/>
                <w:iCs w:val="1"/>
                <w:color w:val="auto"/>
              </w:rPr>
              <w:t>Operating Leases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10280" w:type="dxa"/>
            <w:vAlign w:val="bottom"/>
          </w:tcPr>
          <w:p>
            <w:pPr>
              <w:ind w:left="30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367.4</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 expense incurred under operating leases during the years ended December 31, 2011, 2010 and 2009 was $123.4 million, $135.4 million, and $150.2 million, respectively. Rent expense in 2011, 2010, and 2009 includes abandoned lease charges related to office closures of $1.4 million, $11.7 million, and $7.4 million, respectively.</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29, 2004 we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lessor financed the acquisition of the facilities through funding provided by third-party financial institutions. On June 27, 2011, we renewed and amended the synthetic lease for the facilities. The amended lease provides for a five year term ending June 27, 2016 and had an outstanding balance as of December 31, 2011 of $71.3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Regulation and Equity</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the Fidelity National Title Group segment, of any laws or regulations that may become more restrictive in the future or if new restrictive laws will be enacted.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2011, the combined statutory unearned premium reserve required and reported for our title insurers was $1,858.3 million. In addition to statutory unearned premium reserves, each of our insurers maintains reserves for known claims and surplus funds for policyholder protection and business operations.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that of each state in which it is licensed. The insurance commissioners of their respective states of domicile are the primary regulators of our title insurance subsidiaries. Each of the insurers is subject to periodic regulatory financial examination by regulatory authorities, and certain of these examinations are currently ongoing.</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2011, $2,203.3 million of our net assets are restricted from dividend payments without prior approval from the Departments of Insurance. During 2012, our title insurers can pay or make distributions to us of approximately $107.6 million, without prior approval.</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$894.4 million and $900.7 million as of December 31, 2011 and 2010, respectively. The combined statutory net earnings (losses) of our title insurance subsidiaries were $140.1 million, $(46.6) million, and $237.2 million for the years ended December 31, 2011, 2010, and 2009, respectively.</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7"/>
          <w:szCs w:val="17"/>
          <w:i w:val="1"/>
          <w:iCs w:val="1"/>
          <w:color w:val="auto"/>
        </w:rPr>
        <w:t>) Accounting Practices and Procedures</w:t>
      </w:r>
      <w:r>
        <w:rPr>
          <w:rFonts w:ascii="Arial" w:cs="Arial" w:eastAsia="Arial" w:hAnsi="Arial"/>
          <w:sz w:val="17"/>
          <w:szCs w:val="17"/>
          <w:color w:val="auto"/>
        </w:rPr>
        <w:t xml:space="preserve"> manual (“NAIC SAP”) has been adopted as a component of prescribed or permitted practices by each of the states that regulate us. Each of the states have adopted a material prescribed accounting practice that differs from that found in NAIC SAP. Specifically, the timing of amounts added or released from the statutory unearned premium reserve under NAIC SAP differs from the states' required practice. Statutory surplus at December 31, 2011 and 2010, respectively, was lower by approximately $255.1 million and $288.1 million than if we had reported such amounts in accordance with NAIC SAP.</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statutory requirements of the various states in which our insurers are domiciled, such insurers must maintain certain levels of minimum capital and surplus. Each of our insurers has complied with the minimum statutory requirements as of December 31, 2011.</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underwritten title companies are also subject to certain regulation by insurance regulatory or banking authorities, primarily relating to minimum net worth. Minimum net worth requirements for each underwritten title company are as follows: $7.5 million for Fidelity National Title Company, $2.5 million for Fidelity National Title Company of California, $3.0 million for Chicago Title Company, and $0.4 million for Ticor Title Company of California, Commonwealth Land Title Company, and Lawyers Title Company. These underwritten title companies are in compliance with all of their respective minimum net worth requirements at December 31, 2011.</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April 14, 2009, we offered 15,800,000 shares of our common stock at an offering price of $19.00 per share, pursuant to an effective registration statement previously filed with the Securities and Exchange Commission. The underwriters were granted and chose to exercise an option to purchase additional shares equal to 15% of the offering, or 2,370,000 shares, at the offering price. A total of 18,170,000 shares were issued on April 20, 2009, for net proceeds of approximately $331.4 million. The proceeds were used as follows: $135.0 million to repay borrowings under our $1.1 billion revolving credit facility, $71.5 million to repurchase our public bonds, $50.8 million to repurchase shares of our common stock, $25.0 million as part of a $57.1 million capital infusion into Lawyers Title and Commonwealth Land Title, and the remainder for general corporate purposes.</w:t>
      </w:r>
    </w:p>
    <w:p>
      <w:pPr>
        <w:spacing w:after="0" w:line="12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October 25, 2006, the Board of Directors approved a three-year stock repurchase program under which we can repurchase up to 25 million shares of our common stock. We may make repurchases from time to time in the open market, in block purchases or in privately negotiated transactions, depending on market conditions and other factors. Since the original commencement of the plan adopted in October 2006, and through September 2009, we repurchased a total of 17,161,120 shares for $286.2 million, or an average of $16.68 per share. On July 21, 2009, the Board of Directors approved a three-year stock repurchase program under which we can repurchase up to 15 million shares through July 31, 2012. We began repurchasing shares under this program in October 2009, and we repurchased a total of 1,294,400 shares for $17.9 million, or an average of $13.83 per share in 2009 and 8,664,262 shares for $117.6 million, or an average of $13.57 per share in 2010, including 859,866 shares purchased on January 4, 2010 for $11.6 million from the administrator of two of our former subsidiaries’ employee benefit plans. Because we were actively repurchasing shares of our stock on the open market as part of the stock repurchase plan, we agreed to purchase the shares from the administrator at a price of $13.46 per share, the market price at the time of purchase. On January 27, 2011, our Board of Directors approved an additional 5 million shares that may be repurchased under the program. In the year ended December 31,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2011, we repurchased a total of 5,419,850 shares for $86.2 million, or an average of $15.90 per share. Included in our share repurchases during 2011 were 4,609,700 shares for $75.0 million or an average $16.27 per share, purchased utilizing proceeds from the $300.0 million convertible note offering. Since the original commencement of the plan adopted July 21, 2009, we have repurchased a total of 15,378,512 shares for $221.7 million, or an average of $14.42 per share, and there are 4,621,488 shares available to be repurchased under the plan.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2011,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$12.6 million, $11.9 million, and $11.4 million to the ESPPs in the years ended December 31, 2011, 2010, and 2009, respectively, in accordance with the employer’s matching contribution.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three-year period ended December 31, 2011, we have offered our employees the opportunity to participate in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401(k) profit sharing plans (the “401(k) Plans”), qualified voluntary contributory savings plans which are available to substantially all of our employees. Eligible employees may contribute up to 40% of their pretax annual compensation, up to the amount allowed pursuant to the Internal Revenue Code. There was no employer match for the years ended December 31, 2011, 2010, and 2009. Beginning in 2012, we initiated an employer match on the 401(k) plan whereby we will match $0.25 on each $1.00 contributed up to the first 6% of eligible earnings contributed to the Plan. The employer match will be credited to the FNF Stock Fund, in the FNF 401(k)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2005, we established the FNT 2005 Omnibus Incentive Plan (the “Omnibus Plan”) authorizing the issuance of up to 8.0 million shares of common stock, subject to the terms of the Omnibus Plan. On October 23, 2006, the stockholders of FNT approved an amendment to increase the number of shares available for issuance under the Omnibus Plan by 15.5 million shares. The increase was in part to provide capacity for options and restricted stock to be issued to replace Old FNF options and restricted stock. On May 29, 2008, the stockholders of FNF approved an amendment to increase the number of shares for issuance under the Ominbus Plan by 11.0 million shares. The primary purpose of the increase was to assure that we had adequate means to provide equity incentive compensation to our employees on a going-forward basis. On May 25, 2011, the stockholders of FNF approved an amendment to increase the number of shares for issuance under the Ominbus Plan by 5.9 million shares. The primary purpose of the increase was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2011, there were 3,012,656 shares of restricted stock and 20,632,021 stock options outstanding under this plan. Awards granted are determined and approved by the Compensation Committee of the Board of Directors. Options vest over a 3 to 4 year period, and the exercise price for options granted equals the market price of the underlying stock on the grant date. Stock option grants of approximately 25 thousand and 150 thousand shares were made to various employees and directors in 2011 and 2010 and vest according to certain time based and operating performance criteria. A grant of 1.5 million shares made to the Executive Chairman in 2009 contains time based and market based criteria for vesting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transactions under the Omnibus Plan for 2009, 2010, and 2011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Weighted 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2008</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23,219,283</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11,971,263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2,533,250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(2,118,631)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(395,256)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23,238,646</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14,119,807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(628,117)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21,826,954</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16,241,130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(1,068,934)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(150,999)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20,632,021</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18,704,618</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340"/>
              <w:spacing w:after="0"/>
              <w:rPr>
                <w:sz w:val="20"/>
                <w:szCs w:val="20"/>
                <w:color w:val="auto"/>
              </w:rPr>
            </w:pPr>
            <w:r>
              <w:rPr>
                <w:rFonts w:ascii="Arial" w:cs="Arial" w:eastAsia="Arial" w:hAnsi="Arial"/>
                <w:sz w:val="18"/>
                <w:szCs w:val="18"/>
                <w:color w:val="auto"/>
                <w:w w:val="91"/>
              </w:rPr>
              <w:t>Restricted stock transactions under the Omnibus Plan in 2009, 2010, and 2011 are as follows: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7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2008</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2,252,300</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(1,303,927)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2009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1,968,540</w:t>
            </w:r>
          </w:p>
        </w:tc>
        <w:tc>
          <w:tcPr>
            <w:tcW w:w="100" w:type="dxa"/>
            <w:vAlign w:val="bottom"/>
            <w:tcBorders>
              <w:top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1,600,820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(896,988)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2010</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2,666,901</w:t>
            </w:r>
          </w:p>
        </w:tc>
        <w:tc>
          <w:tcPr>
            <w:tcW w:w="100" w:type="dxa"/>
            <w:vAlign w:val="bottom"/>
            <w:tcBorders>
              <w:top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(46,433)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(1,253,058)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2011</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3,012,656</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5"/>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Intrinsic</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$7.09</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5,477,688</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5,477,688</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$7.10 — $13.64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6,651,955</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6,651,955</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18.2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$13.65 — $14.06</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1,100,250</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697,847</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$14.07 — $16.16</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1,525,000</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$16.17 — $20.60</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2,691,335</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2,691,335</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$20.61 — $21.90</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1,626,793</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1,626,793</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$21.91 — $23.44</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1,559,000</w:t>
            </w:r>
          </w:p>
        </w:tc>
        <w:tc>
          <w:tcPr>
            <w:tcW w:w="11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1,559,000</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20,632,021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18,704,618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68.1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stock-based compensation plans in accordance with the FASB standard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reflects stock-based compensation expense amounts of $26.6 million, $25.1 million, and $33.7 million, for the years ended December 31, 2011, 2010, and 2009, respectively, which are included in personnel costs in the reported financial results of each period.</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risk free interest rates used in the calculation of compensation cost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2011, 2010, and 2009, we used risk free interest rates of 1.0%, 2.0%, and 2.5%, respectively; volatility factors for the expected market price of the common stock of 53%, 57%, and 53%, respectively; expected dividend yields of 3.1%, 5.0%, and 3.9%, respectively; and weighted average expected lives of 4.7 years, 4.4 years, and 4.8 years, respectively. The weighted average fair value of each option granted in the years ended December 31, 2011, 2010, and 2009, were $5.56, $4.57, and $5.32, respectively.</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2011, the total unrecognized compensation cost related to non-vested stock option grants and restricted stock grants is $43.5 million, which is expected to be recognized in pre-tax income over a weighted average period of 1.66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2000, FNF merged with Chicago Title Insurance Company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the FASB standard on employers’ accounting for defined benefit pension and other post retirement plans, the measurement date is December 31.</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net pension liability included in accounts payable and accrued liabilities as of December 31, 2011, and 2010 is $36.0 million and $22.0 million, respectively. The discount rate used to determine the benefit obligation as of the years ending December 31, 2011 and 2010 was 3.98% and 5.04%, respectively. As of the years ending December 31, 2011 and 2010 the projected benefit obligation was $178.3 million and $158.1 million, respectively, and the fair value of plan assets was $142.3 million and $136.1 million, respectively. The net periodic expense included in the results of operations relating to these plans was $9.3 million, $7.4 million, and $5.6 million for the years ending December 31, 2011, 2010, and 2009,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and Other Nonqualified Employee Benefit Plans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assumed certain health care and life insurance benefits for retired Chicago Title employees in connection with the Chicago</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Title merger. Beginning on January 1, 2001, these benefits were offered to all employees who met specific eligibility requirements. Additionally, in connection with the acquisition of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$26.4 million and $26.0 million at December 31, 2011 and 2010, respectively. The net (benefit) costs included in the results of operations relating to these plans were $(0.1) million, $(1.3) million, and $1.7 million for the years ending December 31, 2011, 2010, and 2009, respectively.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Supplementary Cash Flow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2009</w:t>
            </w:r>
          </w:p>
        </w:tc>
      </w:tr>
      <w:tr>
        <w:trPr>
          <w:trHeight w:val="250"/>
        </w:trPr>
        <w:tc>
          <w:tcPr>
            <w:tcW w:w="7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(received) during the year:</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51.3</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 in connection with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Fair value of assets acquired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77.4</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Total purchase price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29.5</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229"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California, Texas, New York and Florida.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2009</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customers make up our customer base, thus spreading the trade receivables credit risk. We control credit risk through monitoring procedures.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 As a result of the close on the sale of the flood insurance business in October 2011 and the announcement of the agreement in December 2011 to sell our at-risk insurance business, we reorganized our reporting segments to reflect the disposition of these business and the realignment of the remaining specialty businesses. Prior period segment information has been restated to conform to the current segment presentation.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Fidelity National</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Title 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754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 before income taxes and equity in earnings of</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w w:val="98"/>
              </w:rPr>
              <w:t>Earnings (loss) from continuing operations, before equity in earnings of unconsolidated affiliates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7,862.1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Fidelity National</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Title 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1,401.4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5,042.6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5,413.3</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754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(loss) of</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w w:val="98"/>
              </w:rPr>
              <w:t>Earnings from continuing operations, before equity in earnings (loss) of unconsolidated affiliates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7,887.5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1,470.7</w:t>
            </w:r>
          </w:p>
        </w:tc>
        <w:tc>
          <w:tcPr>
            <w:tcW w:w="0" w:type="dxa"/>
            <w:vAlign w:val="bottom"/>
          </w:tcPr>
          <w:p>
            <w:pPr>
              <w:spacing w:after="0"/>
              <w:rPr>
                <w:sz w:val="1"/>
                <w:szCs w:val="1"/>
                <w:color w:val="auto"/>
              </w:rPr>
            </w:pPr>
          </w:p>
        </w:tc>
      </w:tr>
      <w:tr>
        <w:trPr>
          <w:trHeight w:val="459"/>
        </w:trPr>
        <w:tc>
          <w:tcPr>
            <w:tcW w:w="7540" w:type="dxa"/>
            <w:vAlign w:val="bottom"/>
          </w:tcPr>
          <w:p>
            <w:pPr>
              <w:ind w:left="340"/>
              <w:spacing w:after="0"/>
              <w:rPr>
                <w:sz w:val="20"/>
                <w:szCs w:val="20"/>
                <w:color w:val="auto"/>
              </w:rPr>
            </w:pPr>
            <w:r>
              <w:rPr>
                <w:rFonts w:ascii="Arial" w:cs="Arial" w:eastAsia="Arial" w:hAnsi="Arial"/>
                <w:sz w:val="18"/>
                <w:szCs w:val="18"/>
                <w:color w:val="auto"/>
              </w:rPr>
              <w:t>As of and for the year ended December 31, 2009:</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Fidelity National</w:t>
            </w:r>
          </w:p>
        </w:tc>
        <w:tc>
          <w:tcPr>
            <w:tcW w:w="18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24"/>
                <w:szCs w:val="2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Title 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5,351.6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5,521.3</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7540" w:type="dxa"/>
            <w:vAlign w:val="bottom"/>
          </w:tcPr>
          <w:p>
            <w:pPr>
              <w:ind w:left="40"/>
              <w:spacing w:after="0"/>
              <w:rPr>
                <w:sz w:val="20"/>
                <w:szCs w:val="20"/>
                <w:color w:val="auto"/>
              </w:rPr>
            </w:pPr>
            <w:r>
              <w:rPr>
                <w:rFonts w:ascii="Arial" w:cs="Arial" w:eastAsia="Arial" w:hAnsi="Arial"/>
                <w:sz w:val="18"/>
                <w:szCs w:val="18"/>
                <w:color w:val="auto"/>
                <w:w w:val="98"/>
              </w:rPr>
              <w:t>Earnings (loss) from continuing operations, before income taxes and equity in earnings (loss) of</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 (loss) of unconsolidated affiliates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7,934.4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FNF’s title insurance underwriters and related businesses. This segment provides core title insurance and escrow and other title related services including collection and trust activities, trustee’s sales guarantees, recordings and reconveyances, and home warranty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other smaller operations, and our share in the operations of certain equity investments, including Ceridian and Remy and our former investment in Sedgwick in 2010 and 2009.</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2011, the Financial Accounting Standards Board ("FASB") updated Accounting Standards Code ("ASC") Topic 350, to allow an entity to utilize qualitative factors to determine if events and circumstances exist which will lead to a determination that the fair value of a reporting unit is greater than its carrying amount, prior to performing a full fair-value assessment. This update is effective for interim and annual periods beginning after December 15, 2011, with early adoption permitted. We adopted this update in the fourth quarter of 2011 and there was no impact on our financial condition or results of operations.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2011, the FASB updated ASC Topic 820, to clarify requirements on fair value measurements and related disclosures. This update is effective for interim and annual periods beginning after December 15, 2011. The additional requirements in this update will be included in the note on fair value measurements upon adoption. We do not expect this update to have a material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2011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under this framework, our management concluded that our internal control over financial reporting was effective as of December 31, 2011. The effectiveness of our internal control over financial reporting as of December 31, 2011 has been audited by KPMG LLP, an independent registered public accounting firm, as stated in their report which is included herein.</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229" w:lineRule="exact"/>
        <w:rPr>
          <w:sz w:val="20"/>
          <w:szCs w:val="20"/>
          <w:color w:val="auto"/>
        </w:rPr>
      </w:pPr>
    </w:p>
    <w:p>
      <w:pPr>
        <w:jc w:val="both"/>
        <w:ind w:firstLine="369"/>
        <w:spacing w:after="0" w:line="308" w:lineRule="auto"/>
        <w:rPr>
          <w:sz w:val="20"/>
          <w:szCs w:val="20"/>
          <w:color w:val="auto"/>
        </w:rPr>
      </w:pPr>
      <w:r>
        <w:rPr>
          <w:rFonts w:ascii="Arial" w:cs="Arial" w:eastAsia="Arial" w:hAnsi="Arial"/>
          <w:sz w:val="17"/>
          <w:szCs w:val="17"/>
          <w:color w:val="auto"/>
        </w:rPr>
        <w:t>Within 120 days after the close of our fiscal year, we intend to file with the Securities and Exchange Commission a definitive proxy statement pursuant to Regulation 14A of the Securities Exchange Act of 1934 as amended, which will include the matters required by these items.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29" w:lineRule="exact"/>
        <w:rPr>
          <w:sz w:val="20"/>
          <w:szCs w:val="20"/>
          <w:color w:val="auto"/>
        </w:rPr>
      </w:pPr>
    </w:p>
    <w:p>
      <w:pPr>
        <w:ind w:right="20" w:firstLine="332"/>
        <w:spacing w:after="0" w:line="277" w:lineRule="auto"/>
        <w:tabs>
          <w:tab w:leader="none" w:pos="5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180" w:type="dxa"/>
            <w:vAlign w:val="bottom"/>
            <w:gridSpan w:val="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Report of Independent Registered Public Accounting Firm on Effectiveness of Internal Control over Financial Reporting</w:t>
              </w:r>
            </w:hyperlink>
          </w:p>
        </w:tc>
        <w:tc>
          <w:tcPr>
            <w:tcW w:w="180" w:type="dxa"/>
            <w:vAlign w:val="bottom"/>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r>
      <w:tr>
        <w:trPr>
          <w:trHeight w:val="250"/>
        </w:trPr>
        <w:tc>
          <w:tcPr>
            <w:tcW w:w="8680" w:type="dxa"/>
            <w:vAlign w:val="bottom"/>
            <w:tcBorders>
              <w:top w:val="single" w:sz="8" w:color="0000FF"/>
            </w:tcBorders>
            <w:gridSpan w:val="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 on Financial Statements</w:t>
              </w:r>
            </w:hyperlink>
          </w:p>
        </w:tc>
        <w:tc>
          <w:tcPr>
            <w:tcW w:w="2500" w:type="dxa"/>
            <w:vAlign w:val="bottom"/>
          </w:tcPr>
          <w:p>
            <w:pPr>
              <w:spacing w:after="0"/>
              <w:rPr>
                <w:sz w:val="21"/>
                <w:szCs w:val="21"/>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r>
      <w:tr>
        <w:trPr>
          <w:trHeight w:val="250"/>
        </w:trPr>
        <w:tc>
          <w:tcPr>
            <w:tcW w:w="46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50">
              <w:r>
                <w:rPr>
                  <w:rFonts w:ascii="Arial" w:cs="Arial" w:eastAsia="Arial" w:hAnsi="Arial"/>
                  <w:sz w:val="18"/>
                  <w:szCs w:val="18"/>
                  <w:color w:val="0000FF"/>
                  <w:w w:val="88"/>
                </w:rPr>
                <w:t>Consolidated Balance Sheets as of December 31, 2011 and 2010</w:t>
              </w:r>
            </w:hyperlink>
          </w:p>
        </w:tc>
        <w:tc>
          <w:tcPr>
            <w:tcW w:w="1340" w:type="dxa"/>
            <w:vAlign w:val="bottom"/>
            <w:tcBorders>
              <w:top w:val="single" w:sz="8" w:color="0000FF"/>
            </w:tcBorders>
          </w:tcPr>
          <w:p>
            <w:pPr>
              <w:spacing w:after="0"/>
              <w:rPr>
                <w:sz w:val="21"/>
                <w:szCs w:val="21"/>
                <w:color w:val="auto"/>
              </w:rPr>
            </w:pPr>
          </w:p>
        </w:tc>
        <w:tc>
          <w:tcPr>
            <w:tcW w:w="5200" w:type="dxa"/>
            <w:vAlign w:val="bottom"/>
            <w:gridSpan w:val="6"/>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r>
      <w:tr>
        <w:trPr>
          <w:trHeight w:val="250"/>
        </w:trPr>
        <w:tc>
          <w:tcPr>
            <w:tcW w:w="67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Consolidated Statements of Earnings for the years ended December 31, 2011, 2010 and 2009</w:t>
              </w:r>
            </w:hyperlink>
          </w:p>
        </w:tc>
        <w:tc>
          <w:tcPr>
            <w:tcW w:w="448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r>
      <w:tr>
        <w:trPr>
          <w:trHeight w:val="250"/>
        </w:trPr>
        <w:tc>
          <w:tcPr>
            <w:tcW w:w="11180" w:type="dxa"/>
            <w:vAlign w:val="bottom"/>
            <w:gridSpan w:val="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Statements of Comprehensive Earnings for the years ended December 31, 2011, 2010 and 2009</w:t>
              </w:r>
            </w:hyperlink>
          </w:p>
        </w:tc>
        <w:tc>
          <w:tcPr>
            <w:tcW w:w="180" w:type="dxa"/>
            <w:vAlign w:val="bottom"/>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r>
      <w:tr>
        <w:trPr>
          <w:trHeight w:val="250"/>
        </w:trPr>
        <w:tc>
          <w:tcPr>
            <w:tcW w:w="6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Consolidated Statements of Equity for the years ended December 31, 2011, 2010 and 2009</w:t>
              </w:r>
            </w:hyperlink>
          </w:p>
        </w:tc>
        <w:tc>
          <w:tcPr>
            <w:tcW w:w="1320" w:type="dxa"/>
            <w:vAlign w:val="bottom"/>
            <w:tcBorders>
              <w:top w:val="single" w:sz="8" w:color="0000FF"/>
            </w:tcBorders>
            <w:gridSpan w:val="3"/>
          </w:tcPr>
          <w:p>
            <w:pPr>
              <w:spacing w:after="0"/>
              <w:rPr>
                <w:sz w:val="21"/>
                <w:szCs w:val="21"/>
                <w:color w:val="auto"/>
              </w:rPr>
            </w:pPr>
          </w:p>
        </w:tc>
        <w:tc>
          <w:tcPr>
            <w:tcW w:w="332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r>
      <w:tr>
        <w:trPr>
          <w:trHeight w:val="250"/>
        </w:trPr>
        <w:tc>
          <w:tcPr>
            <w:tcW w:w="69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Consolidated Statements of Cash Flows for the years ended December 31, 2011, 2010 and 2009</w:t>
              </w:r>
            </w:hyperlink>
          </w:p>
        </w:tc>
        <w:tc>
          <w:tcPr>
            <w:tcW w:w="428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r>
      <w:tr>
        <w:trPr>
          <w:trHeight w:val="250"/>
        </w:trPr>
        <w:tc>
          <w:tcPr>
            <w:tcW w:w="11180" w:type="dxa"/>
            <w:vAlign w:val="bottom"/>
            <w:gridSpan w:val="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Notes to Consolidated Financial Statements</w:t>
              </w:r>
            </w:hyperlink>
          </w:p>
        </w:tc>
        <w:tc>
          <w:tcPr>
            <w:tcW w:w="180" w:type="dxa"/>
            <w:vAlign w:val="bottom"/>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r>
      <w:tr>
        <w:trPr>
          <w:trHeight w:val="507"/>
        </w:trPr>
        <w:tc>
          <w:tcPr>
            <w:tcW w:w="3140" w:type="dxa"/>
            <w:vAlign w:val="bottom"/>
            <w:tcBorders>
              <w:top w:val="single" w:sz="8" w:color="0000FF"/>
            </w:tcBorders>
          </w:tcPr>
          <w:p>
            <w:pPr>
              <w:spacing w:after="0"/>
              <w:rPr>
                <w:sz w:val="24"/>
                <w:szCs w:val="24"/>
                <w:color w:val="auto"/>
              </w:rPr>
            </w:pPr>
          </w:p>
        </w:tc>
        <w:tc>
          <w:tcPr>
            <w:tcW w:w="28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(2) </w:t>
      </w: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xml:space="preserve">  The following is a list of financial statement schedules filed as part of this annual report on Form 10-K:</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180" w:type="dxa"/>
            <w:vAlign w:val="bottom"/>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4">
              <w:r>
                <w:rPr>
                  <w:rFonts w:ascii="Arial" w:cs="Arial" w:eastAsia="Arial" w:hAnsi="Arial"/>
                  <w:sz w:val="18"/>
                  <w:szCs w:val="18"/>
                  <w:color w:val="0000FF"/>
                  <w:w w:val="79"/>
                </w:rPr>
                <w:t>93</w:t>
              </w:r>
            </w:hyperlink>
          </w:p>
        </w:tc>
      </w:tr>
      <w:tr>
        <w:trPr>
          <w:trHeight w:val="250"/>
        </w:trPr>
        <w:tc>
          <w:tcPr>
            <w:tcW w:w="11180" w:type="dxa"/>
            <w:vAlign w:val="bottom"/>
          </w:tcPr>
          <w:p>
            <w:pPr>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97</w:t>
              </w:r>
            </w:hyperlink>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40" w:type="dxa"/>
            <w:vAlign w:val="bottom"/>
            <w:vMerge w:val="restart"/>
          </w:tcPr>
          <w:p>
            <w:pPr>
              <w:ind w:left="25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960" w:hanging="359"/>
        <w:spacing w:after="0" w:line="264" w:lineRule="auto"/>
        <w:rPr>
          <w:sz w:val="20"/>
          <w:szCs w:val="20"/>
          <w:color w:val="auto"/>
        </w:rPr>
      </w:pPr>
      <w:r>
        <w:rPr>
          <w:rFonts w:ascii="Arial" w:cs="Arial" w:eastAsia="Arial" w:hAnsi="Arial"/>
          <w:sz w:val="18"/>
          <w:szCs w:val="18"/>
          <w:color w:val="auto"/>
        </w:rPr>
        <w:t>2.1 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spacing w:after="0" w:line="19"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3.1 Form of Amended and Restated Certificate of Incorporation of the Registrant (incorporated by reference to Exhibit 3.1 to the Regstrant's Registration Statement on Form S-3 filed June 3, 2011)</w:t>
      </w:r>
    </w:p>
    <w:p>
      <w:pPr>
        <w:spacing w:after="0" w:line="8"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3.2 Amended and Restated Bylaws of the Registrant, as adopted on September 26, 2005 (incorporated by reference to Exhibit 3.2 to the Registrant’s Quarterly Report on Form 10-Q for the quarter ended September 30, 2005)</w:t>
      </w:r>
    </w:p>
    <w:p>
      <w:pPr>
        <w:spacing w:after="0" w:line="8" w:lineRule="exact"/>
        <w:rPr>
          <w:sz w:val="20"/>
          <w:szCs w:val="20"/>
          <w:color w:val="auto"/>
        </w:rPr>
      </w:pPr>
    </w:p>
    <w:p>
      <w:pPr>
        <w:jc w:val="both"/>
        <w:ind w:left="960" w:hanging="359"/>
        <w:spacing w:after="0" w:line="264" w:lineRule="auto"/>
        <w:rPr>
          <w:sz w:val="20"/>
          <w:szCs w:val="20"/>
          <w:color w:val="auto"/>
        </w:rPr>
      </w:pPr>
      <w:r>
        <w:rPr>
          <w:rFonts w:ascii="Arial" w:cs="Arial" w:eastAsia="Arial" w:hAnsi="Arial"/>
          <w:sz w:val="18"/>
          <w:szCs w:val="18"/>
          <w:color w:val="auto"/>
        </w:rPr>
        <w:t>4.1 Indenture between the Registrant and The Bank of New York Trust Company, N.A., dated December 8, 2005, relating to the 5.25% notes referred to below (incorporated by reference to Exhibit 4.1 to the Registrant’s Annual Report on Form 10-K for the year ended December 31, 2005)</w:t>
      </w:r>
    </w:p>
    <w:p>
      <w:pPr>
        <w:spacing w:after="0" w:line="19"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4.2 First Supplemental Indenture between the Registrant and the Bank of New York Trust Company, N.A., dated as of January 6, 2006 (incorporated by reference to Exhibit 4.1 to the Registrant’s Current Report on Form 8-K filed on January 24, 2006)</w:t>
      </w:r>
    </w:p>
    <w:p>
      <w:pPr>
        <w:spacing w:after="0" w:line="8" w:lineRule="exact"/>
        <w:rPr>
          <w:sz w:val="20"/>
          <w:szCs w:val="20"/>
          <w:color w:val="auto"/>
        </w:rPr>
      </w:pPr>
    </w:p>
    <w:p>
      <w:pPr>
        <w:jc w:val="both"/>
        <w:ind w:left="960" w:right="20" w:hanging="359"/>
        <w:spacing w:after="0" w:line="264" w:lineRule="auto"/>
        <w:rPr>
          <w:sz w:val="20"/>
          <w:szCs w:val="20"/>
          <w:color w:val="auto"/>
        </w:rPr>
      </w:pPr>
      <w:r>
        <w:rPr>
          <w:rFonts w:ascii="Arial" w:cs="Arial" w:eastAsia="Arial" w:hAnsi="Arial"/>
          <w:sz w:val="18"/>
          <w:szCs w:val="18"/>
          <w:color w:val="auto"/>
        </w:rPr>
        <w:t>4.3 Second Supplemental Indenture, dated May 5, 2010, between the Registrant and The Bank of New York Mellon Trust Company, N.A., dated as of May 5, 2010, relating to the 6.60% notes referred to below (incorporated by reference to Exhibit 4.1 to the Registrant's Current Report on Form 8-K filed on May 5, 2010)</w:t>
      </w:r>
    </w:p>
    <w:p>
      <w:pPr>
        <w:spacing w:after="0" w:line="235" w:lineRule="exact"/>
        <w:rPr>
          <w:sz w:val="20"/>
          <w:szCs w:val="20"/>
          <w:color w:val="auto"/>
        </w:rPr>
      </w:pPr>
    </w:p>
    <w:p>
      <w:pPr>
        <w:jc w:val="both"/>
        <w:ind w:left="960" w:hanging="359"/>
        <w:spacing w:after="0" w:line="277" w:lineRule="auto"/>
        <w:rPr>
          <w:sz w:val="20"/>
          <w:szCs w:val="20"/>
          <w:color w:val="auto"/>
        </w:rPr>
      </w:pPr>
      <w:r>
        <w:rPr>
          <w:rFonts w:ascii="Arial" w:cs="Arial" w:eastAsia="Arial" w:hAnsi="Arial"/>
          <w:sz w:val="18"/>
          <w:szCs w:val="18"/>
          <w:color w:val="auto"/>
        </w:rPr>
        <w:t>4.4 Form of Subordinated Indenture between the Registrant and the Bank of New York Trust Company, N.A. (incorporated by reference to Exhibit 4.2(A) to the Registrant’s Registration Statement on Form S-3 filed on November 14, 2007)</w:t>
      </w:r>
    </w:p>
    <w:p>
      <w:pPr>
        <w:spacing w:after="0" w:line="8" w:lineRule="exact"/>
        <w:rPr>
          <w:sz w:val="20"/>
          <w:szCs w:val="20"/>
          <w:color w:val="auto"/>
        </w:rPr>
      </w:pPr>
    </w:p>
    <w:p>
      <w:pPr>
        <w:jc w:val="both"/>
        <w:ind w:left="960" w:hanging="359"/>
        <w:spacing w:after="0" w:line="277" w:lineRule="auto"/>
        <w:rPr>
          <w:sz w:val="20"/>
          <w:szCs w:val="20"/>
          <w:color w:val="auto"/>
        </w:rPr>
      </w:pPr>
      <w:r>
        <w:rPr>
          <w:rFonts w:ascii="Arial" w:cs="Arial" w:eastAsia="Arial" w:hAnsi="Arial"/>
          <w:sz w:val="18"/>
          <w:szCs w:val="18"/>
          <w:color w:val="auto"/>
        </w:rPr>
        <w:t>4.5 Form of 5.25% note due March 15, 2013 (incorporated by reference to Exhibit 4.7 to the Registrant’s Registration Statement on Form S-4 filed on October 28, 2005)</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4.6  Form of 6.60% Note due 2017 (incorporated by reference to Exhibit 4.3 to the Registrant's Current Report on Form 8-K filed on May 5, 2010)</w:t>
      </w:r>
    </w:p>
    <w:p>
      <w:pPr>
        <w:spacing w:after="0" w:line="302"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4.7 Form of 4.25% Convertible Note due August 2018 (incorporated by reference to Exhibit 4.5 to the Registrant's Current Report on Form 8-K filed on August 2, 2011)</w:t>
      </w:r>
    </w:p>
    <w:p>
      <w:pPr>
        <w:spacing w:after="0" w:line="8"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4.8 Form of the Registrant’s Common Stock Certificate (incorporated by reference to Exhibit 4.5 to the Registrant’s Annual Report on Form 10-K for the year ended December 31, 2006 (the “2006 Annual Report”))</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10.1  Credit Agreement among the Registrant, Bank of America, N.A., and certain agents and other lenders party thereto, dated as of September 12,</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2006 (incorporated by reference to Exhibit 10.1 to the Registrant’s Current Report on Form 8-K filed on October 30, 2006)</w:t>
      </w:r>
    </w:p>
    <w:p>
      <w:pPr>
        <w:spacing w:after="0" w:line="265" w:lineRule="exact"/>
        <w:rPr>
          <w:sz w:val="20"/>
          <w:szCs w:val="20"/>
          <w:color w:val="auto"/>
        </w:rPr>
      </w:pPr>
    </w:p>
    <w:p>
      <w:pPr>
        <w:jc w:val="both"/>
        <w:ind w:left="960" w:right="20" w:hanging="449"/>
        <w:spacing w:after="0" w:line="264" w:lineRule="auto"/>
        <w:rPr>
          <w:sz w:val="20"/>
          <w:szCs w:val="20"/>
          <w:color w:val="auto"/>
        </w:rPr>
      </w:pPr>
      <w:r>
        <w:rPr>
          <w:rFonts w:ascii="Arial" w:cs="Arial" w:eastAsia="Arial" w:hAnsi="Arial"/>
          <w:sz w:val="18"/>
          <w:szCs w:val="18"/>
          <w:color w:val="auto"/>
        </w:rPr>
        <w:t>10.2 Amendment and Restatement Agreement dated as of March 5, 2010 to the Credit Agreement among the Registrant, Bank of America, N.A., and certain agents and other lenders party thereto (incorporated by reference to Exhibit 10.1 to the Registrant’s Current Report on Form 8-K filed on March 10, 2010)</w:t>
      </w:r>
    </w:p>
    <w:p>
      <w:pPr>
        <w:spacing w:after="0" w:line="19" w:lineRule="exact"/>
        <w:rPr>
          <w:sz w:val="20"/>
          <w:szCs w:val="20"/>
          <w:color w:val="auto"/>
        </w:rPr>
      </w:pPr>
    </w:p>
    <w:p>
      <w:pPr>
        <w:jc w:val="both"/>
        <w:ind w:left="960" w:right="20" w:hanging="449"/>
        <w:spacing w:after="0" w:line="277" w:lineRule="auto"/>
        <w:rPr>
          <w:sz w:val="20"/>
          <w:szCs w:val="20"/>
          <w:color w:val="auto"/>
        </w:rPr>
      </w:pPr>
      <w:r>
        <w:rPr>
          <w:rFonts w:ascii="Arial" w:cs="Arial" w:eastAsia="Arial" w:hAnsi="Arial"/>
          <w:sz w:val="18"/>
          <w:szCs w:val="18"/>
          <w:color w:val="auto"/>
        </w:rPr>
        <w:t>10.3 Amended and Restated Fidelity National Financial, Inc. 2005 Omnibus Incentive Plan, effective as of September 26, 2005 (incorporated by reference to Annex A to the Registrant’s Schedule 14A filed on April 11, 2011)(1)</w:t>
      </w:r>
    </w:p>
    <w:p>
      <w:pPr>
        <w:spacing w:after="0" w:line="8" w:lineRule="exact"/>
        <w:rPr>
          <w:sz w:val="20"/>
          <w:szCs w:val="20"/>
          <w:color w:val="auto"/>
        </w:rPr>
      </w:pPr>
    </w:p>
    <w:p>
      <w:pPr>
        <w:jc w:val="both"/>
        <w:ind w:left="960" w:right="20" w:hanging="449"/>
        <w:spacing w:after="0" w:line="277" w:lineRule="auto"/>
        <w:rPr>
          <w:sz w:val="20"/>
          <w:szCs w:val="20"/>
          <w:color w:val="auto"/>
        </w:rPr>
      </w:pPr>
      <w:r>
        <w:rPr>
          <w:rFonts w:ascii="Arial" w:cs="Arial" w:eastAsia="Arial" w:hAnsi="Arial"/>
          <w:sz w:val="18"/>
          <w:szCs w:val="18"/>
          <w:color w:val="auto"/>
        </w:rPr>
        <w:t>10.4 Fidelity National Title Group, Inc. Employee Stock Purchase Plan, effective as of September 26, 2005 (incorporated by reference to Exhibit 10.50 to the Registrant’s Quarterly Report on Form 10-Q for the quarter ended September 30, 2005).(1)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40" w:type="dxa"/>
            <w:vAlign w:val="bottom"/>
            <w:vMerge w:val="restart"/>
          </w:tcPr>
          <w:p>
            <w:pPr>
              <w:ind w:left="25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960" w:right="20" w:hanging="449"/>
        <w:spacing w:after="0" w:line="264" w:lineRule="auto"/>
        <w:rPr>
          <w:sz w:val="20"/>
          <w:szCs w:val="20"/>
          <w:color w:val="auto"/>
        </w:rPr>
      </w:pPr>
      <w:r>
        <w:rPr>
          <w:rFonts w:ascii="Arial" w:cs="Arial" w:eastAsia="Arial" w:hAnsi="Arial"/>
          <w:sz w:val="18"/>
          <w:szCs w:val="18"/>
          <w:color w:val="auto"/>
        </w:rPr>
        <w:t>10.5 Form of Notice of Restricted Stock Grant and Restricted Stock Award Agreement under Amended and Restated Fidelity National Financial, Inc. 2005 Omnibus Incentive Plan (incorporated by reference to Exhibit 10.5 to the Registrant’s Annual Report on Form 10-K for the year ended December 31, 2008).(1)</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10.6  Form of Notice of Restricted Stock Grant and Restricted Stock Award Agreement under Amended and Restated Fidelity National Financial, Inc.</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2005 Omnibus Incentive Plan for October 2011 awards.(1)</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10.7  Form of Notice of Restricted Stock Grant and Restricted Stock Award Agreement under Amended and Restated Fidelity National Financial, Inc.</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2010 awards. (Incorporated by reference to Exhibit 10.7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2010).(1)</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10.8  Form of Notice of Restricted Stock Grant and Restricted Stock Award Agreement under Amended and Restated Fidelity National Financial, Inc.</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2009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2009).(1)</w:t>
      </w:r>
    </w:p>
    <w:p>
      <w:pPr>
        <w:spacing w:after="0" w:line="49" w:lineRule="exact"/>
        <w:rPr>
          <w:sz w:val="20"/>
          <w:szCs w:val="20"/>
          <w:color w:val="auto"/>
        </w:rPr>
      </w:pPr>
    </w:p>
    <w:p>
      <w:pPr>
        <w:jc w:val="both"/>
        <w:ind w:left="960" w:right="20" w:hanging="449"/>
        <w:spacing w:after="0" w:line="264" w:lineRule="auto"/>
        <w:rPr>
          <w:sz w:val="20"/>
          <w:szCs w:val="20"/>
          <w:color w:val="auto"/>
        </w:rPr>
      </w:pPr>
      <w:r>
        <w:rPr>
          <w:rFonts w:ascii="Arial" w:cs="Arial" w:eastAsia="Arial" w:hAnsi="Arial"/>
          <w:sz w:val="18"/>
          <w:szCs w:val="18"/>
          <w:color w:val="auto"/>
        </w:rPr>
        <w:t>10.9 Form of Notice of Stock Option Grant and Stock Option Award Agreement under Amended and Restated Fidelity National Financial, Inc. 2005 Omnibus Incentive Plan (incorporated by reference to Exhibit 10.6 to the Registrant’s Annual Report on Form 10-K for the year ended December 31, 2008).(1)</w:t>
      </w:r>
    </w:p>
    <w:p>
      <w:pPr>
        <w:spacing w:after="0" w:line="19" w:lineRule="exact"/>
        <w:rPr>
          <w:sz w:val="20"/>
          <w:szCs w:val="20"/>
          <w:color w:val="auto"/>
        </w:rPr>
      </w:pPr>
    </w:p>
    <w:p>
      <w:pPr>
        <w:jc w:val="both"/>
        <w:ind w:left="960" w:right="20" w:hanging="539"/>
        <w:spacing w:after="0" w:line="277" w:lineRule="auto"/>
        <w:rPr>
          <w:sz w:val="20"/>
          <w:szCs w:val="20"/>
          <w:color w:val="auto"/>
        </w:rPr>
      </w:pPr>
      <w:r>
        <w:rPr>
          <w:rFonts w:ascii="Arial" w:cs="Arial" w:eastAsia="Arial" w:hAnsi="Arial"/>
          <w:sz w:val="18"/>
          <w:szCs w:val="18"/>
          <w:color w:val="auto"/>
        </w:rPr>
        <w:t>10.10 Tax Disaffiliation Agreement by and among Old FNF, the Registrant and FIS, dated as of October 23, 2006 (incorporated by reference to Exhibit 99.1 to Old FNF’s Form 8-K, filed on October 27, 2006)</w:t>
      </w:r>
    </w:p>
    <w:p>
      <w:pPr>
        <w:spacing w:after="0" w:line="8" w:lineRule="exact"/>
        <w:rPr>
          <w:sz w:val="20"/>
          <w:szCs w:val="20"/>
          <w:color w:val="auto"/>
        </w:rPr>
      </w:pPr>
    </w:p>
    <w:p>
      <w:pPr>
        <w:jc w:val="both"/>
        <w:ind w:left="960" w:hanging="532"/>
        <w:spacing w:after="0" w:line="277" w:lineRule="auto"/>
        <w:rPr>
          <w:sz w:val="20"/>
          <w:szCs w:val="20"/>
          <w:color w:val="auto"/>
        </w:rPr>
      </w:pPr>
      <w:r>
        <w:rPr>
          <w:rFonts w:ascii="Arial" w:cs="Arial" w:eastAsia="Arial" w:hAnsi="Arial"/>
          <w:sz w:val="18"/>
          <w:szCs w:val="18"/>
          <w:color w:val="auto"/>
        </w:rPr>
        <w:t>10.11 Cross-Indemnity Agreement by and between the Registrant and FIS, dated as of October 23, 2006 (incorporated by reference to Exhibit 99.2 to FIS’s Form 8-K, filed on October 27, 2006)</w:t>
      </w:r>
    </w:p>
    <w:p>
      <w:pPr>
        <w:spacing w:after="0" w:line="8" w:lineRule="exact"/>
        <w:rPr>
          <w:sz w:val="20"/>
          <w:szCs w:val="20"/>
          <w:color w:val="auto"/>
        </w:rPr>
      </w:pPr>
    </w:p>
    <w:p>
      <w:pPr>
        <w:jc w:val="both"/>
        <w:ind w:left="960" w:right="20" w:hanging="539"/>
        <w:spacing w:after="0" w:line="298" w:lineRule="auto"/>
        <w:rPr>
          <w:sz w:val="20"/>
          <w:szCs w:val="20"/>
          <w:color w:val="auto"/>
        </w:rPr>
      </w:pPr>
      <w:r>
        <w:rPr>
          <w:rFonts w:ascii="Arial" w:cs="Arial" w:eastAsia="Arial" w:hAnsi="Arial"/>
          <w:sz w:val="17"/>
          <w:szCs w:val="17"/>
          <w:color w:val="auto"/>
        </w:rPr>
        <w:t>10.12 Amended and Restated Employment Agreement between the registrant and George P. Scanlon, effective as of November 1, 2010. (incorporated by reference to Exhibit 10.2 to the Registrant's Quarterly Report on Form 10-Q for the period ended September 30, 2010) (1)</w:t>
      </w:r>
    </w:p>
    <w:p>
      <w:pPr>
        <w:spacing w:after="0" w:line="1" w:lineRule="exact"/>
        <w:rPr>
          <w:sz w:val="20"/>
          <w:szCs w:val="20"/>
          <w:color w:val="auto"/>
        </w:rPr>
      </w:pPr>
    </w:p>
    <w:p>
      <w:pPr>
        <w:jc w:val="both"/>
        <w:ind w:left="960" w:right="20" w:hanging="539"/>
        <w:spacing w:after="0" w:line="308" w:lineRule="auto"/>
        <w:rPr>
          <w:sz w:val="20"/>
          <w:szCs w:val="20"/>
          <w:color w:val="auto"/>
        </w:rPr>
      </w:pPr>
      <w:r>
        <w:rPr>
          <w:rFonts w:ascii="Arial" w:cs="Arial" w:eastAsia="Arial" w:hAnsi="Arial"/>
          <w:sz w:val="17"/>
          <w:szCs w:val="17"/>
          <w:color w:val="auto"/>
        </w:rPr>
        <w:t>10.13 Amended and Restated Employment Agreement between the registrant and Daniel K. Murphy, effective as of September 30, 2010. (incorporated by reference to Exhibit 10.1 to the Registrant's Quarterly Report on Form 10-Q for the period ended September 30, 2010)(1)</w:t>
      </w:r>
    </w:p>
    <w:p>
      <w:pPr>
        <w:spacing w:after="0" w:line="201" w:lineRule="exact"/>
        <w:rPr>
          <w:sz w:val="20"/>
          <w:szCs w:val="20"/>
          <w:color w:val="auto"/>
        </w:rPr>
      </w:pPr>
    </w:p>
    <w:p>
      <w:pPr>
        <w:jc w:val="both"/>
        <w:ind w:left="960" w:hanging="539"/>
        <w:spacing w:after="0" w:line="277" w:lineRule="auto"/>
        <w:rPr>
          <w:sz w:val="20"/>
          <w:szCs w:val="20"/>
          <w:color w:val="auto"/>
        </w:rPr>
      </w:pPr>
      <w:r>
        <w:rPr>
          <w:rFonts w:ascii="Arial" w:cs="Arial" w:eastAsia="Arial" w:hAnsi="Arial"/>
          <w:sz w:val="18"/>
          <w:szCs w:val="18"/>
          <w:color w:val="auto"/>
        </w:rPr>
        <w:t>10.14 Amended and Restated Employment Agreement between the Registrant and Anthony J. Park, effective as of October 10, 2008 (incorporated by reference to Exhibit 10.11 to Registrant’s Annual Report on Form 10-K for the year ended December 31, 2008).(1)</w:t>
      </w:r>
    </w:p>
    <w:p>
      <w:pPr>
        <w:spacing w:after="0" w:line="8"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10.15 Amendment effective February 4, 2010 to Amended and Restated Employment Agreement between the Registrant and Anthony J. Park, effective as of October 10, 2008(incorporated by reference to Exhibit 10.13 to the Registrant's Annual Report on Form 10-K for the year ended December 31, 2009)(1)</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10.16  Amended and Restated Employment Agreement between the Registrant and Brent B. Bickett, effective as of January 1, 2012. (1)</w:t>
      </w:r>
    </w:p>
    <w:p>
      <w:pPr>
        <w:spacing w:after="0" w:line="63"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10.17 Amendment effective February 4, 2010 to Amended and Restated Employment Agreement between the Registrant and Brent B. Bickett, effective as of July 2, 2008(incorporated by reference to Exhibit 10.15 to the Registrant's Annual Report on Form 10-K for the year ended December 31, 2009)(1)</w:t>
      </w:r>
    </w:p>
    <w:p>
      <w:pPr>
        <w:spacing w:after="0" w:line="19"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10.18 Amendment effective February 4, 2010 to Amended and Restated Employment Agreement between the Registrant and William P. Foley, II, effective as of July 2, 2008(incorporated by reference to Exhibit 10.17 to the Registrant's Annual Report on Form 10-K for the year ended December 31, 2009)(1).</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10.19  Amended and Restated Employment Agreement between the Registrant and Raymond R. Quirk, effective as of October 10, 2008(1)</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p>
      <w:pPr>
        <w:spacing w:after="0" w:line="49"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10.20 Amendment effective February 4, 2010 to Amended and Restated Employment Agreement between the Registrant and Raymond R. Quirk, effective as of October 10, 2008(incorporated by reference to Exhibit 10.21 to the Registrant's Annual Report on Form 10-K for the year ended December 31, 2009)(1)</w:t>
      </w:r>
    </w:p>
    <w:p>
      <w:pPr>
        <w:spacing w:after="0" w:line="19" w:lineRule="exact"/>
        <w:rPr>
          <w:sz w:val="20"/>
          <w:szCs w:val="20"/>
          <w:color w:val="auto"/>
        </w:rPr>
      </w:pPr>
    </w:p>
    <w:p>
      <w:pPr>
        <w:jc w:val="both"/>
        <w:ind w:left="960" w:right="20" w:hanging="539"/>
        <w:spacing w:after="0" w:line="317" w:lineRule="auto"/>
        <w:rPr>
          <w:sz w:val="20"/>
          <w:szCs w:val="20"/>
          <w:color w:val="auto"/>
        </w:rPr>
      </w:pPr>
      <w:r>
        <w:rPr>
          <w:rFonts w:ascii="Arial" w:cs="Arial" w:eastAsia="Arial" w:hAnsi="Arial"/>
          <w:sz w:val="16"/>
          <w:szCs w:val="16"/>
          <w:color w:val="auto"/>
        </w:rPr>
        <w:t>10.21 Amended and Restated Employment Agreement between the Registrant and Michael L. Gravelle, effective as of January 1, 2010(incorporated by reference to Exhibit 10.22 to the Registrant's Annual Report on Form 10-K for the year ended December 31, 2009)(1)</w:t>
      </w:r>
    </w:p>
    <w:p>
      <w:pPr>
        <w:ind w:left="420"/>
        <w:spacing w:after="0"/>
        <w:rPr>
          <w:sz w:val="20"/>
          <w:szCs w:val="20"/>
          <w:color w:val="auto"/>
        </w:rPr>
      </w:pPr>
      <w:r>
        <w:rPr>
          <w:rFonts w:ascii="Arial" w:cs="Arial" w:eastAsia="Arial" w:hAnsi="Arial"/>
          <w:sz w:val="16"/>
          <w:szCs w:val="16"/>
          <w:color w:val="auto"/>
        </w:rPr>
        <w:t>10.22  Fidelity National Title Group, Inc. Annual Incentive Plan (incorporated by reference to Annex B to the Registrant's Schedule 14A filed on April</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11, 2011).(1)</w:t>
      </w:r>
    </w:p>
    <w:p>
      <w:pPr>
        <w:spacing w:after="0" w:line="49" w:lineRule="exact"/>
        <w:rPr>
          <w:sz w:val="20"/>
          <w:szCs w:val="20"/>
          <w:color w:val="auto"/>
        </w:rPr>
      </w:pPr>
    </w:p>
    <w:p>
      <w:pPr>
        <w:jc w:val="both"/>
        <w:ind w:left="960" w:right="20" w:hanging="539"/>
        <w:spacing w:after="0" w:line="277" w:lineRule="auto"/>
        <w:rPr>
          <w:sz w:val="20"/>
          <w:szCs w:val="20"/>
          <w:color w:val="auto"/>
        </w:rPr>
      </w:pPr>
      <w:r>
        <w:rPr>
          <w:rFonts w:ascii="Arial" w:cs="Arial" w:eastAsia="Arial" w:hAnsi="Arial"/>
          <w:sz w:val="18"/>
          <w:szCs w:val="18"/>
          <w:color w:val="auto"/>
        </w:rPr>
        <w:t>10.23 Fidelity National Financial, Inc. Deferred Compensation Plan, as amended and restated, effective January 1, 2009 (incorporated by reference to Exhibit 10.18 to the Registrant’s Annual Report on Form 10-K for the year ended December 31, 2008).(1)</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23.1  Consent of KPMG LLP,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40" w:type="dxa"/>
            <w:vAlign w:val="bottom"/>
            <w:vMerge w:val="restart"/>
          </w:tcPr>
          <w:p>
            <w:pPr>
              <w:ind w:left="25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63" w:lineRule="exact"/>
        <w:rPr>
          <w:sz w:val="20"/>
          <w:szCs w:val="20"/>
          <w:color w:val="auto"/>
        </w:rPr>
      </w:pPr>
    </w:p>
    <w:p>
      <w:pPr>
        <w:ind w:left="960" w:hanging="449"/>
        <w:spacing w:after="0" w:line="277" w:lineRule="auto"/>
        <w:rPr>
          <w:sz w:val="20"/>
          <w:szCs w:val="20"/>
          <w:color w:val="auto"/>
        </w:rPr>
      </w:pPr>
      <w:r>
        <w:rPr>
          <w:rFonts w:ascii="Arial" w:cs="Arial" w:eastAsia="Arial" w:hAnsi="Arial"/>
          <w:sz w:val="18"/>
          <w:szCs w:val="18"/>
          <w:color w:val="auto"/>
        </w:rPr>
        <w:t>32.1 Certification by Chief Executive Officer of Periodic Financial Reports pursuant to Section 906 of the Sarbanes-Oxley Act of 2002, 18 U.S.C. Section 1350</w:t>
      </w:r>
    </w:p>
    <w:p>
      <w:pPr>
        <w:spacing w:after="0" w:line="8" w:lineRule="exact"/>
        <w:rPr>
          <w:sz w:val="20"/>
          <w:szCs w:val="20"/>
          <w:color w:val="auto"/>
        </w:rPr>
      </w:pPr>
    </w:p>
    <w:p>
      <w:pPr>
        <w:ind w:left="960" w:hanging="449"/>
        <w:spacing w:after="0" w:line="277" w:lineRule="auto"/>
        <w:rPr>
          <w:sz w:val="20"/>
          <w:szCs w:val="20"/>
          <w:color w:val="auto"/>
        </w:rPr>
      </w:pPr>
      <w:r>
        <w:rPr>
          <w:rFonts w:ascii="Arial" w:cs="Arial" w:eastAsia="Arial" w:hAnsi="Arial"/>
          <w:sz w:val="18"/>
          <w:szCs w:val="18"/>
          <w:color w:val="auto"/>
        </w:rPr>
        <w:t>32.2 Certification by Chief Financial Officer of Periodic Financial Reports pursuant to Section 906 of the Sarbanes-Oxley Act of 2002, 18 U.S.C. Section 1350</w:t>
      </w:r>
    </w:p>
    <w:p>
      <w:pPr>
        <w:spacing w:after="0" w:line="8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90</w:t>
      </w:r>
    </w:p>
    <w:p>
      <w:pPr>
        <w:sectPr>
          <w:pgSz w:w="11900" w:h="16838" w:orient="portrait"/>
          <w:cols w:equalWidth="0" w:num="1">
            <w:col w:w="11380"/>
          </w:cols>
          <w:pgMar w:left="240" w:top="125" w:right="27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432"/>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00" w:lineRule="exact"/>
        <w:rPr>
          <w:sz w:val="20"/>
          <w:szCs w:val="20"/>
          <w:color w:val="auto"/>
        </w:rPr>
      </w:pPr>
    </w:p>
    <w:p>
      <w:pPr>
        <w:spacing w:after="0" w:line="201"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18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63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George P. Scanlon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3"/>
              </w:rPr>
              <w:t>Chief Executive Officer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George P. Scanlon</w:t>
            </w:r>
          </w:p>
        </w:tc>
        <w:tc>
          <w:tcPr>
            <w:tcW w:w="5180" w:type="dxa"/>
            <w:vAlign w:val="bottom"/>
            <w:gridSpan w:val="3"/>
          </w:tcPr>
          <w:p>
            <w:pPr>
              <w:jc w:val="center"/>
              <w:ind w:left="231"/>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180" w:type="dxa"/>
            <w:vAlign w:val="bottom"/>
            <w:gridSpan w:val="3"/>
            <w:vMerge w:val="restart"/>
          </w:tcPr>
          <w:p>
            <w:pPr>
              <w:jc w:val="center"/>
              <w:ind w:left="251"/>
              <w:spacing w:after="0"/>
              <w:rPr>
                <w:sz w:val="20"/>
                <w:szCs w:val="20"/>
                <w:color w:val="auto"/>
              </w:rPr>
            </w:pPr>
            <w:r>
              <w:rPr>
                <w:rFonts w:ascii="Arial" w:cs="Arial" w:eastAsia="Arial" w:hAnsi="Arial"/>
                <w:sz w:val="18"/>
                <w:szCs w:val="18"/>
                <w:color w:val="auto"/>
                <w:w w:val="91"/>
              </w:rPr>
              <w:t>(Principal Financial and</w:t>
            </w: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18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180" w:type="dxa"/>
            <w:vAlign w:val="bottom"/>
            <w:gridSpan w:val="3"/>
          </w:tcPr>
          <w:p>
            <w:pPr>
              <w:jc w:val="center"/>
              <w:ind w:left="231"/>
              <w:spacing w:after="0"/>
              <w:rPr>
                <w:sz w:val="20"/>
                <w:szCs w:val="20"/>
                <w:color w:val="auto"/>
              </w:rPr>
            </w:pPr>
            <w:r>
              <w:rPr>
                <w:rFonts w:ascii="Arial" w:cs="Arial" w:eastAsia="Arial" w:hAnsi="Arial"/>
                <w:sz w:val="18"/>
                <w:szCs w:val="18"/>
                <w:color w:val="auto"/>
                <w:w w:val="95"/>
              </w:rPr>
              <w:t>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 and Executive Chairman of the Board</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/s/ Willie D. Davis</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General William Lyon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General William Lyon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Frank P. Willey</w:t>
            </w:r>
          </w:p>
        </w:tc>
        <w:tc>
          <w:tcPr>
            <w:tcW w:w="518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31"/>
              <w:spacing w:after="0"/>
              <w:rPr>
                <w:sz w:val="20"/>
                <w:szCs w:val="20"/>
                <w:color w:val="auto"/>
              </w:rPr>
            </w:pPr>
            <w:r>
              <w:rPr>
                <w:rFonts w:ascii="Arial" w:cs="Arial" w:eastAsia="Arial" w:hAnsi="Arial"/>
                <w:sz w:val="18"/>
                <w:szCs w:val="18"/>
                <w:color w:val="auto"/>
                <w:w w:val="91"/>
              </w:rPr>
              <w:t>February 23, 2012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Frank P. Willey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1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date of February 23, 2012, we reported on the Consolidated Balance Sheets of Fidelity National Financial, Inc. and subsidiaries as of December 31, 2011 and 2010, and the related Consolidated Statements of Earnings, Comprehensive Earnings, Equity and Cash Flows for each of the years in the three-year period ended December 31, 2011, as contained in the Annual Report on Form 10-K for the year 2011.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9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8800" w:type="dxa"/>
            <w:vAlign w:val="bottom"/>
          </w:tcPr>
          <w:p>
            <w:pPr>
              <w:jc w:val="center"/>
              <w:ind w:left="2550"/>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880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8800" w:type="dxa"/>
            <w:vAlign w:val="bottom"/>
          </w:tcPr>
          <w:p>
            <w:pPr>
              <w:jc w:val="center"/>
              <w:ind w:left="2530"/>
              <w:spacing w:after="0"/>
              <w:rPr>
                <w:sz w:val="20"/>
                <w:szCs w:val="20"/>
                <w:color w:val="auto"/>
              </w:rPr>
            </w:pPr>
            <w:r>
              <w:rPr>
                <w:rFonts w:ascii="Arial" w:cs="Arial" w:eastAsia="Arial" w:hAnsi="Arial"/>
                <w:sz w:val="18"/>
                <w:szCs w:val="18"/>
                <w:b w:val="1"/>
                <w:bCs w:val="1"/>
                <w:color w:val="auto"/>
                <w:w w:val="98"/>
              </w:rPr>
              <w:t>BALANCE SHEETS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2"/>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190"/>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5"/>
              </w:rPr>
              <w:t>(In millions,</w:t>
            </w:r>
          </w:p>
        </w:tc>
        <w:tc>
          <w:tcPr>
            <w:tcW w:w="820" w:type="dxa"/>
            <w:vAlign w:val="bottom"/>
          </w:tcPr>
          <w:p>
            <w:pPr>
              <w:spacing w:after="0"/>
              <w:rPr>
                <w:sz w:val="16"/>
                <w:szCs w:val="16"/>
                <w:color w:val="auto"/>
              </w:rPr>
            </w:pPr>
          </w:p>
        </w:tc>
      </w:t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1"/>
              </w:rPr>
              <w:t>except share data)</w:t>
            </w:r>
          </w:p>
        </w:tc>
      </w:tr>
      <w:tr>
        <w:trPr>
          <w:trHeight w:val="256"/>
        </w:trPr>
        <w:tc>
          <w:tcPr>
            <w:tcW w:w="8800" w:type="dxa"/>
            <w:vAlign w:val="bottom"/>
            <w:tcBorders>
              <w:bottom w:val="single" w:sz="8" w:color="CCEEFF"/>
            </w:tcBorders>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1"/>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367.2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Investments in and amounts due from subsidiaries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4,111.1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3,831.6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97"/>
        </w:trPr>
        <w:tc>
          <w:tcPr>
            <w:tcW w:w="8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4,702.2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4,434.8</w:t>
            </w:r>
          </w:p>
        </w:tc>
      </w:tr>
      <w:tr>
        <w:trPr>
          <w:trHeight w:val="210"/>
        </w:trPr>
        <w:tc>
          <w:tcPr>
            <w:tcW w:w="8800" w:type="dxa"/>
            <w:vAlign w:val="bottom"/>
            <w:tcBorders>
              <w:bottom w:val="single" w:sz="8" w:color="CCEEFF"/>
            </w:tcBorders>
            <w:shd w:val="clear" w:color="auto" w:fill="CCEEFF"/>
          </w:tcPr>
          <w:p>
            <w:pPr>
              <w:jc w:val="center"/>
              <w:ind w:left="253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951.5</w:t>
            </w:r>
          </w:p>
        </w:tc>
      </w:tr>
      <w:tr>
        <w:trPr>
          <w:trHeight w:val="237"/>
        </w:trPr>
        <w:tc>
          <w:tcPr>
            <w:tcW w:w="8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990.4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4"/>
              </w:rPr>
              <w:t>Common stock, Class A, $0.0001 par value; authorized 600,000,000 shares at December 31, 2011 and 2010; issued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254,868,484, shares and 252,184,269 shares at December 31, 2011 and 2010, respectively</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$0.0001 par value; authorized 50,000,000 shares, issued and outstanding, none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3,798.6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3,745.0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Accumulated other comprehensive earnings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Less treasury stock, 34,190,969 shares and 28,435,980 shares at December 31, 2011 and December 31, 2010,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 at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equity of Fidelity National Financial, Inc. common shareholders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3,427.1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3,655.9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3,444.4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4,702.2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4,434.8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0"/>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0"/>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9"/>
              </w:rPr>
              <w:t>STATEMENTS OF OPERATIONS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income tax (benefit) expense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Earnings before earnings attributable to noncontrolling interest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222.3</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basic basis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224.7</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diluted basis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228.5</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(deficit),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780" w:type="dxa"/>
            <w:vAlign w:val="bottom"/>
          </w:tcPr>
          <w:p>
            <w:pPr>
              <w:jc w:val="center"/>
              <w:ind w:left="3570"/>
              <w:spacing w:after="0"/>
              <w:rPr>
                <w:sz w:val="20"/>
                <w:szCs w:val="20"/>
                <w:color w:val="auto"/>
              </w:rPr>
            </w:pPr>
            <w:r>
              <w:rPr>
                <w:rFonts w:ascii="Arial" w:cs="Arial" w:eastAsia="Arial" w:hAnsi="Arial"/>
                <w:sz w:val="18"/>
                <w:szCs w:val="18"/>
                <w:b w:val="1"/>
                <w:bCs w:val="1"/>
                <w:color w:val="auto"/>
              </w:rPr>
              <w:t>FIDELITY NATIONAL FINANCIAL, INC.</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1"/>
              </w:rPr>
              <w:t>(Parent Company)</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780" w:type="dxa"/>
            <w:vAlign w:val="bottom"/>
          </w:tcPr>
          <w:p>
            <w:pPr>
              <w:jc w:val="center"/>
              <w:ind w:left="3550"/>
              <w:spacing w:after="0"/>
              <w:rPr>
                <w:sz w:val="20"/>
                <w:szCs w:val="20"/>
                <w:color w:val="auto"/>
              </w:rPr>
            </w:pPr>
            <w:r>
              <w:rPr>
                <w:rFonts w:ascii="Arial" w:cs="Arial" w:eastAsia="Arial" w:hAnsi="Arial"/>
                <w:sz w:val="18"/>
                <w:szCs w:val="18"/>
                <w:b w:val="1"/>
                <w:bCs w:val="1"/>
                <w:color w:val="auto"/>
                <w:w w:val="98"/>
              </w:rPr>
              <w:t>STATEMENTS OF CASH FLOWS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2"/>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375.6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224.5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Equity in earnings of subsidiaries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on sales of investments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change in income taxes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(decrease) increase in accounts payable and other accrued liabilities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(purchases) proceeds of investments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additions to investments in subsidiaries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(purchases) proceeds from short-term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(purchases) sales of property, equipment and other assets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sale of Sedgwick CMS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offering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Debt service payments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borrowings (payments) and dividends from subsidiaries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Cash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2010 presentation to conform to the classifications used in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B.</w:t>
            </w:r>
          </w:p>
        </w:tc>
        <w:tc>
          <w:tcPr>
            <w:tcW w:w="8800" w:type="dxa"/>
            <w:vAlign w:val="bottom"/>
          </w:tcPr>
          <w:p>
            <w:pPr>
              <w:ind w:left="44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Notes payable consist of the following: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2"/>
        </w:trPr>
        <w:tc>
          <w:tcPr>
            <w:tcW w:w="2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220" w:type="dxa"/>
            <w:vAlign w:val="bottom"/>
          </w:tcPr>
          <w:p>
            <w:pPr>
              <w:spacing w:after="0"/>
              <w:rPr>
                <w:sz w:val="22"/>
                <w:szCs w:val="22"/>
                <w:color w:val="auto"/>
              </w:rPr>
            </w:pPr>
          </w:p>
        </w:tc>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2010</w:t>
            </w:r>
          </w:p>
        </w:tc>
      </w:tr>
      <w:tr>
        <w:trPr>
          <w:trHeight w:val="196"/>
        </w:trPr>
        <w:tc>
          <w:tcPr>
            <w:tcW w:w="2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r>
      <w:tr>
        <w:trPr>
          <w:trHeight w:val="256"/>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299.7</w:t>
            </w:r>
          </w:p>
        </w:tc>
      </w:tr>
      <w:tr>
        <w:trPr>
          <w:trHeight w:val="27"/>
        </w:trPr>
        <w:tc>
          <w:tcPr>
            <w:tcW w:w="9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236.2</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Unsecured notes, net of discount, interest payable semi-annually at 7.30%, due August 2011</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165.6</w:t>
            </w:r>
          </w:p>
        </w:tc>
      </w:tr>
      <w:tr>
        <w:trPr>
          <w:trHeight w:val="27"/>
        </w:trPr>
        <w:tc>
          <w:tcPr>
            <w:tcW w:w="9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Revolving credit facility, unsecured, unused portion of $825.0 at December 31, 2011, due March 2013 with interest payable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 at LIBOR + 2.00% (2.28% at December 31, 2011)</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r>
      <w:tr>
        <w:trPr>
          <w:trHeight w:val="237"/>
        </w:trPr>
        <w:tc>
          <w:tcPr>
            <w:tcW w:w="2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915.7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951.5</w:t>
            </w:r>
          </w:p>
        </w:tc>
      </w:tr>
      <w:tr>
        <w:trPr>
          <w:trHeight w:val="27"/>
        </w:trPr>
        <w:tc>
          <w:tcPr>
            <w:tcW w:w="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5"/>
        </w:trPr>
        <w:tc>
          <w:tcPr>
            <w:tcW w:w="8240" w:type="dxa"/>
            <w:vAlign w:val="bottom"/>
          </w:tcPr>
          <w:p>
            <w:pPr>
              <w:ind w:left="40"/>
              <w:spacing w:after="0"/>
              <w:rPr>
                <w:sz w:val="20"/>
                <w:szCs w:val="20"/>
                <w:color w:val="auto"/>
              </w:rPr>
            </w:pPr>
            <w:r>
              <w:rPr>
                <w:rFonts w:ascii="Arial" w:cs="Arial" w:eastAsia="Arial" w:hAnsi="Arial"/>
                <w:sz w:val="18"/>
                <w:szCs w:val="18"/>
                <w:color w:val="auto"/>
              </w:rPr>
              <w:t>Cash paid (received) during the year:</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Income tax payments (refunds)</w:t>
            </w:r>
          </w:p>
        </w:tc>
        <w:tc>
          <w:tcPr>
            <w:tcW w:w="2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2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$0.2 billion, $0.3 billion, and $0.2 billion during the years ended December 31, 2011, 2010, and 2009,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2010 and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Column C</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Column B</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Additions</w:t>
            </w: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Column E</w:t>
            </w:r>
          </w:p>
        </w:tc>
      </w:tr>
      <w:tr>
        <w:trPr>
          <w:trHeight w:val="264"/>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Charge to</w:t>
            </w: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Balance at</w:t>
            </w:r>
          </w:p>
        </w:tc>
      </w:tr>
      <w:tr>
        <w:trPr>
          <w:trHeight w:val="216"/>
        </w:trPr>
        <w:tc>
          <w:tcPr>
            <w:tcW w:w="4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Column A</w:t>
            </w:r>
          </w:p>
        </w:tc>
        <w:tc>
          <w:tcPr>
            <w:tcW w:w="36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Costs and</w:t>
            </w:r>
          </w:p>
        </w:tc>
        <w:tc>
          <w:tcPr>
            <w:tcW w:w="720" w:type="dxa"/>
            <w:vAlign w:val="bottom"/>
          </w:tcPr>
          <w:p>
            <w:pPr>
              <w:spacing w:after="0"/>
              <w:rPr>
                <w:sz w:val="18"/>
                <w:szCs w:val="18"/>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Deduction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End of</w:t>
            </w:r>
          </w:p>
        </w:tc>
      </w:tr>
      <w:tr>
        <w:trPr>
          <w:trHeight w:val="285"/>
        </w:trPr>
        <w:tc>
          <w:tcPr>
            <w:tcW w:w="4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1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Expenses</w:t>
            </w:r>
          </w:p>
        </w:tc>
        <w:tc>
          <w:tcPr>
            <w:tcW w:w="1820" w:type="dxa"/>
            <w:vAlign w:val="bottom"/>
            <w:gridSpan w:val="4"/>
          </w:tcPr>
          <w:p>
            <w:pPr>
              <w:ind w:left="600"/>
              <w:spacing w:after="0"/>
              <w:rPr>
                <w:sz w:val="20"/>
                <w:szCs w:val="20"/>
                <w:color w:val="auto"/>
              </w:rPr>
            </w:pPr>
            <w:r>
              <w:rPr>
                <w:rFonts w:ascii="Arial" w:cs="Arial" w:eastAsia="Arial" w:hAnsi="Arial"/>
                <w:sz w:val="14"/>
                <w:szCs w:val="14"/>
                <w:b w:val="1"/>
                <w:bCs w:val="1"/>
                <w:color w:val="auto"/>
              </w:rPr>
              <w:t>(Described)</w:t>
            </w:r>
          </w:p>
        </w:tc>
        <w:tc>
          <w:tcPr>
            <w:tcW w:w="240" w:type="dxa"/>
            <w:vAlign w:val="bottom"/>
          </w:tcPr>
          <w:p>
            <w:pPr>
              <w:spacing w:after="0"/>
              <w:rPr>
                <w:sz w:val="24"/>
                <w:szCs w:val="24"/>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(Described)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2,270.1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222.3</w:t>
            </w:r>
          </w:p>
        </w:tc>
        <w:tc>
          <w:tcPr>
            <w:tcW w:w="7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1,912.8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on trade and notes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366.5</w:t>
            </w:r>
          </w:p>
        </w:tc>
        <w:tc>
          <w:tcPr>
            <w:tcW w:w="7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635.6</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2,270.1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on trade and notes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2,735.7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296.7</w:t>
            </w:r>
          </w:p>
        </w:tc>
        <w:tc>
          <w:tcPr>
            <w:tcW w:w="7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490.1</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2,539.2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on trade and notes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29.5</w:t>
            </w:r>
          </w:p>
        </w:tc>
      </w:tr>
      <w:tr>
        <w:trPr>
          <w:trHeight w:val="243"/>
        </w:trPr>
        <w:tc>
          <w:tcPr>
            <w:tcW w:w="4180" w:type="dxa"/>
            <w:vAlign w:val="bottom"/>
            <w:gridSpan w:val="3"/>
          </w:tcPr>
          <w:p>
            <w:pPr>
              <w:jc w:val="right"/>
              <w:ind w:right="1660"/>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uncollectible accounts written-off, change in reserve due to reevaluation of specific items and change in reserve due to purchases and sales of certain assets.</w:t>
      </w: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purchase accounting adjustments recorded in the year ended December 31, 2009 related to the acquisition of certain title insurance underwriters from LandAmerica Financial Group, Inc. on December 22, 2008.</w:t>
      </w:r>
    </w:p>
    <w:p>
      <w:pPr>
        <w:ind w:left="660" w:right="2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a decrease to the reserve for claim losses as a result of discontinued operations related to our agreement to sell our at-risk insurance business. See note A under "Discontinued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800" w:type="dxa"/>
            <w:vAlign w:val="bottom"/>
            <w:gridSpan w:val="2"/>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1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58"/>
        </w:trPr>
        <w:tc>
          <w:tcPr>
            <w:tcW w:w="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960" w:hanging="359"/>
        <w:spacing w:after="0" w:line="264" w:lineRule="auto"/>
        <w:rPr>
          <w:sz w:val="20"/>
          <w:szCs w:val="20"/>
          <w:color w:val="auto"/>
        </w:rPr>
      </w:pPr>
      <w:r>
        <w:rPr>
          <w:rFonts w:ascii="Arial" w:cs="Arial" w:eastAsia="Arial" w:hAnsi="Arial"/>
          <w:sz w:val="18"/>
          <w:szCs w:val="18"/>
          <w:color w:val="auto"/>
        </w:rPr>
        <w:t>2.1 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spacing w:after="0" w:line="19"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3.1 Form of Amended and Restated Certificate of Incorporation of the Registrant (incorporated by reference to Exhibit 3.1 to the Registrant's Registration Statement on Form S-3 filed June 3, 2011)</w:t>
      </w:r>
    </w:p>
    <w:p>
      <w:pPr>
        <w:spacing w:after="0" w:line="8"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3.2 Amended and Restated Bylaws of the Registrant, as adopted on September 26, 2005 (incorporated by reference to Exhibit 3.2 to the Registrant’s Quarterly Report on Form 10-Q for the quarter ended September 30, 2005)</w:t>
      </w:r>
    </w:p>
    <w:p>
      <w:pPr>
        <w:spacing w:after="0" w:line="8" w:lineRule="exact"/>
        <w:rPr>
          <w:sz w:val="20"/>
          <w:szCs w:val="20"/>
          <w:color w:val="auto"/>
        </w:rPr>
      </w:pPr>
    </w:p>
    <w:p>
      <w:pPr>
        <w:jc w:val="both"/>
        <w:ind w:left="960" w:hanging="359"/>
        <w:spacing w:after="0" w:line="264" w:lineRule="auto"/>
        <w:rPr>
          <w:sz w:val="20"/>
          <w:szCs w:val="20"/>
          <w:color w:val="auto"/>
        </w:rPr>
      </w:pPr>
      <w:r>
        <w:rPr>
          <w:rFonts w:ascii="Arial" w:cs="Arial" w:eastAsia="Arial" w:hAnsi="Arial"/>
          <w:sz w:val="18"/>
          <w:szCs w:val="18"/>
          <w:color w:val="auto"/>
        </w:rPr>
        <w:t>4.1 Indenture between the Registrant and The Bank of New York Trust Company, N.A., dated December 8, 2005, relating to the 5.25% notes referred to below (incorporated by reference to Exhibit 4.1 to the Registrant’s Annual Report on Form 10-K for the year ended December 31, 2005)</w:t>
      </w:r>
    </w:p>
    <w:p>
      <w:pPr>
        <w:spacing w:after="0" w:line="19"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4.2 First Supplemental Indenture between the Registrant and the Bank of New York Trust Company, N.A., dated as of January 6, 2006 (incorporated by reference to Exhibit 4.1 to the Registrant’s Current Report on Form 8-K filed on January 24, 2006)</w:t>
      </w:r>
    </w:p>
    <w:p>
      <w:pPr>
        <w:spacing w:after="0" w:line="8" w:lineRule="exact"/>
        <w:rPr>
          <w:sz w:val="20"/>
          <w:szCs w:val="20"/>
          <w:color w:val="auto"/>
        </w:rPr>
      </w:pPr>
    </w:p>
    <w:p>
      <w:pPr>
        <w:jc w:val="both"/>
        <w:ind w:left="960" w:right="20" w:hanging="359"/>
        <w:spacing w:after="0" w:line="264" w:lineRule="auto"/>
        <w:rPr>
          <w:sz w:val="20"/>
          <w:szCs w:val="20"/>
          <w:color w:val="auto"/>
        </w:rPr>
      </w:pPr>
      <w:r>
        <w:rPr>
          <w:rFonts w:ascii="Arial" w:cs="Arial" w:eastAsia="Arial" w:hAnsi="Arial"/>
          <w:sz w:val="18"/>
          <w:szCs w:val="18"/>
          <w:color w:val="auto"/>
        </w:rPr>
        <w:t>4.3 Second Supplemental Indenture, dated May 5, 2010, between the Registrant and The Bank of New York Mellon Trust Company, N.A., dated as of May 5, 2010, relating to the 6.60% notes referred to below (incorporated by reference to Exhibit 4.1 to the Registrant's Current Report on Form 8-K filed on May 5, 2010)</w:t>
      </w:r>
    </w:p>
    <w:p>
      <w:pPr>
        <w:spacing w:after="0" w:line="235" w:lineRule="exact"/>
        <w:rPr>
          <w:sz w:val="20"/>
          <w:szCs w:val="20"/>
          <w:color w:val="auto"/>
        </w:rPr>
      </w:pPr>
    </w:p>
    <w:p>
      <w:pPr>
        <w:jc w:val="both"/>
        <w:ind w:left="960" w:hanging="359"/>
        <w:spacing w:after="0" w:line="277" w:lineRule="auto"/>
        <w:rPr>
          <w:sz w:val="20"/>
          <w:szCs w:val="20"/>
          <w:color w:val="auto"/>
        </w:rPr>
      </w:pPr>
      <w:r>
        <w:rPr>
          <w:rFonts w:ascii="Arial" w:cs="Arial" w:eastAsia="Arial" w:hAnsi="Arial"/>
          <w:sz w:val="18"/>
          <w:szCs w:val="18"/>
          <w:color w:val="auto"/>
        </w:rPr>
        <w:t>4.4 Form of Subordinated Indenture between the Registrant and the Bank of New York Trust Company, N.A. (incorporated by reference to Exhibit 4.2(A) to the Registrant’s Registration Statement on Form S-3 filed on November 14, 2007)</w:t>
      </w:r>
    </w:p>
    <w:p>
      <w:pPr>
        <w:spacing w:after="0" w:line="8" w:lineRule="exact"/>
        <w:rPr>
          <w:sz w:val="20"/>
          <w:szCs w:val="20"/>
          <w:color w:val="auto"/>
        </w:rPr>
      </w:pPr>
    </w:p>
    <w:p>
      <w:pPr>
        <w:jc w:val="both"/>
        <w:ind w:left="960" w:hanging="359"/>
        <w:spacing w:after="0" w:line="277" w:lineRule="auto"/>
        <w:rPr>
          <w:sz w:val="20"/>
          <w:szCs w:val="20"/>
          <w:color w:val="auto"/>
        </w:rPr>
      </w:pPr>
      <w:r>
        <w:rPr>
          <w:rFonts w:ascii="Arial" w:cs="Arial" w:eastAsia="Arial" w:hAnsi="Arial"/>
          <w:sz w:val="18"/>
          <w:szCs w:val="18"/>
          <w:color w:val="auto"/>
        </w:rPr>
        <w:t>4.5 Form of 5.25% note due March 15, 2013 (incorporated by reference to Exhibit 4.7 to the Registrant’s Registration Statement on Form S-4 filed on October 28, 2005)</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4.6  Form of 6.60% Note due 2017 (incorporated by reference to Exhibit 4.3 to the Registrant's Current Report on Form 8-K filed on May 5, 2010)</w:t>
      </w:r>
    </w:p>
    <w:p>
      <w:pPr>
        <w:spacing w:after="0" w:line="302"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4.7 Form of 4.25% Convertible Note due August 2018 (incorporated by reference to Exhibit 4.5 to the Registrant's Current Report on Form 8-K filed on August 2, 2011)</w:t>
      </w:r>
    </w:p>
    <w:p>
      <w:pPr>
        <w:spacing w:after="0" w:line="8" w:lineRule="exact"/>
        <w:rPr>
          <w:sz w:val="20"/>
          <w:szCs w:val="20"/>
          <w:color w:val="auto"/>
        </w:rPr>
      </w:pPr>
    </w:p>
    <w:p>
      <w:pPr>
        <w:jc w:val="both"/>
        <w:ind w:left="960" w:right="20" w:hanging="359"/>
        <w:spacing w:after="0" w:line="277" w:lineRule="auto"/>
        <w:rPr>
          <w:sz w:val="20"/>
          <w:szCs w:val="20"/>
          <w:color w:val="auto"/>
        </w:rPr>
      </w:pPr>
      <w:r>
        <w:rPr>
          <w:rFonts w:ascii="Arial" w:cs="Arial" w:eastAsia="Arial" w:hAnsi="Arial"/>
          <w:sz w:val="18"/>
          <w:szCs w:val="18"/>
          <w:color w:val="auto"/>
        </w:rPr>
        <w:t>4.8 Form of the Registrant’s Common Stock Certificate (incorporated by reference to Exhibit 4.5 to the Registrant’s Annual Report on Form 10-K for the year ended December 31, 2006 (the “2006 Annual Report”)</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10.1  Credit Agreement among the Registrant, Bank of America, N.A., and certain agents and other lenders party thereto, dated as of September 12,</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2006 (incorporated by reference to Exhibit 10.1 to the Registrant’s Current Report on Form 8-K filed on October 30, 2006)</w:t>
      </w:r>
    </w:p>
    <w:p>
      <w:pPr>
        <w:spacing w:after="0" w:line="265" w:lineRule="exact"/>
        <w:rPr>
          <w:sz w:val="20"/>
          <w:szCs w:val="20"/>
          <w:color w:val="auto"/>
        </w:rPr>
      </w:pPr>
    </w:p>
    <w:p>
      <w:pPr>
        <w:jc w:val="both"/>
        <w:ind w:left="960" w:right="20" w:hanging="449"/>
        <w:spacing w:after="0" w:line="264" w:lineRule="auto"/>
        <w:rPr>
          <w:sz w:val="20"/>
          <w:szCs w:val="20"/>
          <w:color w:val="auto"/>
        </w:rPr>
      </w:pPr>
      <w:r>
        <w:rPr>
          <w:rFonts w:ascii="Arial" w:cs="Arial" w:eastAsia="Arial" w:hAnsi="Arial"/>
          <w:sz w:val="18"/>
          <w:szCs w:val="18"/>
          <w:color w:val="auto"/>
        </w:rPr>
        <w:t>10.2 Amendment and Restatement Agreement dated as of March 5, 2010 to the Credit Agreement among the Registrant, Bank of America, N.A., and certain agents and other lenders party thereto (incorporated by reference to Exhibit 10.1 to the Registrant’s Current Report on Form 8-K filed on March 10, 2010)</w:t>
      </w:r>
    </w:p>
    <w:p>
      <w:pPr>
        <w:spacing w:after="0" w:line="19" w:lineRule="exact"/>
        <w:rPr>
          <w:sz w:val="20"/>
          <w:szCs w:val="20"/>
          <w:color w:val="auto"/>
        </w:rPr>
      </w:pPr>
    </w:p>
    <w:p>
      <w:pPr>
        <w:jc w:val="both"/>
        <w:ind w:left="960" w:right="20" w:hanging="449"/>
        <w:spacing w:after="0" w:line="277" w:lineRule="auto"/>
        <w:rPr>
          <w:sz w:val="20"/>
          <w:szCs w:val="20"/>
          <w:color w:val="auto"/>
        </w:rPr>
      </w:pPr>
      <w:r>
        <w:rPr>
          <w:rFonts w:ascii="Arial" w:cs="Arial" w:eastAsia="Arial" w:hAnsi="Arial"/>
          <w:sz w:val="18"/>
          <w:szCs w:val="18"/>
          <w:color w:val="auto"/>
        </w:rPr>
        <w:t>10.3 Amended and Restated Fidelity National Financial, Inc. 2005 Omnibus Incentive Plan, effective as of September 26, 2005 (incorporated by reference to Annex A to the Registrant’s Schedule 14A filed on April 11, 2011)(1)</w:t>
      </w:r>
    </w:p>
    <w:p>
      <w:pPr>
        <w:spacing w:after="0" w:line="8" w:lineRule="exact"/>
        <w:rPr>
          <w:sz w:val="20"/>
          <w:szCs w:val="20"/>
          <w:color w:val="auto"/>
        </w:rPr>
      </w:pPr>
    </w:p>
    <w:p>
      <w:pPr>
        <w:jc w:val="both"/>
        <w:ind w:left="960" w:right="20" w:hanging="449"/>
        <w:spacing w:after="0" w:line="277" w:lineRule="auto"/>
        <w:rPr>
          <w:sz w:val="20"/>
          <w:szCs w:val="20"/>
          <w:color w:val="auto"/>
        </w:rPr>
      </w:pPr>
      <w:r>
        <w:rPr>
          <w:rFonts w:ascii="Arial" w:cs="Arial" w:eastAsia="Arial" w:hAnsi="Arial"/>
          <w:sz w:val="18"/>
          <w:szCs w:val="18"/>
          <w:color w:val="auto"/>
        </w:rPr>
        <w:t>10.4 Fidelity National Title Group, Inc. Employee Stock Purchase Plan, effective as of September 26, 2005 (incorporated by reference to Exhibit 10.50 to the Registrant’s Quarterly Report on Form 10-Q for the quarter ended September 30, 2005)(1)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40" w:type="dxa"/>
            <w:vAlign w:val="bottom"/>
            <w:vMerge w:val="restart"/>
          </w:tcPr>
          <w:p>
            <w:pPr>
              <w:ind w:left="25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960" w:right="20" w:hanging="449"/>
        <w:spacing w:after="0" w:line="264" w:lineRule="auto"/>
        <w:rPr>
          <w:sz w:val="20"/>
          <w:szCs w:val="20"/>
          <w:color w:val="auto"/>
        </w:rPr>
      </w:pPr>
      <w:r>
        <w:rPr>
          <w:rFonts w:ascii="Arial" w:cs="Arial" w:eastAsia="Arial" w:hAnsi="Arial"/>
          <w:sz w:val="18"/>
          <w:szCs w:val="18"/>
          <w:color w:val="auto"/>
        </w:rPr>
        <w:t>10.5 Form of Notice of Restricted Stock Grant and Restricted Stock Award Agreement under Amended and Restated Fidelity National Financial, Inc. 2005 Omnibus Incentive Plan (incorporated by reference to Exhibit 10.5 to the Registrant’s Annual Report on Form 10-K for the year ended December 31, 2008).(1)</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10.6  Form of Notice of Restricted Stock Grant and Restricted Stock Award Agreement under Amended and Restated Fidelity National Financial, Inc.</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2005 Omnibus Incentive Plan for October 2011 awards.(1)</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10.7  Form of Notice of Restricted Stock Grant and Restricted Stock Award Agreement under Amended and Restated Fidelity National Financial, Inc.</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2010 awards (incorporated by reference to Exhibit 10.7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2010).(1)</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10.8  Form of Notice of Restricted Stock Grant and Restricted Stock Award Agreement under Amended and Restated Fidelity National Financial, Inc.</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2009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2009).(1)</w:t>
      </w:r>
    </w:p>
    <w:p>
      <w:pPr>
        <w:spacing w:after="0" w:line="49" w:lineRule="exact"/>
        <w:rPr>
          <w:sz w:val="20"/>
          <w:szCs w:val="20"/>
          <w:color w:val="auto"/>
        </w:rPr>
      </w:pPr>
    </w:p>
    <w:p>
      <w:pPr>
        <w:jc w:val="both"/>
        <w:ind w:left="960" w:right="20" w:hanging="449"/>
        <w:spacing w:after="0" w:line="264" w:lineRule="auto"/>
        <w:rPr>
          <w:sz w:val="20"/>
          <w:szCs w:val="20"/>
          <w:color w:val="auto"/>
        </w:rPr>
      </w:pPr>
      <w:r>
        <w:rPr>
          <w:rFonts w:ascii="Arial" w:cs="Arial" w:eastAsia="Arial" w:hAnsi="Arial"/>
          <w:sz w:val="18"/>
          <w:szCs w:val="18"/>
          <w:color w:val="auto"/>
        </w:rPr>
        <w:t>10.9 Form of Notice of Stock Option Grant and Stock Option Award Agreement under Amended and Restated Fidelity National Financial, Inc. 2005 Omnibus Incentive Plan (incorporated by reference to Exhibit 10.6 to the Registrant’s Annual Report on Form 10-K for the year ended December 31, 2008).(1)</w:t>
      </w:r>
    </w:p>
    <w:p>
      <w:pPr>
        <w:spacing w:after="0" w:line="19" w:lineRule="exact"/>
        <w:rPr>
          <w:sz w:val="20"/>
          <w:szCs w:val="20"/>
          <w:color w:val="auto"/>
        </w:rPr>
      </w:pPr>
    </w:p>
    <w:p>
      <w:pPr>
        <w:jc w:val="both"/>
        <w:ind w:left="960" w:right="20" w:hanging="539"/>
        <w:spacing w:after="0" w:line="277" w:lineRule="auto"/>
        <w:rPr>
          <w:sz w:val="20"/>
          <w:szCs w:val="20"/>
          <w:color w:val="auto"/>
        </w:rPr>
      </w:pPr>
      <w:r>
        <w:rPr>
          <w:rFonts w:ascii="Arial" w:cs="Arial" w:eastAsia="Arial" w:hAnsi="Arial"/>
          <w:sz w:val="18"/>
          <w:szCs w:val="18"/>
          <w:color w:val="auto"/>
        </w:rPr>
        <w:t>10.10 Tax Disaffiliation Agreement by and among Old FNF, the Registrant and FIS, dated as of October 23, 2006 (incorporated by reference to Exhibit 99.1 to Old FNF’s Form 8-K, filed on October 27, 2006)</w:t>
      </w:r>
    </w:p>
    <w:p>
      <w:pPr>
        <w:spacing w:after="0" w:line="8" w:lineRule="exact"/>
        <w:rPr>
          <w:sz w:val="20"/>
          <w:szCs w:val="20"/>
          <w:color w:val="auto"/>
        </w:rPr>
      </w:pPr>
    </w:p>
    <w:p>
      <w:pPr>
        <w:jc w:val="both"/>
        <w:ind w:left="960" w:hanging="532"/>
        <w:spacing w:after="0" w:line="277" w:lineRule="auto"/>
        <w:rPr>
          <w:sz w:val="20"/>
          <w:szCs w:val="20"/>
          <w:color w:val="auto"/>
        </w:rPr>
      </w:pPr>
      <w:r>
        <w:rPr>
          <w:rFonts w:ascii="Arial" w:cs="Arial" w:eastAsia="Arial" w:hAnsi="Arial"/>
          <w:sz w:val="18"/>
          <w:szCs w:val="18"/>
          <w:color w:val="auto"/>
        </w:rPr>
        <w:t>10.11 Cross-Indemnity Agreement by and between the Registrant and FIS, dated as of October 23, 2006 (incorporated by reference to Exhibit 99.2 to FIS’s Form 8-K, filed on October 27, 2006)</w:t>
      </w:r>
    </w:p>
    <w:p>
      <w:pPr>
        <w:spacing w:after="0" w:line="8" w:lineRule="exact"/>
        <w:rPr>
          <w:sz w:val="20"/>
          <w:szCs w:val="20"/>
          <w:color w:val="auto"/>
        </w:rPr>
      </w:pPr>
    </w:p>
    <w:p>
      <w:pPr>
        <w:jc w:val="both"/>
        <w:ind w:left="960" w:right="20" w:hanging="539"/>
        <w:spacing w:after="0" w:line="298" w:lineRule="auto"/>
        <w:rPr>
          <w:sz w:val="20"/>
          <w:szCs w:val="20"/>
          <w:color w:val="auto"/>
        </w:rPr>
      </w:pPr>
      <w:r>
        <w:rPr>
          <w:rFonts w:ascii="Arial" w:cs="Arial" w:eastAsia="Arial" w:hAnsi="Arial"/>
          <w:sz w:val="17"/>
          <w:szCs w:val="17"/>
          <w:color w:val="auto"/>
        </w:rPr>
        <w:t>10.12 Amended and Restated Employment Agreement between the registrant and George P. Scanlon, effective as of November 1, 2010. (incorporated by reference to Exhibit 10.2 to the Registrant's Quarterly Report on Form 10-Q for the period ended September 30, 2010) (1)</w:t>
      </w:r>
    </w:p>
    <w:p>
      <w:pPr>
        <w:spacing w:after="0" w:line="1" w:lineRule="exact"/>
        <w:rPr>
          <w:sz w:val="20"/>
          <w:szCs w:val="20"/>
          <w:color w:val="auto"/>
        </w:rPr>
      </w:pPr>
    </w:p>
    <w:p>
      <w:pPr>
        <w:jc w:val="both"/>
        <w:ind w:left="960" w:right="20" w:hanging="539"/>
        <w:spacing w:after="0" w:line="308" w:lineRule="auto"/>
        <w:rPr>
          <w:sz w:val="20"/>
          <w:szCs w:val="20"/>
          <w:color w:val="auto"/>
        </w:rPr>
      </w:pPr>
      <w:r>
        <w:rPr>
          <w:rFonts w:ascii="Arial" w:cs="Arial" w:eastAsia="Arial" w:hAnsi="Arial"/>
          <w:sz w:val="17"/>
          <w:szCs w:val="17"/>
          <w:color w:val="auto"/>
        </w:rPr>
        <w:t>10.13 Amended and Restated Employment Agreement between the registrant and Daniel K. Murphy, effective as of September 30, 2010. (incorporated by reference to Exhibit 10.1 to the Registrant's Quarterly Report on Form 10-Q for the period ended September 30, 2010)(1)</w:t>
      </w:r>
    </w:p>
    <w:p>
      <w:pPr>
        <w:spacing w:after="0" w:line="201" w:lineRule="exact"/>
        <w:rPr>
          <w:sz w:val="20"/>
          <w:szCs w:val="20"/>
          <w:color w:val="auto"/>
        </w:rPr>
      </w:pPr>
    </w:p>
    <w:p>
      <w:pPr>
        <w:jc w:val="both"/>
        <w:ind w:left="960" w:hanging="539"/>
        <w:spacing w:after="0" w:line="277" w:lineRule="auto"/>
        <w:rPr>
          <w:sz w:val="20"/>
          <w:szCs w:val="20"/>
          <w:color w:val="auto"/>
        </w:rPr>
      </w:pPr>
      <w:r>
        <w:rPr>
          <w:rFonts w:ascii="Arial" w:cs="Arial" w:eastAsia="Arial" w:hAnsi="Arial"/>
          <w:sz w:val="18"/>
          <w:szCs w:val="18"/>
          <w:color w:val="auto"/>
        </w:rPr>
        <w:t>10.14 Amended and Restated Employment Agreement between the Registrant and Anthony J. Park, effective as of October 10, 2008 (incorporated by reference to Exhibit 10.11 to Registrant’s Annual Report on Form 10-K for the year ended December 31, 2008).(1)</w:t>
      </w:r>
    </w:p>
    <w:p>
      <w:pPr>
        <w:spacing w:after="0" w:line="8"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10.15 Amendment effective February 4, 2010 to Amended and Restated Employment Agreement between the Registrant and Anthony J. Park, effective as of October 10, 2008(incorporated by reference to Exhibit 10.13 to the Registrant's Annual Report on Form 10-K for the year ended December 31, 2009)(1)</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10.16  Amended and Restated Employment Agreement between the Registrant and Brent B. Bickett, effective as of January 1, 2012. (1)</w:t>
      </w:r>
    </w:p>
    <w:p>
      <w:pPr>
        <w:spacing w:after="0" w:line="63"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10.17 Amendment effective February 4, 2010 to Amended and Restated Employment Agreement between the Registrant and Brent B. Bickett, effective as of July 2, 2008(incorporated by reference to Exhibit 10.15 to the Registrant's Annual Report on Form 10-K for the year ended December 31, 2009)(1)</w:t>
      </w:r>
    </w:p>
    <w:p>
      <w:pPr>
        <w:spacing w:after="0" w:line="19"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10.18 Amendment effective February 4, 2010 to Amended and Restated Employment Agreement between the Registrant and William P. Foley, II, effective as of July 2, 2008(incorporated by reference to Exhibit 10.17 to the Registrant's Annual Report on Form 10-K for the year ended December 31, 2009)(1).</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10.19  Amended and Restated Employment Agreement between the Registrant and Raymond R. Quirk, effective as of October 10, 2008(1)</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p>
      <w:pPr>
        <w:spacing w:after="0" w:line="49" w:lineRule="exact"/>
        <w:rPr>
          <w:sz w:val="20"/>
          <w:szCs w:val="20"/>
          <w:color w:val="auto"/>
        </w:rPr>
      </w:pPr>
    </w:p>
    <w:p>
      <w:pPr>
        <w:jc w:val="both"/>
        <w:ind w:left="960" w:right="20" w:hanging="539"/>
        <w:spacing w:after="0" w:line="264" w:lineRule="auto"/>
        <w:rPr>
          <w:sz w:val="20"/>
          <w:szCs w:val="20"/>
          <w:color w:val="auto"/>
        </w:rPr>
      </w:pPr>
      <w:r>
        <w:rPr>
          <w:rFonts w:ascii="Arial" w:cs="Arial" w:eastAsia="Arial" w:hAnsi="Arial"/>
          <w:sz w:val="18"/>
          <w:szCs w:val="18"/>
          <w:color w:val="auto"/>
        </w:rPr>
        <w:t>10.20 Amendment effective February 4, 2010 to Amended and Restated Employment Agreement between the Registrant and Raymond R. Quirk, effective as of October 10, 2008(incorporated by reference to Exhibit 10.21 to the Registrant's Annual Report on Form 10-K for the year ended December 31, 2009)(1)</w:t>
      </w:r>
    </w:p>
    <w:p>
      <w:pPr>
        <w:spacing w:after="0" w:line="19" w:lineRule="exact"/>
        <w:rPr>
          <w:sz w:val="20"/>
          <w:szCs w:val="20"/>
          <w:color w:val="auto"/>
        </w:rPr>
      </w:pPr>
    </w:p>
    <w:p>
      <w:pPr>
        <w:jc w:val="both"/>
        <w:ind w:left="960" w:right="20" w:hanging="539"/>
        <w:spacing w:after="0" w:line="317" w:lineRule="auto"/>
        <w:rPr>
          <w:sz w:val="20"/>
          <w:szCs w:val="20"/>
          <w:color w:val="auto"/>
        </w:rPr>
      </w:pPr>
      <w:r>
        <w:rPr>
          <w:rFonts w:ascii="Arial" w:cs="Arial" w:eastAsia="Arial" w:hAnsi="Arial"/>
          <w:sz w:val="16"/>
          <w:szCs w:val="16"/>
          <w:color w:val="auto"/>
        </w:rPr>
        <w:t>10.21 Amended and Restated Employment Agreement between the Registrant and Michael L. Gravelle, effective as of January 1, 2010(incorporated by reference to Exhibit 10.22 to the Registrant's Annual Report on Form 10-K for the year ended December 31, 2009)(1)</w:t>
      </w:r>
    </w:p>
    <w:p>
      <w:pPr>
        <w:ind w:left="420"/>
        <w:spacing w:after="0"/>
        <w:rPr>
          <w:sz w:val="20"/>
          <w:szCs w:val="20"/>
          <w:color w:val="auto"/>
        </w:rPr>
      </w:pPr>
      <w:r>
        <w:rPr>
          <w:rFonts w:ascii="Arial" w:cs="Arial" w:eastAsia="Arial" w:hAnsi="Arial"/>
          <w:sz w:val="16"/>
          <w:szCs w:val="16"/>
          <w:color w:val="auto"/>
        </w:rPr>
        <w:t>10.22  Fidelity National Title Group, Inc. Annual Incentive Plan (incorporated by reference to Annex B to the Registrant's Schedule 14A filed on April</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11, 2011).(1)</w:t>
      </w:r>
    </w:p>
    <w:p>
      <w:pPr>
        <w:spacing w:after="0" w:line="49" w:lineRule="exact"/>
        <w:rPr>
          <w:sz w:val="20"/>
          <w:szCs w:val="20"/>
          <w:color w:val="auto"/>
        </w:rPr>
      </w:pPr>
    </w:p>
    <w:p>
      <w:pPr>
        <w:jc w:val="both"/>
        <w:ind w:left="960" w:right="20" w:hanging="539"/>
        <w:spacing w:after="0" w:line="277" w:lineRule="auto"/>
        <w:rPr>
          <w:sz w:val="20"/>
          <w:szCs w:val="20"/>
          <w:color w:val="auto"/>
        </w:rPr>
      </w:pPr>
      <w:r>
        <w:rPr>
          <w:rFonts w:ascii="Arial" w:cs="Arial" w:eastAsia="Arial" w:hAnsi="Arial"/>
          <w:sz w:val="18"/>
          <w:szCs w:val="18"/>
          <w:color w:val="auto"/>
        </w:rPr>
        <w:t>10.23 Fidelity National Financial, Inc. Deferred Compensation Plan, as amended and restated, effective January 1, 2009 (incorporated by reference to Exhibit 10.18 to the Registrant’s Annual Report on Form 10-K for the year ended December 31, 2008)(1)</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21.1  Subsidiaries of the Registrant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400" w:type="dxa"/>
            <w:vAlign w:val="bottom"/>
            <w:vMerge w:val="restart"/>
          </w:tcPr>
          <w:p>
            <w:pPr>
              <w:ind w:left="2500"/>
              <w:spacing w:after="0"/>
              <w:rPr>
                <w:sz w:val="20"/>
                <w:szCs w:val="20"/>
                <w:color w:val="auto"/>
              </w:rPr>
            </w:pPr>
            <w:r>
              <w:rPr>
                <w:rFonts w:ascii="Arial" w:cs="Arial" w:eastAsia="Arial" w:hAnsi="Arial"/>
                <w:sz w:val="18"/>
                <w:szCs w:val="18"/>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23.1  Consent of KPMG LLP, Independent Registered Public Accounting Firm</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63" w:lineRule="exact"/>
        <w:rPr>
          <w:sz w:val="20"/>
          <w:szCs w:val="20"/>
          <w:color w:val="auto"/>
        </w:rPr>
      </w:pPr>
    </w:p>
    <w:p>
      <w:pPr>
        <w:ind w:left="500" w:firstLine="450"/>
        <w:spacing w:after="0" w:line="277" w:lineRule="auto"/>
        <w:rPr>
          <w:sz w:val="20"/>
          <w:szCs w:val="20"/>
          <w:color w:val="auto"/>
        </w:rPr>
      </w:pPr>
      <w:r>
        <w:rPr>
          <w:rFonts w:ascii="Arial" w:cs="Arial" w:eastAsia="Arial" w:hAnsi="Arial"/>
          <w:sz w:val="18"/>
          <w:szCs w:val="18"/>
          <w:color w:val="auto"/>
        </w:rPr>
        <w:t>Certification by Chief Executive Officer of Periodic Financial Reports pursuant to Section 906 of the Sarbanes-Oxley Act of 2002, 18 U.S.C. 32.1 Section 1350</w:t>
      </w:r>
    </w:p>
    <w:p>
      <w:pPr>
        <w:spacing w:after="0" w:line="8" w:lineRule="exact"/>
        <w:rPr>
          <w:sz w:val="20"/>
          <w:szCs w:val="20"/>
          <w:color w:val="auto"/>
        </w:rPr>
      </w:pPr>
    </w:p>
    <w:p>
      <w:pPr>
        <w:ind w:left="500" w:right="40" w:firstLine="450"/>
        <w:spacing w:after="0" w:line="277" w:lineRule="auto"/>
        <w:rPr>
          <w:sz w:val="20"/>
          <w:szCs w:val="20"/>
          <w:color w:val="auto"/>
        </w:rPr>
      </w:pPr>
      <w:r>
        <w:rPr>
          <w:rFonts w:ascii="Arial" w:cs="Arial" w:eastAsia="Arial" w:hAnsi="Arial"/>
          <w:sz w:val="18"/>
          <w:szCs w:val="18"/>
          <w:color w:val="auto"/>
        </w:rPr>
        <w:t>Certification by Chief Financial Officer of Periodic Financial Reports pursuant to Section 906 of the Sarbanes-Oxley Act of 2002, 18 U.S.C. 32.2 Section 1350</w:t>
      </w:r>
    </w:p>
    <w:p>
      <w:pPr>
        <w:spacing w:after="0" w:line="19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100</w:t>
      </w:r>
    </w:p>
    <w:p>
      <w:pPr>
        <w:sectPr>
          <w:pgSz w:w="11900" w:h="16838" w:orient="portrait"/>
          <w:cols w:equalWidth="0" w:num="1">
            <w:col w:w="11120"/>
          </w:cols>
          <w:pgMar w:left="240" w:top="125" w:right="5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Common Stock (the “Restricted Stock”) of Fidelity National Financial, Inc. (the “Company”), par value $0.0001 per share (the “Shares”), pursuant to the Fidelity National Financial, Inc. (f/k/a Fidelity National Title Group, Inc.) Amended and Restated 2005 Omnibus Incentive Plan (the “Plan”):</w:t>
      </w:r>
    </w:p>
    <w:p>
      <w:pPr>
        <w:sectPr>
          <w:pgSz w:w="11900" w:h="16838" w:orient="portrait"/>
          <w:cols w:equalWidth="0" w:num="1">
            <w:col w:w="11420"/>
          </w:cols>
          <w:pgMar w:left="240" w:top="5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1660" w:space="720"/>
            <w:col w:w="904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Restricted Stock Granted: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200" w:lineRule="exact"/>
        <w:rPr>
          <w:sz w:val="20"/>
          <w:szCs w:val="20"/>
          <w:color w:val="auto"/>
        </w:rPr>
      </w:pPr>
    </w:p>
    <w:p>
      <w:pPr>
        <w:sectPr>
          <w:pgSz w:w="11900" w:h="16838" w:orient="portrait"/>
          <w:cols w:equalWidth="0" w:num="2">
            <w:col w:w="3420" w:space="540"/>
            <w:col w:w="7460"/>
          </w:cols>
          <w:pgMar w:left="240" w:top="5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Grant: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28, 2011</w:t>
      </w:r>
    </w:p>
    <w:p>
      <w:pPr>
        <w:spacing w:after="0" w:line="200" w:lineRule="exact"/>
        <w:rPr>
          <w:sz w:val="20"/>
          <w:szCs w:val="20"/>
          <w:color w:val="auto"/>
        </w:rPr>
      </w:pPr>
    </w:p>
    <w:p>
      <w:pPr>
        <w:sectPr>
          <w:pgSz w:w="11900" w:h="16838" w:orient="portrait"/>
          <w:cols w:equalWidth="0" w:num="2">
            <w:col w:w="2100" w:space="720"/>
            <w:col w:w="860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Vesting and Period of Restriction: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See Exhibit A</w:t>
      </w:r>
    </w:p>
    <w:p>
      <w:pPr>
        <w:spacing w:after="0" w:line="200" w:lineRule="exact"/>
        <w:rPr>
          <w:sz w:val="20"/>
          <w:szCs w:val="20"/>
          <w:color w:val="auto"/>
        </w:rPr>
      </w:pPr>
    </w:p>
    <w:p>
      <w:pPr>
        <w:sectPr>
          <w:pgSz w:w="11900" w:h="16838" w:orient="portrait"/>
          <w:cols w:equalWidth="0" w:num="2">
            <w:col w:w="2440" w:space="720"/>
            <w:col w:w="8260"/>
          </w:cols>
          <w:pgMar w:left="240" w:top="580" w:right="239" w:bottom="1440" w:gutter="0" w:footer="0" w:header="0"/>
          <w:type w:val="continuous"/>
        </w:sectPr>
      </w:pP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By your signature and the signature of the Company's representative below, you and the Company agree and acknowledge that this grant of Restricted Stock is granted under and governed by the terms and conditions of the Plan and the attached Restricted Stock Award Agreement, which are incorporated herein by reference, and that you have been provided with a copy of the Plan and Restricted Stock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Grantee:</w:t>
            </w: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Fidelity National Financial, Inc.</w:t>
            </w:r>
          </w:p>
        </w:tc>
      </w:tr>
      <w:tr>
        <w:trPr>
          <w:trHeight w:val="270"/>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By:</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Address:</w:t>
            </w:r>
          </w:p>
        </w:tc>
        <w:tc>
          <w:tcPr>
            <w:tcW w:w="16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318"/>
        </w:trPr>
        <w:tc>
          <w:tcPr>
            <w:tcW w:w="4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8"/>
        </w:trPr>
        <w:tc>
          <w:tcPr>
            <w:tcW w:w="4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firstLine="8"/>
        <w:spacing w:after="0" w:line="313" w:lineRule="auto"/>
        <w:tabs>
          <w:tab w:leader="none" w:pos="90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76" w:lineRule="exact"/>
        <w:rPr>
          <w:rFonts w:ascii="Arial" w:cs="Arial" w:eastAsia="Arial" w:hAnsi="Arial"/>
          <w:sz w:val="18"/>
          <w:szCs w:val="18"/>
          <w:b w:val="1"/>
          <w:bCs w:val="1"/>
          <w:color w:val="auto"/>
        </w:rPr>
      </w:pPr>
    </w:p>
    <w:p>
      <w:pPr>
        <w:jc w:val="both"/>
        <w:ind w:firstLine="8"/>
        <w:spacing w:after="0" w:line="308" w:lineRule="auto"/>
        <w:tabs>
          <w:tab w:leader="none" w:pos="91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left="920" w:hanging="912"/>
        <w:spacing w:after="0"/>
        <w:tabs>
          <w:tab w:leader="none" w:pos="9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w:t>
      </w:r>
    </w:p>
    <w:p>
      <w:pPr>
        <w:spacing w:after="0" w:line="53" w:lineRule="exact"/>
        <w:rPr>
          <w:rFonts w:ascii="Arial" w:cs="Arial" w:eastAsia="Arial" w:hAnsi="Arial"/>
          <w:sz w:val="18"/>
          <w:szCs w:val="18"/>
          <w:b w:val="1"/>
          <w:bCs w:val="1"/>
          <w:color w:val="auto"/>
        </w:rPr>
      </w:pPr>
    </w:p>
    <w:p>
      <w:pPr>
        <w:jc w:val="both"/>
        <w:ind w:firstLine="656"/>
        <w:spacing w:after="0" w:line="306" w:lineRule="auto"/>
        <w:tabs>
          <w:tab w:leader="none" w:pos="14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Grantee's employment is terminated for any reason other than death, Disability (as defined below), termination by the Company and its Subsidiaries without Cause (as defined below) or termination by the Grantee with Good Reason (as defined below), the Grantee shall, for no consideration, forfeit to the Company the Shares of Restricted Stock to the extent such Shares are subject to a Period of Restriction at the time of such termination.</w:t>
      </w:r>
    </w:p>
    <w:p>
      <w:pPr>
        <w:spacing w:after="0" w:line="186" w:lineRule="exact"/>
        <w:rPr>
          <w:rFonts w:ascii="Arial" w:cs="Arial" w:eastAsia="Arial" w:hAnsi="Arial"/>
          <w:sz w:val="18"/>
          <w:szCs w:val="18"/>
          <w:color w:val="auto"/>
        </w:rPr>
      </w:pPr>
    </w:p>
    <w:p>
      <w:pPr>
        <w:jc w:val="both"/>
        <w:ind w:firstLine="656"/>
        <w:spacing w:after="0" w:line="292" w:lineRule="auto"/>
        <w:tabs>
          <w:tab w:leader="none" w:pos="15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Unless otherwise provided for in Grantee's employment agreement with the Company or a Subsidiary thereof (if any), if (A) the Grantee's employment is terminated due to the Grantee's death or Disability, and (B) the Performance Restriction (as defined in Exhibit A) has been satisfied as of the date of the Grantee's termination of employment, then a portion of the Shares which on the date of termination of employment remain subject to a Time-Based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Performance Restriction has not been satisfied as of the date of the Grantee's termination of employment due to the Grantee's death or Disability, then all of the Shares shall be forfeited to the Company, for no consideration.</w:t>
      </w:r>
    </w:p>
    <w:p>
      <w:pPr>
        <w:spacing w:after="0" w:line="89" w:lineRule="exact"/>
        <w:rPr>
          <w:sz w:val="20"/>
          <w:szCs w:val="20"/>
          <w:color w:val="auto"/>
        </w:rPr>
      </w:pPr>
    </w:p>
    <w:p>
      <w:pPr>
        <w:jc w:val="both"/>
        <w:ind w:firstLine="656"/>
        <w:spacing w:after="0" w:line="349" w:lineRule="auto"/>
        <w:tabs>
          <w:tab w:leader="none" w:pos="15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Unless otherwise provided for in Grantee's employment agreement with the Company or a Subsidiary thereof (if any), if the Grantee's employment is terminated by the Company and it Subsidiaries without Cause, or by the Grantee with Good Reason, (A) the Time-Based Restrictions shall be deemed to have been satisfied as of the date of termination of employment, and (B) all Shares shall continue to be subject to the Performance Restriction. Upon a lapse of a Period of Restriction (including a lapse upon a Change of Control), all Shares shall vest and become free of forfeiture and transfer restrictions contained in this Agreement (except as otherwise provided in Section 2(b) of this Agreement) on the date of employment termination.</w:t>
      </w:r>
    </w:p>
    <w:p>
      <w:pPr>
        <w:spacing w:after="0" w:line="161" w:lineRule="exact"/>
        <w:rPr>
          <w:rFonts w:ascii="Arial" w:cs="Arial" w:eastAsia="Arial" w:hAnsi="Arial"/>
          <w:sz w:val="16"/>
          <w:szCs w:val="16"/>
          <w:color w:val="auto"/>
        </w:rPr>
      </w:pPr>
    </w:p>
    <w:p>
      <w:pPr>
        <w:jc w:val="both"/>
        <w:ind w:firstLine="656"/>
        <w:spacing w:after="0" w:line="325" w:lineRule="auto"/>
        <w:tabs>
          <w:tab w:leader="none" w:pos="155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term “Cause” shall have the meaning ascribed to such term in the Grantee's employment agreement with the Company or any Subsidiary. If the Grantee's employment agreement does not define the term “Cause,” or if the Grantee has not entered into an employment agreement with the Company or any Subsidiary, the term “Cause” shall mean (A) the willful engaging by the Grantee in misconduct that is demonstrably injurious to the Company or any Subsidiary (monetarily or otherwise), (B) the Grantee's conviction of, or pleading guilty or nolo contendere to, a felony, or (C) the Grantee's violation of any confidentiality, non-solicitation, or non-competition covenant to which the Grantee is subject.</w:t>
      </w:r>
    </w:p>
    <w:p>
      <w:pPr>
        <w:spacing w:after="0" w:line="175" w:lineRule="exact"/>
        <w:rPr>
          <w:rFonts w:ascii="Arial" w:cs="Arial" w:eastAsia="Arial" w:hAnsi="Arial"/>
          <w:sz w:val="17"/>
          <w:szCs w:val="17"/>
          <w:color w:val="auto"/>
        </w:rPr>
      </w:pPr>
    </w:p>
    <w:p>
      <w:pPr>
        <w:ind w:firstLine="656"/>
        <w:spacing w:after="0" w:line="324" w:lineRule="auto"/>
        <w:tabs>
          <w:tab w:leader="none" w:pos="15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agreement with the Company or any Subsidiary. If the Grantee's employment agreement does not define the term “Disability,” or if the</w:t>
      </w:r>
    </w:p>
    <w:p>
      <w:pPr>
        <w:sectPr>
          <w:pgSz w:w="11900" w:h="16838" w:orient="portrait"/>
          <w:cols w:equalWidth="0" w:num="1">
            <w:col w:w="11420"/>
          </w:cols>
          <w:pgMar w:left="240" w:top="580" w:right="239" w:bottom="1440" w:gutter="0" w:footer="0" w:header="0"/>
        </w:sectPr>
      </w:pPr>
    </w:p>
    <w:bookmarkStart w:id="104" w:name="page105"/>
    <w:bookmarkEnd w:id="104"/>
    <w:p>
      <w:pPr>
        <w:ind w:right="20"/>
        <w:spacing w:after="0" w:line="357" w:lineRule="auto"/>
        <w:rPr>
          <w:sz w:val="20"/>
          <w:szCs w:val="20"/>
          <w:color w:val="auto"/>
        </w:rPr>
      </w:pPr>
      <w:r>
        <w:rPr>
          <w:rFonts w:ascii="Arial" w:cs="Arial" w:eastAsia="Arial" w:hAnsi="Arial"/>
          <w:sz w:val="17"/>
          <w:szCs w:val="17"/>
          <w:color w:val="auto"/>
        </w:rPr>
        <w:t>Grantee has not entered into an employment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48" w:lineRule="exact"/>
        <w:rPr>
          <w:sz w:val="20"/>
          <w:szCs w:val="20"/>
          <w:color w:val="auto"/>
        </w:rPr>
      </w:pPr>
    </w:p>
    <w:p>
      <w:pPr>
        <w:ind w:firstLine="656"/>
        <w:spacing w:after="0" w:line="324" w:lineRule="auto"/>
        <w:tabs>
          <w:tab w:leader="none" w:pos="15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“Good Reason” termination shall apply only if the Grantee has an employment agreement with the Company or any Subsidiary and shall have the meaning ascribed to that term in such employment agreement.</w:t>
      </w:r>
    </w:p>
    <w:p>
      <w:pPr>
        <w:spacing w:after="0" w:line="170" w:lineRule="exact"/>
        <w:rPr>
          <w:rFonts w:ascii="Arial" w:cs="Arial" w:eastAsia="Arial" w:hAnsi="Arial"/>
          <w:sz w:val="18"/>
          <w:szCs w:val="18"/>
          <w:color w:val="auto"/>
        </w:rPr>
      </w:pPr>
    </w:p>
    <w:p>
      <w:pPr>
        <w:ind w:left="1620" w:hanging="964"/>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the Performance Restriction is not satisfied, then all Shares shall be forfeited to the Company, for no consideration.</w:t>
      </w:r>
    </w:p>
    <w:p>
      <w:pPr>
        <w:spacing w:after="0" w:line="261" w:lineRule="exact"/>
        <w:rPr>
          <w:rFonts w:ascii="Arial" w:cs="Arial" w:eastAsia="Arial" w:hAnsi="Arial"/>
          <w:sz w:val="18"/>
          <w:szCs w:val="18"/>
          <w:color w:val="auto"/>
        </w:rPr>
      </w:pPr>
    </w:p>
    <w:p>
      <w:pPr>
        <w:jc w:val="both"/>
        <w:ind w:firstLine="8"/>
        <w:spacing w:after="0" w:line="302" w:lineRule="auto"/>
        <w:tabs>
          <w:tab w:leader="none" w:pos="91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 If and when the Grantee is an Officer (as defined in Rule 16a-1(f) of the Exchange Act) or holds the title of President - Eastern Operations, President - Western Operations, President - Agency Operations, or Chief Legal Officer, during the six (6) month period which begins the first day following the date a Period of Restriction lapses, (50%) of the Shares to which the Period of Restrictions has lapsed on such date may not be sold, assigned, pledged, exchanged, hypothecated or otherwise transferred, encumbered or disposed of; provided however that this sentence shall not prohibit the Grantee from exchanging or otherwise disposing of Shares in connection with a Change of Control or other transaction in which Shares held by other Company shareholders are required to be exchanged or otherwise disposed.</w:t>
      </w:r>
    </w:p>
    <w:p>
      <w:pPr>
        <w:spacing w:after="0" w:line="185" w:lineRule="exact"/>
        <w:rPr>
          <w:rFonts w:ascii="Arial" w:cs="Arial" w:eastAsia="Arial" w:hAnsi="Arial"/>
          <w:sz w:val="18"/>
          <w:szCs w:val="18"/>
          <w:b w:val="1"/>
          <w:bCs w:val="1"/>
          <w:color w:val="auto"/>
        </w:rPr>
      </w:pPr>
    </w:p>
    <w:p>
      <w:pPr>
        <w:jc w:val="both"/>
        <w:ind w:firstLine="8"/>
        <w:spacing w:after="0" w:line="324" w:lineRule="auto"/>
        <w:tabs>
          <w:tab w:leader="none" w:pos="89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Lapse of Restrictions</w:t>
      </w:r>
      <w:r>
        <w:rPr>
          <w:rFonts w:ascii="Arial" w:cs="Arial" w:eastAsia="Arial" w:hAnsi="Arial"/>
          <w:sz w:val="17"/>
          <w:szCs w:val="17"/>
          <w:color w:val="auto"/>
        </w:rPr>
        <w:t>. The Period of Restriction shall lapse as to the Restricted Stock in accordance with the Notice of Restricted Stock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the Plan and Section 6(a) hereof, upon lapse of the Period of Restriction, the Grantee shall own the Shares that are subject to this Agreement free of all restrictions other than the six (6) month holding period following the Period of Restriction as provided in Section 2(b) of this Agreement otherwise imposed by this Agreement.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been forfeited shall lapse.</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rFonts w:ascii="Arial" w:cs="Arial" w:eastAsia="Arial" w:hAnsi="Arial"/>
          <w:sz w:val="16"/>
          <w:szCs w:val="16"/>
          <w:color w:val="auto"/>
        </w:rPr>
      </w:pPr>
    </w:p>
    <w:p>
      <w:pPr>
        <w:ind w:left="920" w:hanging="912"/>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265" w:lineRule="exact"/>
        <w:rPr>
          <w:rFonts w:ascii="Arial" w:cs="Arial" w:eastAsia="Arial" w:hAnsi="Arial"/>
          <w:sz w:val="18"/>
          <w:szCs w:val="18"/>
          <w:color w:val="auto"/>
        </w:rPr>
      </w:pPr>
    </w:p>
    <w:p>
      <w:pPr>
        <w:ind w:firstLine="8"/>
        <w:spacing w:after="0" w:line="324"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ectPr>
          <w:pgSz w:w="11900" w:h="16838" w:orient="portrait"/>
          <w:cols w:equalWidth="0" w:num="1">
            <w:col w:w="11420"/>
          </w:cols>
          <w:pgMar w:left="240" w:top="611" w:right="239" w:bottom="1440" w:gutter="0" w:footer="0" w:header="0"/>
        </w:sectPr>
      </w:pPr>
    </w:p>
    <w:bookmarkStart w:id="105" w:name="page106"/>
    <w:bookmarkEnd w:id="105"/>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44" w:lineRule="auto"/>
        <w:tabs>
          <w:tab w:leader="none" w:pos="90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59" w:lineRule="exact"/>
        <w:rPr>
          <w:rFonts w:ascii="Arial" w:cs="Arial" w:eastAsia="Arial" w:hAnsi="Arial"/>
          <w:sz w:val="16"/>
          <w:szCs w:val="16"/>
          <w:b w:val="1"/>
          <w:bCs w:val="1"/>
          <w:color w:val="auto"/>
        </w:rPr>
      </w:pPr>
    </w:p>
    <w:p>
      <w:pPr>
        <w:jc w:val="both"/>
        <w:ind w:firstLine="8"/>
        <w:spacing w:after="0" w:line="313" w:lineRule="auto"/>
        <w:tabs>
          <w:tab w:leader="none" w:pos="91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76" w:lineRule="exact"/>
        <w:rPr>
          <w:rFonts w:ascii="Arial" w:cs="Arial" w:eastAsia="Arial" w:hAnsi="Arial"/>
          <w:sz w:val="18"/>
          <w:szCs w:val="18"/>
          <w:b w:val="1"/>
          <w:bCs w:val="1"/>
          <w:color w:val="auto"/>
        </w:rPr>
      </w:pPr>
    </w:p>
    <w:p>
      <w:pPr>
        <w:jc w:val="both"/>
        <w:ind w:firstLine="8"/>
        <w:spacing w:after="0" w:line="338" w:lineRule="auto"/>
        <w:tabs>
          <w:tab w:leader="none" w:pos="90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0" w:lineRule="exact"/>
        <w:rPr>
          <w:rFonts w:ascii="Arial" w:cs="Arial" w:eastAsia="Arial" w:hAnsi="Arial"/>
          <w:sz w:val="17"/>
          <w:szCs w:val="17"/>
          <w:b w:val="1"/>
          <w:bCs w:val="1"/>
          <w:color w:val="auto"/>
        </w:rPr>
      </w:pPr>
    </w:p>
    <w:p>
      <w:pPr>
        <w:jc w:val="both"/>
        <w:ind w:firstLine="8"/>
        <w:spacing w:after="0" w:line="313" w:lineRule="auto"/>
        <w:tabs>
          <w:tab w:leader="none" w:pos="91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6" w:lineRule="exact"/>
        <w:rPr>
          <w:rFonts w:ascii="Arial" w:cs="Arial" w:eastAsia="Arial" w:hAnsi="Arial"/>
          <w:sz w:val="18"/>
          <w:szCs w:val="18"/>
          <w:b w:val="1"/>
          <w:bCs w:val="1"/>
          <w:color w:val="auto"/>
        </w:rPr>
      </w:pPr>
    </w:p>
    <w:p>
      <w:pPr>
        <w:jc w:val="both"/>
        <w:ind w:firstLine="8"/>
        <w:spacing w:after="0" w:line="351" w:lineRule="auto"/>
        <w:tabs>
          <w:tab w:leader="none" w:pos="89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Subject to, and in accordance with the provisions of Article 3 of the Plan, any dispute or claim arising out of or relating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53" w:lineRule="exact"/>
        <w:rPr>
          <w:rFonts w:ascii="Arial" w:cs="Arial" w:eastAsia="Arial" w:hAnsi="Arial"/>
          <w:sz w:val="16"/>
          <w:szCs w:val="16"/>
          <w:b w:val="1"/>
          <w:bCs w:val="1"/>
          <w:color w:val="auto"/>
        </w:rPr>
      </w:pPr>
    </w:p>
    <w:p>
      <w:pPr>
        <w:ind w:firstLine="8"/>
        <w:spacing w:after="0" w:line="329" w:lineRule="auto"/>
        <w:tabs>
          <w:tab w:leader="none" w:pos="87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b w:val="1"/>
          <w:bCs w:val="1"/>
          <w:color w:val="auto"/>
        </w:rPr>
      </w:pPr>
    </w:p>
    <w:p>
      <w:pPr>
        <w:jc w:val="both"/>
        <w:ind w:firstLine="8"/>
        <w:spacing w:after="0" w:line="313" w:lineRule="auto"/>
        <w:tabs>
          <w:tab w:leader="none" w:pos="91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b w:val="1"/>
          <w:bCs w:val="1"/>
          <w:color w:val="auto"/>
        </w:rPr>
      </w:pPr>
    </w:p>
    <w:p>
      <w:pPr>
        <w:ind w:left="920" w:hanging="912"/>
        <w:spacing w:after="0"/>
        <w:tabs>
          <w:tab w:leader="none" w:pos="9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b w:val="1"/>
          <w:bCs w:val="1"/>
          <w:color w:val="auto"/>
        </w:rPr>
      </w:pPr>
    </w:p>
    <w:p>
      <w:pPr>
        <w:jc w:val="both"/>
        <w:ind w:firstLine="8"/>
        <w:spacing w:after="0" w:line="313" w:lineRule="auto"/>
        <w:tabs>
          <w:tab w:leader="none" w:pos="87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580"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6% or greater Title Operating Margin (as defined below) in at least two calendar quarters of any of the next five calendar quarters starting October 1, 2011 (the “Performance Restriction”). The five calendar quarters starting October 1, 2011 and ending December 31, 2012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Time-Based Restrictions</w:t>
      </w:r>
    </w:p>
    <w:p>
      <w:pPr>
        <w:sectPr>
          <w:pgSz w:w="11900" w:h="16838" w:orient="portrait"/>
          <w:cols w:equalWidth="0" w:num="1">
            <w:col w:w="11420"/>
          </w:cols>
          <w:pgMar w:left="240" w:top="580" w:right="239" w:bottom="1440" w:gutter="0" w:footer="0" w:header="0"/>
        </w:sectPr>
      </w:pPr>
    </w:p>
    <w:p>
      <w:pPr>
        <w:spacing w:after="0" w:line="171"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Anniversary 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of Restricted Stock</w:t>
      </w:r>
    </w:p>
    <w:p>
      <w:pPr>
        <w:spacing w:after="0" w:line="90" w:lineRule="exact"/>
        <w:rPr>
          <w:sz w:val="20"/>
          <w:szCs w:val="20"/>
          <w:color w:val="auto"/>
        </w:rPr>
      </w:pPr>
    </w:p>
    <w:p>
      <w:pPr>
        <w:sectPr>
          <w:pgSz w:w="11900" w:h="16838" w:orient="portrait"/>
          <w:cols w:equalWidth="0" w:num="2">
            <w:col w:w="7040" w:space="720"/>
            <w:col w:w="3660"/>
          </w:cols>
          <w:pgMar w:left="240" w:top="580"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First (1</w:t>
      </w:r>
      <w:r>
        <w:rPr>
          <w:rFonts w:ascii="Arial" w:cs="Arial" w:eastAsia="Arial" w:hAnsi="Arial"/>
          <w:sz w:val="11"/>
          <w:szCs w:val="11"/>
          <w:color w:val="auto"/>
        </w:rPr>
        <w:t>st</w:t>
      </w:r>
      <w:r>
        <w:rPr>
          <w:rFonts w:ascii="Arial" w:cs="Arial" w:eastAsia="Arial" w:hAnsi="Arial"/>
          <w:sz w:val="16"/>
          <w:szCs w:val="16"/>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33.34%</w:t>
      </w:r>
    </w:p>
    <w:p>
      <w:pPr>
        <w:spacing w:after="0" w:line="97" w:lineRule="exact"/>
        <w:rPr>
          <w:sz w:val="20"/>
          <w:szCs w:val="20"/>
          <w:color w:val="auto"/>
        </w:rPr>
      </w:pPr>
    </w:p>
    <w:p>
      <w:pPr>
        <w:sectPr>
          <w:pgSz w:w="11900" w:h="16838" w:orient="portrait"/>
          <w:cols w:equalWidth="0" w:num="2">
            <w:col w:w="9920" w:space="720"/>
            <w:col w:w="780"/>
          </w:cols>
          <w:pgMar w:left="240" w:top="580"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Second (2</w:t>
      </w:r>
      <w:r>
        <w:rPr>
          <w:rFonts w:ascii="Arial" w:cs="Arial" w:eastAsia="Arial" w:hAnsi="Arial"/>
          <w:sz w:val="11"/>
          <w:szCs w:val="11"/>
          <w:color w:val="auto"/>
        </w:rPr>
        <w:t>nd</w:t>
      </w:r>
      <w:r>
        <w:rPr>
          <w:rFonts w:ascii="Arial" w:cs="Arial" w:eastAsia="Arial" w:hAnsi="Arial"/>
          <w:sz w:val="16"/>
          <w:szCs w:val="16"/>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33.33%</w:t>
      </w:r>
    </w:p>
    <w:p>
      <w:pPr>
        <w:spacing w:after="0" w:line="97" w:lineRule="exact"/>
        <w:rPr>
          <w:sz w:val="20"/>
          <w:szCs w:val="20"/>
          <w:color w:val="auto"/>
        </w:rPr>
      </w:pPr>
    </w:p>
    <w:p>
      <w:pPr>
        <w:sectPr>
          <w:pgSz w:w="11900" w:h="16838" w:orient="portrait"/>
          <w:cols w:equalWidth="0" w:num="2">
            <w:col w:w="9920" w:space="720"/>
            <w:col w:w="780"/>
          </w:cols>
          <w:pgMar w:left="240" w:top="580"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Third (3</w:t>
      </w:r>
      <w:r>
        <w:rPr>
          <w:rFonts w:ascii="Arial" w:cs="Arial" w:eastAsia="Arial" w:hAnsi="Arial"/>
          <w:sz w:val="11"/>
          <w:szCs w:val="11"/>
          <w:color w:val="auto"/>
        </w:rPr>
        <w:t>rd</w:t>
      </w:r>
      <w:r>
        <w:rPr>
          <w:rFonts w:ascii="Arial" w:cs="Arial" w:eastAsia="Arial" w:hAnsi="Arial"/>
          <w:sz w:val="16"/>
          <w:szCs w:val="16"/>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33.33%</w:t>
      </w:r>
    </w:p>
    <w:p>
      <w:pPr>
        <w:spacing w:after="0" w:line="211" w:lineRule="exact"/>
        <w:rPr>
          <w:sz w:val="20"/>
          <w:szCs w:val="20"/>
          <w:color w:val="auto"/>
        </w:rPr>
      </w:pPr>
    </w:p>
    <w:p>
      <w:pPr>
        <w:sectPr>
          <w:pgSz w:w="11900" w:h="16838" w:orient="portrait"/>
          <w:cols w:equalWidth="0" w:num="2">
            <w:col w:w="9920" w:space="720"/>
            <w:col w:w="780"/>
          </w:cols>
          <w:pgMar w:left="240" w:top="580" w:right="239" w:bottom="1440" w:gutter="0" w:footer="0" w:header="0"/>
          <w:type w:val="continuous"/>
        </w:sectPr>
      </w:pP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Vesting</w:t>
      </w:r>
    </w:p>
    <w:p>
      <w:pPr>
        <w:sectPr>
          <w:pgSz w:w="11900" w:h="16838" w:orient="portrait"/>
          <w:cols w:equalWidth="0" w:num="1">
            <w:col w:w="11420"/>
          </w:cols>
          <w:pgMar w:left="240" w:top="580" w:right="239" w:bottom="1440" w:gutter="0" w:footer="0" w:header="0"/>
          <w:type w:val="continuous"/>
        </w:sect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the percentage of the Restricted Stock indicated next to each Anniversary Date shall vest on such indicated anniversary date (such three year vesting schedule referred to as the “Time-Based Restrictions”). If the Performance Restriction is not achieved prior to the expiration of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0"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THIS AMENDMENT NO. 2 TO AMENDED AND RESTATED EMPLOYMENT AGREEMENT (the "Amendment") is effective as of January 1, 2012 (the "Effective Date"), by and between </w:t>
      </w:r>
      <w:r>
        <w:rPr>
          <w:rFonts w:ascii="Arial" w:cs="Arial" w:eastAsia="Arial" w:hAnsi="Arial"/>
          <w:sz w:val="17"/>
          <w:szCs w:val="17"/>
          <w:b w:val="1"/>
          <w:bCs w:val="1"/>
          <w:color w:val="auto"/>
        </w:rPr>
        <w:t>FIDELITY NATIONAL FINANCIAL, INC.</w:t>
      </w:r>
      <w:r>
        <w:rPr>
          <w:rFonts w:ascii="Arial" w:cs="Arial" w:eastAsia="Arial" w:hAnsi="Arial"/>
          <w:sz w:val="17"/>
          <w:szCs w:val="17"/>
          <w:color w:val="auto"/>
        </w:rPr>
        <w:t xml:space="preserve">, a Delaware corporation (the "Company"), and </w:t>
      </w:r>
      <w:r>
        <w:rPr>
          <w:rFonts w:ascii="Arial" w:cs="Arial" w:eastAsia="Arial" w:hAnsi="Arial"/>
          <w:sz w:val="17"/>
          <w:szCs w:val="17"/>
          <w:b w:val="1"/>
          <w:bCs w:val="1"/>
          <w:color w:val="auto"/>
        </w:rPr>
        <w:t>BRENT B.</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BICKETT </w:t>
      </w:r>
      <w:r>
        <w:rPr>
          <w:rFonts w:ascii="Arial" w:cs="Arial" w:eastAsia="Arial" w:hAnsi="Arial"/>
          <w:sz w:val="17"/>
          <w:szCs w:val="17"/>
          <w:color w:val="auto"/>
        </w:rPr>
        <w:t>(the "Employee") and amends that certain Amended and Restated Employment Agreement dated as of July 2, 2008, as amended on February 4,</w:t>
      </w:r>
      <w:r>
        <w:rPr>
          <w:rFonts w:ascii="Arial" w:cs="Arial" w:eastAsia="Arial" w:hAnsi="Arial"/>
          <w:sz w:val="17"/>
          <w:szCs w:val="17"/>
          <w:b w:val="1"/>
          <w:bCs w:val="1"/>
          <w:color w:val="auto"/>
        </w:rPr>
        <w:t xml:space="preserve"> </w:t>
      </w:r>
      <w:r>
        <w:rPr>
          <w:rFonts w:ascii="Arial" w:cs="Arial" w:eastAsia="Arial" w:hAnsi="Arial"/>
          <w:sz w:val="17"/>
          <w:szCs w:val="17"/>
          <w:color w:val="auto"/>
        </w:rPr>
        <w:t>2010 (the “Agreement”). In consideration of the mutual covenants and agreements set forth herein, the parties agree as follows:</w:t>
      </w:r>
    </w:p>
    <w:p>
      <w:pPr>
        <w:spacing w:after="0" w:line="198" w:lineRule="exact"/>
        <w:rPr>
          <w:sz w:val="20"/>
          <w:szCs w:val="20"/>
          <w:color w:val="auto"/>
        </w:rPr>
      </w:pPr>
    </w:p>
    <w:p>
      <w:pPr>
        <w:ind w:left="1440" w:hanging="7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first sentence of Section 4 of the Agreement is deleted and the following shall be inserted in lieu thereof:</w:t>
      </w:r>
    </w:p>
    <w:p>
      <w:pPr>
        <w:spacing w:after="0" w:line="265" w:lineRule="exact"/>
        <w:rPr>
          <w:rFonts w:ascii="Arial" w:cs="Arial" w:eastAsia="Arial" w:hAnsi="Arial"/>
          <w:sz w:val="18"/>
          <w:szCs w:val="18"/>
          <w:color w:val="auto"/>
        </w:rPr>
      </w:pPr>
    </w:p>
    <w:p>
      <w:pPr>
        <w:ind w:left="660" w:right="20" w:hanging="4"/>
        <w:spacing w:after="0" w:line="357" w:lineRule="auto"/>
        <w:tabs>
          <w:tab w:leader="none" w:pos="144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Salary</w:t>
      </w:r>
      <w:r>
        <w:rPr>
          <w:rFonts w:ascii="Arial" w:cs="Arial" w:eastAsia="Arial" w:hAnsi="Arial"/>
          <w:sz w:val="17"/>
          <w:szCs w:val="17"/>
          <w:color w:val="auto"/>
        </w:rPr>
        <w:t>. During the Employment Term, the Company shall pay the Employee an annual base salary, before deducting all applicable withholdings, of no less than $276,500 per year, payable at the time and in the manner dictated by the Company's standard payroll policies.</w:t>
      </w:r>
    </w:p>
    <w:p>
      <w:pPr>
        <w:spacing w:after="0" w:line="147" w:lineRule="exact"/>
        <w:rPr>
          <w:rFonts w:ascii="Arial" w:cs="Arial" w:eastAsia="Arial" w:hAnsi="Arial"/>
          <w:sz w:val="17"/>
          <w:szCs w:val="17"/>
          <w:color w:val="auto"/>
        </w:rPr>
      </w:pPr>
    </w:p>
    <w:p>
      <w:pPr>
        <w:ind w:left="1440" w:hanging="7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5(c) of the Agreement is deleted and the following shall be inserted in lieu thereof:</w:t>
      </w:r>
    </w:p>
    <w:p>
      <w:pPr>
        <w:spacing w:after="0" w:line="23" w:lineRule="exact"/>
        <w:rPr>
          <w:rFonts w:ascii="Arial" w:cs="Arial" w:eastAsia="Arial" w:hAnsi="Arial"/>
          <w:sz w:val="18"/>
          <w:szCs w:val="18"/>
          <w:color w:val="auto"/>
        </w:rPr>
      </w:pPr>
    </w:p>
    <w:p>
      <w:pPr>
        <w:ind w:left="660" w:firstLine="645"/>
        <w:spacing w:after="0" w:line="276" w:lineRule="auto"/>
        <w:tabs>
          <w:tab w:leader="none" w:pos="1729" w:val="left"/>
        </w:tabs>
        <w:numPr>
          <w:ilvl w:val="1"/>
          <w:numId w:val="46"/>
        </w:numPr>
        <w:rPr>
          <w:rFonts w:ascii="Arial" w:cs="Arial" w:eastAsia="Arial" w:hAnsi="Arial"/>
          <w:sz w:val="18"/>
          <w:szCs w:val="18"/>
          <w:color w:val="auto"/>
        </w:rPr>
      </w:pPr>
      <w:r>
        <w:rPr>
          <w:rFonts w:ascii="Arial" w:cs="Arial" w:eastAsia="Arial" w:hAnsi="Arial"/>
          <w:sz w:val="18"/>
          <w:szCs w:val="18"/>
          <w:color w:val="auto"/>
        </w:rPr>
        <w:t>eligibility to elect and purchase supplemental disability insurance sufficient to provide sixty percent of the Employee's pre-disability Annual Base Salary, subject to certain limitations contained in the disability policies;</w:t>
      </w:r>
    </w:p>
    <w:p>
      <w:pPr>
        <w:spacing w:after="0" w:line="198" w:lineRule="exact"/>
        <w:rPr>
          <w:rFonts w:ascii="Arial" w:cs="Arial" w:eastAsia="Arial" w:hAnsi="Arial"/>
          <w:sz w:val="18"/>
          <w:szCs w:val="18"/>
          <w:color w:val="auto"/>
        </w:rPr>
      </w:pPr>
    </w:p>
    <w:p>
      <w:pPr>
        <w:ind w:left="1440" w:hanging="7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last sentence of Section 5(d) is deleted and the following shall be inserted in lieu thereof:</w:t>
      </w:r>
    </w:p>
    <w:p>
      <w:pPr>
        <w:spacing w:after="0" w:line="23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Unless provided otherwise herein or the Board determines otherwise, no Annual Bonus shall be paid to the Employee unless the Employee is employed by the Company, or an affiliate thereof, on the last day of the Annual Bonus measurement period.</w:t>
      </w:r>
    </w:p>
    <w:p>
      <w:pPr>
        <w:spacing w:after="0" w:line="197" w:lineRule="exact"/>
        <w:rPr>
          <w:sz w:val="20"/>
          <w:szCs w:val="20"/>
          <w:color w:val="auto"/>
        </w:rPr>
      </w:pPr>
    </w:p>
    <w:p>
      <w:pPr>
        <w:ind w:left="1440" w:hanging="784"/>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13(c) of the Agreement is deleted and the following shall be inserted in lieu thereof:</w:t>
      </w:r>
    </w:p>
    <w:p>
      <w:pPr>
        <w:spacing w:after="0" w:line="239" w:lineRule="exact"/>
        <w:rPr>
          <w:sz w:val="20"/>
          <w:szCs w:val="20"/>
          <w:color w:val="auto"/>
        </w:rPr>
      </w:pPr>
    </w:p>
    <w:p>
      <w:pPr>
        <w:jc w:val="both"/>
        <w:ind w:left="1300" w:hanging="644"/>
        <w:spacing w:after="0" w:line="259"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Exclusion</w:t>
      </w:r>
      <w:r>
        <w:rPr>
          <w:rFonts w:ascii="Arial" w:cs="Arial" w:eastAsia="Arial" w:hAnsi="Arial"/>
          <w:sz w:val="18"/>
          <w:szCs w:val="18"/>
          <w:color w:val="auto"/>
        </w:rPr>
        <w:t>. Working, directly or indirectly, for any of the following entities shall not be considered competitive to the Company or its affiliates for the purpose of Section 13(b) (After Employment Term Non-Compete): (i) Fidelity National Information Services, Inc., its affiliates or their successors; or (ii) the Company, its affiliates or their successors if this Agreement is assumed by a third party as contemplated by Section 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to be effective as of the date first set forth above.</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FIDELITY NATINOAL FINANCIAL, INC.</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George P. Scanlon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Brent B. Bickett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BRENT B. BICKETT</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64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720" w:type="dxa"/>
            <w:vAlign w:val="bottom"/>
          </w:tcPr>
          <w:p>
            <w:pPr>
              <w:spacing w:after="0"/>
              <w:rPr>
                <w:sz w:val="18"/>
                <w:szCs w:val="18"/>
                <w:color w:val="auto"/>
              </w:rPr>
            </w:pPr>
          </w:p>
        </w:tc>
        <w:tc>
          <w:tcPr>
            <w:tcW w:w="764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w w:val="88"/>
              </w:rPr>
              <w:t>List of Subsidiaries December 31, 2011</w:t>
            </w:r>
          </w:p>
        </w:tc>
      </w:tr>
      <w:tr>
        <w:trPr>
          <w:trHeight w:val="234"/>
        </w:trPr>
        <w:tc>
          <w:tcPr>
            <w:tcW w:w="3720" w:type="dxa"/>
            <w:vAlign w:val="bottom"/>
          </w:tcPr>
          <w:p>
            <w:pPr>
              <w:spacing w:after="0"/>
              <w:rPr>
                <w:sz w:val="20"/>
                <w:szCs w:val="20"/>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8"/>
              </w:rPr>
              <w:t>Five Significant Subsidiaries</w:t>
            </w:r>
          </w:p>
        </w:tc>
      </w:tr>
      <w:tr>
        <w:trPr>
          <w:trHeight w:val="648"/>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7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Commonwealth Land Title Insurance Company</w:t>
            </w:r>
          </w:p>
        </w:tc>
        <w:tc>
          <w:tcPr>
            <w:tcW w:w="3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Nebraska</w:t>
            </w:r>
          </w:p>
        </w:tc>
      </w:tr>
      <w:tr>
        <w:trPr>
          <w:trHeight w:val="27"/>
        </w:trPr>
        <w:tc>
          <w:tcPr>
            <w:tcW w:w="37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r>
    </w:tbl>
    <w:p>
      <w:pPr>
        <w:sectPr>
          <w:pgSz w:w="11900" w:h="16838" w:orient="portrait"/>
          <w:cols w:equalWidth="0" w:num="1">
            <w:col w:w="11380"/>
          </w:cols>
          <w:pgMar w:left="28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333-157643, 333-132843, 333-138254, 333-129886, 333-129016, and 333-176395) on Form S-8 and Registration Statements (Nos. 333-157123, 333-147391, and 333-174650) on Form S-3 of Fidelity National Financial, Inc. of our reports dated February 23, 2012, with respect to the Consolidated Balance Sheets of Fidelity National Financial, Inc. as of December 31, 2011 and 2010, and the related Consolidated Statements of Earnings, Comprehensive Earnings, Equity and Cash Flows for each of the years in the three-year period ended December 31, 2011, and all related financial statement schedules, and the effectiveness of internal control over financial reporting as of December 31, 2011, which reports appear in the December 31, 2011 annual report on Form 10-K of Fidelity National Financial,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P. Scanlon,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60" w:right="60" w:hanging="390"/>
        <w:spacing w:after="0" w:line="264"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60" w:right="60" w:hanging="395"/>
        <w:spacing w:after="0" w:line="264"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60" w:right="60" w:hanging="390"/>
        <w:spacing w:after="0" w:line="308" w:lineRule="auto"/>
        <w:tabs>
          <w:tab w:leader="none" w:pos="7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60" w:right="60" w:hanging="395"/>
        <w:spacing w:after="0" w:line="264"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390"/>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395"/>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2012</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R"/>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8"/>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3"/>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lowerLetter"/>
      <w:start w:val="2"/>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upperLetter"/>
      <w:start w:val="3"/>
    </w:lvl>
  </w:abstractNum>
  <w:abstractNum w:abstractNumId="35">
    <w:nsid w:val="725A06FB"/>
    <w:multiLevelType w:val="hybridMultilevel"/>
    <w:lvl w:ilvl="0">
      <w:lvlJc w:val="left"/>
      <w:lvlText w:val="%1."/>
      <w:numFmt w:val="upperLetter"/>
      <w:start w:val="4"/>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1"/>
    </w:lvl>
    <w:lvl w:ilvl="1">
      <w:lvlJc w:val="left"/>
      <w:lvlText w:val="(%2)"/>
      <w:numFmt w:val="lowerRoman"/>
      <w:start w:val="1"/>
    </w:lvl>
  </w:abstractNum>
  <w:abstractNum w:abstractNumId="40">
    <w:nsid w:val="542289EC"/>
    <w:multiLevelType w:val="hybridMultilevel"/>
    <w:lvl w:ilvl="0">
      <w:lvlJc w:val="left"/>
      <w:lvlText w:val="(%1)"/>
      <w:numFmt w:val="lowerRoman"/>
      <w:start w:val="3"/>
    </w:lvl>
  </w:abstractNum>
  <w:abstractNum w:abstractNumId="41">
    <w:nsid w:val="6DE91B18"/>
    <w:multiLevelType w:val="hybridMultilevel"/>
    <w:lvl w:ilvl="0">
      <w:lvlJc w:val="left"/>
      <w:lvlText w:val="%1"/>
      <w:numFmt w:val="lowerLetter"/>
      <w:start w:val="1"/>
    </w:lvl>
    <w:lvl w:ilvl="1">
      <w:lvlJc w:val="left"/>
      <w:lvlText w:val="(%2)"/>
      <w:numFmt w:val="lowerRoman"/>
      <w:start w:val="6"/>
    </w:lvl>
  </w:abstractNum>
  <w:abstractNum w:abstractNumId="42">
    <w:nsid w:val="38437FDB"/>
    <w:multiLevelType w:val="hybridMultilevel"/>
    <w:lvl w:ilvl="0">
      <w:lvlJc w:val="left"/>
      <w:lvlText w:val="(%1)"/>
      <w:numFmt w:val="lowerLetter"/>
      <w:start w:val="2"/>
    </w:lvl>
    <w:lvl w:ilvl="1">
      <w:lvlJc w:val="left"/>
      <w:lvlText w:val="%2"/>
      <w:numFmt w:val="lowerRoman"/>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3"/>
    </w:lvl>
  </w:abstractNum>
  <w:abstractNum w:abstractNumId="46">
    <w:nsid w:val="579478FE"/>
    <w:multiLevelType w:val="hybridMultilevel"/>
    <w:lvl w:ilvl="0">
      <w:lvlJc w:val="left"/>
      <w:lvlText w:val="%1."/>
      <w:numFmt w:val="decimal"/>
      <w:start w:val="5"/>
    </w:lvl>
  </w:abstractNum>
  <w:abstractNum w:abstractNumId="47">
    <w:nsid w:val="749ABB43"/>
    <w:multiLevelType w:val="hybridMultilevel"/>
    <w:lvl w:ilvl="0">
      <w:lvlJc w:val="left"/>
      <w:lvlText w:val="(%1)"/>
      <w:numFmt w:val="lowerLetter"/>
      <w:start w:val="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2019-12-09T17:55:23Z</dcterms:created>
  <dcterms:modified xsi:type="dcterms:W3CDTF">2019-12-09T17:55:23Z</dcterms:modified>
</cp:coreProperties>
</file>