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151130</wp:posOffset>
            </wp:positionV>
            <wp:extent cx="66287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8765" cy="24765"/>
                    </a:xfrm>
                    <a:prstGeom prst="rect">
                      <a:avLst/>
                    </a:prstGeom>
                    <a:noFill/>
                  </pic:spPr>
                </pic:pic>
              </a:graphicData>
            </a:graphic>
          </wp:anchor>
        </w:drawing>
      </w:r>
    </w:p>
    <w:p>
      <w:pPr>
        <w:spacing w:after="0" w:line="29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34290</wp:posOffset>
            </wp:positionV>
            <wp:extent cx="10610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1085" cy="6350"/>
                    </a:xfrm>
                    <a:prstGeom prst="rect">
                      <a:avLst/>
                    </a:prstGeom>
                    <a:noFill/>
                  </pic:spPr>
                </pic:pic>
              </a:graphicData>
            </a:graphic>
          </wp:anchor>
        </w:drawing>
      </w:r>
    </w:p>
    <w:p>
      <w:pPr>
        <w:spacing w:after="0" w:line="6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45720</wp:posOffset>
            </wp:positionV>
            <wp:extent cx="106108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1085" cy="6350"/>
                    </a:xfrm>
                    <a:prstGeom prst="rect">
                      <a:avLst/>
                    </a:prstGeom>
                    <a:noFill/>
                  </pic:spPr>
                </pic:pic>
              </a:graphicData>
            </a:graphic>
          </wp:anchor>
        </w:drawing>
      </w:r>
    </w:p>
    <w:p>
      <w:pPr>
        <w:spacing w:after="0" w:line="10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(Mark One)</w:t>
      </w:r>
    </w:p>
    <w:p>
      <w:pPr>
        <w:spacing w:after="0" w:line="37" w:lineRule="exact"/>
        <w:rPr>
          <w:sz w:val="20"/>
          <w:szCs w:val="20"/>
          <w:color w:val="auto"/>
        </w:rPr>
      </w:pPr>
    </w:p>
    <w:p>
      <w:pPr>
        <w:ind w:left="1820" w:hanging="798"/>
        <w:spacing w:after="0"/>
        <w:tabs>
          <w:tab w:leader="none" w:pos="18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w:t>
      </w:r>
    </w:p>
    <w:p>
      <w:pPr>
        <w:spacing w:after="0" w:line="1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 (No Fee Required)</w:t>
      </w:r>
    </w:p>
    <w:p>
      <w:pPr>
        <w:ind w:left="1820"/>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2006</w:t>
      </w:r>
    </w:p>
    <w:p>
      <w:pPr>
        <w:spacing w:after="0" w:line="34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334" w:lineRule="exact"/>
        <w:rPr>
          <w:sz w:val="20"/>
          <w:szCs w:val="20"/>
          <w:color w:val="auto"/>
        </w:rPr>
      </w:pPr>
    </w:p>
    <w:p>
      <w:pPr>
        <w:ind w:left="1820" w:hanging="768"/>
        <w:spacing w:after="0"/>
        <w:tabs>
          <w:tab w:leader="none" w:pos="18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TRANSITION REPORT PURSUANT TO SECTION 13 OR 15(d)</w:t>
      </w:r>
    </w:p>
    <w:p>
      <w:pPr>
        <w:spacing w:after="0" w:line="12" w:lineRule="exact"/>
        <w:rPr>
          <w:rFonts w:ascii="Times New Roman" w:cs="Times New Roman" w:eastAsia="Times New Roman" w:hAnsi="Times New Roman"/>
          <w:sz w:val="16"/>
          <w:szCs w:val="16"/>
          <w:color w:val="auto"/>
        </w:rPr>
      </w:pPr>
    </w:p>
    <w:p>
      <w:pPr>
        <w:ind w:left="18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OF THE SECURITIES EXCHANGE ACT OF 1934 (No Fee Required)</w:t>
      </w:r>
    </w:p>
    <w:p>
      <w:pPr>
        <w:spacing w:after="0" w:line="24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3"/>
          <w:szCs w:val="13"/>
          <w:b w:val="1"/>
          <w:bCs w:val="1"/>
          <w:color w:val="auto"/>
        </w:rPr>
        <w:t>Commission File No. 1-9396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45720</wp:posOffset>
            </wp:positionV>
            <wp:extent cx="106108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1085" cy="6350"/>
                    </a:xfrm>
                    <a:prstGeom prst="rect">
                      <a:avLst/>
                    </a:prstGeom>
                    <a:noFill/>
                  </pic:spPr>
                </pic:pic>
              </a:graphicData>
            </a:graphic>
          </wp:anchor>
        </w:drawing>
      </w:r>
    </w:p>
    <w:p>
      <w:pPr>
        <w:spacing w:after="0" w:line="7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31"/>
          <w:szCs w:val="31"/>
          <w:b w:val="1"/>
          <w:bCs w:val="1"/>
          <w:color w:val="00386B"/>
        </w:rPr>
        <w:t>Fidelity National Financial, Inc.</w:t>
      </w:r>
    </w:p>
    <w:p>
      <w:pPr>
        <w:spacing w:after="0" w:line="4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23"/>
          <w:szCs w:val="23"/>
          <w:b w:val="1"/>
          <w:bCs w:val="1"/>
          <w:color w:val="auto"/>
        </w:rPr>
        <w:t>(formerly known as Fidelity National Title Group, Inc.)</w:t>
      </w:r>
    </w:p>
    <w:p>
      <w:pPr>
        <w:ind w:left="4580"/>
        <w:spacing w:after="0"/>
        <w:rPr>
          <w:sz w:val="20"/>
          <w:szCs w:val="20"/>
          <w:color w:val="auto"/>
        </w:rPr>
      </w:pPr>
      <w:r>
        <w:rPr>
          <w:rFonts w:ascii="Times New Roman" w:cs="Times New Roman" w:eastAsia="Times New Roman" w:hAnsi="Times New Roman"/>
          <w:sz w:val="10"/>
          <w:szCs w:val="10"/>
          <w:i w:val="1"/>
          <w:iCs w:val="1"/>
          <w:color w:val="auto"/>
        </w:rPr>
        <w:t>(Exact name of registrant as specified in its charter)</w:t>
      </w:r>
    </w:p>
    <w:p>
      <w:pPr>
        <w:sectPr>
          <w:pgSz w:w="11900" w:h="16838" w:orient="portrait"/>
          <w:cols w:equalWidth="0" w:num="1">
            <w:col w:w="10800"/>
          </w:cols>
          <w:pgMar w:left="220" w:top="125" w:right="879" w:bottom="1440" w:gutter="0" w:footer="0" w:header="0"/>
        </w:sectPr>
      </w:pPr>
    </w:p>
    <w:p>
      <w:pPr>
        <w:spacing w:after="0" w:line="8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1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0"/>
          <w:szCs w:val="10"/>
          <w:i w:val="1"/>
          <w:iCs w:val="1"/>
          <w:color w:val="auto"/>
        </w:rPr>
        <w:t>(State or other jurisdiction</w:t>
      </w:r>
    </w:p>
    <w:p>
      <w:pPr>
        <w:jc w:val="center"/>
        <w:ind w:right="1140"/>
        <w:spacing w:after="0"/>
        <w:rPr>
          <w:sz w:val="20"/>
          <w:szCs w:val="20"/>
          <w:color w:val="auto"/>
        </w:rPr>
      </w:pPr>
      <w:r>
        <w:rPr>
          <w:rFonts w:ascii="Times New Roman" w:cs="Times New Roman" w:eastAsia="Times New Roman" w:hAnsi="Times New Roman"/>
          <w:sz w:val="10"/>
          <w:szCs w:val="10"/>
          <w:i w:val="1"/>
          <w:iCs w:val="1"/>
          <w:color w:val="auto"/>
        </w:rPr>
        <w:t>of incorporation or organization)</w:t>
      </w: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601 Riverside Avenue</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Jacksonville, Florida 32204</w:t>
      </w:r>
    </w:p>
    <w:p>
      <w:pPr>
        <w:jc w:val="center"/>
        <w:ind w:right="1140"/>
        <w:spacing w:after="0" w:line="230" w:lineRule="auto"/>
        <w:rPr>
          <w:sz w:val="20"/>
          <w:szCs w:val="20"/>
          <w:color w:val="auto"/>
        </w:rPr>
      </w:pPr>
      <w:r>
        <w:rPr>
          <w:rFonts w:ascii="Times New Roman" w:cs="Times New Roman" w:eastAsia="Times New Roman" w:hAnsi="Times New Roman"/>
          <w:sz w:val="10"/>
          <w:szCs w:val="10"/>
          <w:i w:val="1"/>
          <w:iCs w:val="1"/>
          <w:color w:val="auto"/>
        </w:rPr>
        <w:t>(Address of principal executive offices,</w:t>
      </w:r>
    </w:p>
    <w:p>
      <w:pPr>
        <w:jc w:val="center"/>
        <w:ind w:right="1140"/>
        <w:spacing w:after="0"/>
        <w:rPr>
          <w:sz w:val="20"/>
          <w:szCs w:val="20"/>
          <w:color w:val="auto"/>
        </w:rPr>
      </w:pPr>
      <w:r>
        <w:rPr>
          <w:rFonts w:ascii="Times New Roman" w:cs="Times New Roman" w:eastAsia="Times New Roman" w:hAnsi="Times New Roman"/>
          <w:sz w:val="10"/>
          <w:szCs w:val="10"/>
          <w:i w:val="1"/>
          <w:iCs w:val="1"/>
          <w:color w:val="auto"/>
        </w:rPr>
        <w:t>including zip code)</w:t>
      </w:r>
    </w:p>
    <w:p>
      <w:pPr>
        <w:spacing w:after="0" w:line="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b w:val="1"/>
          <w:bCs w:val="1"/>
          <w:color w:val="auto"/>
        </w:rPr>
        <w:t>16-1725106</w:t>
      </w:r>
    </w:p>
    <w:p>
      <w:pPr>
        <w:spacing w:after="0" w:line="11"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0"/>
          <w:szCs w:val="10"/>
          <w:i w:val="1"/>
          <w:iCs w:val="1"/>
          <w:color w:val="auto"/>
        </w:rPr>
        <w:t>(I.R.S. Employer</w:t>
      </w:r>
    </w:p>
    <w:p>
      <w:pPr>
        <w:jc w:val="center"/>
        <w:ind w:right="1800"/>
        <w:spacing w:after="0"/>
        <w:rPr>
          <w:sz w:val="20"/>
          <w:szCs w:val="20"/>
          <w:color w:val="auto"/>
        </w:rPr>
      </w:pPr>
      <w:r>
        <w:rPr>
          <w:rFonts w:ascii="Times New Roman" w:cs="Times New Roman" w:eastAsia="Times New Roman" w:hAnsi="Times New Roman"/>
          <w:sz w:val="10"/>
          <w:szCs w:val="10"/>
          <w:i w:val="1"/>
          <w:iCs w:val="1"/>
          <w:color w:val="auto"/>
        </w:rPr>
        <w:t>Identification No.)</w:t>
      </w:r>
    </w:p>
    <w:p>
      <w:pPr>
        <w:jc w:val="center"/>
        <w:ind w:right="1800"/>
        <w:spacing w:after="0"/>
        <w:rPr>
          <w:sz w:val="20"/>
          <w:szCs w:val="20"/>
          <w:color w:val="auto"/>
        </w:rPr>
      </w:pPr>
      <w:r>
        <w:rPr>
          <w:rFonts w:ascii="Times New Roman" w:cs="Times New Roman" w:eastAsia="Times New Roman" w:hAnsi="Times New Roman"/>
          <w:sz w:val="13"/>
          <w:szCs w:val="13"/>
          <w:b w:val="1"/>
          <w:bCs w:val="1"/>
          <w:color w:val="auto"/>
        </w:rPr>
        <w:t>(904) 854-8100</w:t>
      </w:r>
    </w:p>
    <w:p>
      <w:pPr>
        <w:jc w:val="center"/>
        <w:ind w:right="1800"/>
        <w:spacing w:after="0" w:line="229" w:lineRule="auto"/>
        <w:rPr>
          <w:sz w:val="20"/>
          <w:szCs w:val="20"/>
          <w:color w:val="auto"/>
        </w:rPr>
      </w:pPr>
      <w:r>
        <w:rPr>
          <w:rFonts w:ascii="Times New Roman" w:cs="Times New Roman" w:eastAsia="Times New Roman" w:hAnsi="Times New Roman"/>
          <w:sz w:val="10"/>
          <w:szCs w:val="10"/>
          <w:i w:val="1"/>
          <w:iCs w:val="1"/>
          <w:color w:val="auto"/>
        </w:rPr>
        <w:t>(Registrant’s telephone number,</w:t>
      </w:r>
    </w:p>
    <w:p>
      <w:pPr>
        <w:jc w:val="center"/>
        <w:ind w:right="1800"/>
        <w:spacing w:after="0"/>
        <w:rPr>
          <w:sz w:val="20"/>
          <w:szCs w:val="20"/>
          <w:color w:val="auto"/>
        </w:rPr>
      </w:pPr>
      <w:r>
        <w:rPr>
          <w:rFonts w:ascii="Times New Roman" w:cs="Times New Roman" w:eastAsia="Times New Roman" w:hAnsi="Times New Roman"/>
          <w:sz w:val="10"/>
          <w:szCs w:val="10"/>
          <w:i w:val="1"/>
          <w:iCs w:val="1"/>
          <w:color w:val="auto"/>
        </w:rPr>
        <w:t>including area code)</w:t>
      </w:r>
    </w:p>
    <w:p>
      <w:pPr>
        <w:spacing w:after="0" w:line="480" w:lineRule="exact"/>
        <w:rPr>
          <w:sz w:val="20"/>
          <w:szCs w:val="20"/>
          <w:color w:val="auto"/>
        </w:rPr>
      </w:pPr>
    </w:p>
    <w:p>
      <w:pPr>
        <w:sectPr>
          <w:pgSz w:w="11900" w:h="16838" w:orient="portrait"/>
          <w:cols w:equalWidth="0" w:num="2">
            <w:col w:w="7280" w:space="400"/>
            <w:col w:w="3120"/>
          </w:cols>
          <w:pgMar w:left="220" w:top="125" w:right="879" w:bottom="1440" w:gutter="0" w:footer="0" w:header="0"/>
          <w:type w:val="continuous"/>
        </w:sectPr>
      </w:pPr>
    </w:p>
    <w:p>
      <w:pPr>
        <w:ind w:left="3040"/>
        <w:spacing w:after="0"/>
        <w:tabs>
          <w:tab w:leader="none" w:pos="8300" w:val="left"/>
        </w:tabs>
        <w:rPr>
          <w:sz w:val="20"/>
          <w:szCs w:val="20"/>
          <w:color w:val="auto"/>
        </w:rPr>
      </w:pPr>
      <w:r>
        <w:rPr>
          <w:rFonts w:ascii="Times New Roman" w:cs="Times New Roman" w:eastAsia="Times New Roman" w:hAnsi="Times New Roman"/>
          <w:sz w:val="10"/>
          <w:szCs w:val="10"/>
          <w:b w:val="1"/>
          <w:bCs w:val="1"/>
          <w:u w:val="single" w:color="auto"/>
          <w:color w:val="auto"/>
        </w:rPr>
        <w:t>T</w:t>
      </w:r>
      <w:r>
        <w:rPr>
          <w:rFonts w:ascii="Times New Roman" w:cs="Times New Roman" w:eastAsia="Times New Roman" w:hAnsi="Times New Roman"/>
          <w:sz w:val="10"/>
          <w:szCs w:val="10"/>
          <w:b w:val="1"/>
          <w:bCs w:val="1"/>
          <w:color w:val="auto"/>
        </w:rPr>
        <w:t>itle of each class</w:t>
      </w:r>
      <w:r>
        <w:rPr>
          <w:sz w:val="20"/>
          <w:szCs w:val="20"/>
          <w:color w:val="auto"/>
        </w:rPr>
        <w:tab/>
      </w:r>
      <w:r>
        <w:rPr>
          <w:rFonts w:ascii="Times New Roman" w:cs="Times New Roman" w:eastAsia="Times New Roman" w:hAnsi="Times New Roman"/>
          <w:sz w:val="10"/>
          <w:szCs w:val="10"/>
          <w:b w:val="1"/>
          <w:bCs w:val="1"/>
          <w:u w:val="single" w:color="auto"/>
          <w:color w:val="auto"/>
        </w:rPr>
        <w:t>N</w:t>
      </w:r>
      <w:r>
        <w:rPr>
          <w:rFonts w:ascii="Times New Roman" w:cs="Times New Roman" w:eastAsia="Times New Roman" w:hAnsi="Times New Roman"/>
          <w:sz w:val="10"/>
          <w:szCs w:val="10"/>
          <w:b w:val="1"/>
          <w:bCs w:val="1"/>
          <w:color w:val="auto"/>
        </w:rPr>
        <w:t>ame of each exchange on which registered</w:t>
      </w:r>
    </w:p>
    <w:p>
      <w:pPr>
        <w:spacing w:after="0" w:line="39" w:lineRule="exact"/>
        <w:rPr>
          <w:sz w:val="20"/>
          <w:szCs w:val="20"/>
          <w:color w:val="auto"/>
        </w:rPr>
      </w:pPr>
    </w:p>
    <w:p>
      <w:pPr>
        <w:ind w:left="2200"/>
        <w:spacing w:after="0"/>
        <w:tabs>
          <w:tab w:leader="none" w:pos="7620" w:val="left"/>
        </w:tabs>
        <w:rPr>
          <w:sz w:val="20"/>
          <w:szCs w:val="20"/>
          <w:color w:val="auto"/>
        </w:rPr>
      </w:pPr>
      <w:r>
        <w:rPr>
          <w:rFonts w:ascii="Times New Roman" w:cs="Times New Roman" w:eastAsia="Times New Roman" w:hAnsi="Times New Roman"/>
          <w:sz w:val="13"/>
          <w:szCs w:val="13"/>
          <w:color w:val="auto"/>
        </w:rPr>
        <w:t>Common Stock, $.0001 par value</w:t>
      </w:r>
      <w:r>
        <w:rPr>
          <w:sz w:val="20"/>
          <w:szCs w:val="20"/>
          <w:color w:val="auto"/>
        </w:rPr>
        <w:tab/>
      </w:r>
      <w:r>
        <w:rPr>
          <w:rFonts w:ascii="Times New Roman" w:cs="Times New Roman" w:eastAsia="Times New Roman" w:hAnsi="Times New Roman"/>
          <w:sz w:val="12"/>
          <w:szCs w:val="12"/>
          <w:color w:val="auto"/>
        </w:rPr>
        <w:t>New York Stock Exchange</w:t>
      </w:r>
    </w:p>
    <w:p>
      <w:pPr>
        <w:spacing w:after="0" w:line="5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p>
      <w:pPr>
        <w:spacing w:after="0" w:line="77" w:lineRule="exact"/>
        <w:rPr>
          <w:sz w:val="20"/>
          <w:szCs w:val="20"/>
          <w:color w:val="auto"/>
        </w:rPr>
      </w:pPr>
    </w:p>
    <w:p>
      <w:pPr>
        <w:ind w:left="780"/>
        <w:spacing w:after="0" w:line="150" w:lineRule="exact"/>
        <w:tabs>
          <w:tab w:leader="none" w:pos="7460" w:val="left"/>
        </w:tabs>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No o</w:t>
      </w:r>
    </w:p>
    <w:p>
      <w:pPr>
        <w:spacing w:after="0" w:line="57" w:lineRule="exact"/>
        <w:rPr>
          <w:sz w:val="20"/>
          <w:szCs w:val="20"/>
          <w:color w:val="auto"/>
        </w:rPr>
      </w:pPr>
    </w:p>
    <w:p>
      <w:pPr>
        <w:ind w:left="780"/>
        <w:spacing w:after="0" w:line="150" w:lineRule="exact"/>
        <w:tabs>
          <w:tab w:leader="none" w:pos="7540" w:val="left"/>
        </w:tabs>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 Yes o</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78" w:lineRule="exact"/>
        <w:rPr>
          <w:sz w:val="20"/>
          <w:szCs w:val="20"/>
          <w:color w:val="auto"/>
        </w:rPr>
      </w:pPr>
    </w:p>
    <w:p>
      <w:pPr>
        <w:ind w:left="460" w:firstLine="313"/>
        <w:spacing w:after="0" w:line="17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o</w:t>
      </w:r>
    </w:p>
    <w:p>
      <w:pPr>
        <w:spacing w:after="0" w:line="22" w:lineRule="exact"/>
        <w:rPr>
          <w:sz w:val="20"/>
          <w:szCs w:val="20"/>
          <w:color w:val="auto"/>
        </w:rPr>
      </w:pPr>
    </w:p>
    <w:p>
      <w:pPr>
        <w:ind w:left="460" w:right="240" w:firstLine="313"/>
        <w:spacing w:after="0" w:line="286" w:lineRule="auto"/>
        <w:rPr>
          <w:sz w:val="20"/>
          <w:szCs w:val="20"/>
          <w:color w:val="auto"/>
        </w:rPr>
      </w:pPr>
      <w:r>
        <w:rPr>
          <w:rFonts w:ascii="Times New Roman" w:cs="Times New Roman" w:eastAsia="Times New Roman" w:hAnsi="Times New Roman"/>
          <w:sz w:val="13"/>
          <w:szCs w:val="13"/>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7" w:lineRule="exact"/>
        <w:rPr>
          <w:sz w:val="20"/>
          <w:szCs w:val="20"/>
          <w:color w:val="auto"/>
        </w:rPr>
      </w:pPr>
    </w:p>
    <w:p>
      <w:pPr>
        <w:ind w:left="460" w:right="400" w:firstLine="313"/>
        <w:spacing w:after="0" w:line="25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 w:lineRule="exact"/>
        <w:rPr>
          <w:sz w:val="20"/>
          <w:szCs w:val="20"/>
          <w:color w:val="auto"/>
        </w:rPr>
      </w:pPr>
    </w:p>
    <w:p>
      <w:pPr>
        <w:ind w:left="3760"/>
        <w:spacing w:after="0" w:line="150" w:lineRule="exact"/>
        <w:tabs>
          <w:tab w:leader="none" w:pos="5220" w:val="left"/>
          <w:tab w:leader="none" w:pos="6360"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Accelerated filer o</w:t>
        <w:tab/>
        <w:t>Non-accelerated filer o</w:t>
      </w:r>
    </w:p>
    <w:p>
      <w:pPr>
        <w:spacing w:after="0" w:line="8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r>
    </w:p>
    <w:p>
      <w:pPr>
        <w:spacing w:after="0" w:line="36" w:lineRule="exact"/>
        <w:rPr>
          <w:sz w:val="20"/>
          <w:szCs w:val="20"/>
          <w:color w:val="auto"/>
        </w:rPr>
      </w:pPr>
    </w:p>
    <w:p>
      <w:pPr>
        <w:ind w:left="5300"/>
        <w:spacing w:after="0" w:line="150" w:lineRule="exact"/>
        <w:tabs>
          <w:tab w:leader="none" w:pos="5720" w:val="left"/>
        </w:tabs>
        <w:rPr>
          <w:sz w:val="20"/>
          <w:szCs w:val="20"/>
          <w:color w:val="auto"/>
        </w:rPr>
      </w:pPr>
      <w:r>
        <w:rPr>
          <w:rFonts w:ascii="Times New Roman" w:cs="Times New Roman" w:eastAsia="Times New Roman" w:hAnsi="Times New Roman"/>
          <w:sz w:val="13"/>
          <w:szCs w:val="13"/>
          <w:color w:val="auto"/>
        </w:rPr>
        <w:t>Yes o</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1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The aggregate market value of the shares of the Common Stock held by non-affiliates of the registrant as of June 30, 2006 was $572,981,120.</w:t>
      </w:r>
    </w:p>
    <w:p>
      <w:pPr>
        <w:spacing w:after="0" w:line="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As of February 1, 2007, there were 221,551,042 shares of Common Stock outstanding.</w:t>
      </w:r>
    </w:p>
    <w:p>
      <w:pPr>
        <w:spacing w:after="0" w:line="57" w:lineRule="exact"/>
        <w:rPr>
          <w:sz w:val="20"/>
          <w:szCs w:val="20"/>
          <w:color w:val="auto"/>
        </w:rPr>
      </w:pPr>
    </w:p>
    <w:p>
      <w:pPr>
        <w:ind w:left="460" w:right="300" w:firstLine="313"/>
        <w:spacing w:after="0" w:line="286" w:lineRule="auto"/>
        <w:rPr>
          <w:sz w:val="20"/>
          <w:szCs w:val="20"/>
          <w:color w:val="auto"/>
        </w:rPr>
      </w:pPr>
      <w:r>
        <w:rPr>
          <w:rFonts w:ascii="Times New Roman" w:cs="Times New Roman" w:eastAsia="Times New Roman" w:hAnsi="Times New Roman"/>
          <w:sz w:val="13"/>
          <w:szCs w:val="13"/>
          <w:color w:val="auto"/>
        </w:rPr>
        <w:t>The information in Part III hereof is incorporated herein by reference to the registrant’s Proxy Statement on Schedule 14A for the fiscal year ended December 31, 2006, to be filed within 120 days after the close of the fiscal year that is the subject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56515</wp:posOffset>
            </wp:positionV>
            <wp:extent cx="6628765" cy="2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2876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178435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125" w:right="879" w:bottom="1440" w:gutter="0" w:footer="0" w:header="0"/>
          <w:type w:val="continuous"/>
        </w:sectPr>
      </w:pPr>
    </w:p>
    <w:bookmarkStart w:id="2" w:name="page3"/>
    <w:bookmarkEnd w:id="2"/>
    <w:tbl>
      <w:tblPr>
        <w:tblLayout w:type="fixed"/>
        <w:tblInd w:w="34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40" w:type="dxa"/>
            <w:vAlign w:val="bottom"/>
            <w:gridSpan w:val="12"/>
          </w:tcPr>
          <w:p>
            <w:pPr>
              <w:jc w:val="center"/>
              <w:ind w:right="3560"/>
              <w:spacing w:after="0"/>
              <w:rPr>
                <w:sz w:val="20"/>
                <w:szCs w:val="20"/>
                <w:color w:val="auto"/>
              </w:rPr>
            </w:pPr>
            <w:r>
              <w:rPr>
                <w:rFonts w:ascii="Times New Roman" w:cs="Times New Roman" w:eastAsia="Times New Roman" w:hAnsi="Times New Roman"/>
                <w:sz w:val="13"/>
                <w:szCs w:val="13"/>
                <w:b w:val="1"/>
                <w:bCs w:val="1"/>
                <w:color w:val="auto"/>
                <w:w w:val="99"/>
              </w:rPr>
              <w:t>TABLE OF CONTENTS</w:t>
            </w:r>
          </w:p>
        </w:tc>
        <w:tc>
          <w:tcPr>
            <w:tcW w:w="580" w:type="dxa"/>
            <w:vAlign w:val="bottom"/>
          </w:tcPr>
          <w:p>
            <w:pPr>
              <w:spacing w:after="0"/>
              <w:rPr>
                <w:sz w:val="15"/>
                <w:szCs w:val="15"/>
                <w:color w:val="auto"/>
              </w:rPr>
            </w:pPr>
          </w:p>
        </w:tc>
      </w:tr>
      <w:tr>
        <w:trPr>
          <w:trHeight w:val="246"/>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900" w:type="dxa"/>
            <w:vAlign w:val="bottom"/>
            <w:gridSpan w:val="11"/>
          </w:tcPr>
          <w:p>
            <w:pPr>
              <w:jc w:val="center"/>
              <w:ind w:right="3900"/>
              <w:spacing w:after="0"/>
              <w:rPr>
                <w:sz w:val="20"/>
                <w:szCs w:val="20"/>
                <w:color w:val="auto"/>
              </w:rPr>
            </w:pPr>
            <w:r>
              <w:rPr>
                <w:rFonts w:ascii="Times New Roman" w:cs="Times New Roman" w:eastAsia="Times New Roman" w:hAnsi="Times New Roman"/>
                <w:sz w:val="13"/>
                <w:szCs w:val="13"/>
                <w:b w:val="1"/>
                <w:bCs w:val="1"/>
                <w:color w:val="auto"/>
              </w:rPr>
              <w:t>FORM 10-K</w:t>
            </w:r>
          </w:p>
        </w:tc>
        <w:tc>
          <w:tcPr>
            <w:tcW w:w="580" w:type="dxa"/>
            <w:vAlign w:val="bottom"/>
          </w:tcPr>
          <w:p>
            <w:pPr>
              <w:spacing w:after="0"/>
              <w:rPr>
                <w:sz w:val="21"/>
                <w:szCs w:val="21"/>
                <w:color w:val="auto"/>
              </w:rPr>
            </w:pPr>
          </w:p>
        </w:tc>
      </w:tr>
      <w:tr>
        <w:trPr>
          <w:trHeight w:val="265"/>
        </w:trPr>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580" w:type="dxa"/>
            <w:vAlign w:val="bottom"/>
          </w:tcPr>
          <w:p>
            <w:pPr>
              <w:jc w:val="right"/>
              <w:ind w:right="116"/>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127"/>
        </w:trPr>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0"/>
                <w:szCs w:val="10"/>
                <w:b w:val="1"/>
                <w:bCs w:val="1"/>
                <w:color w:val="auto"/>
              </w:rPr>
              <w:t>Number</w:t>
            </w:r>
          </w:p>
        </w:tc>
      </w:tr>
      <w:tr>
        <w:trPr>
          <w:trHeight w:val="157"/>
        </w:trPr>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gridSpan w:val="8"/>
          </w:tcPr>
          <w:p>
            <w:pPr>
              <w:jc w:val="center"/>
              <w:ind w:right="4200"/>
              <w:spacing w:after="0"/>
              <w:rPr>
                <w:rFonts w:ascii="Times New Roman" w:cs="Times New Roman" w:eastAsia="Times New Roman" w:hAnsi="Times New Roman"/>
                <w:sz w:val="13"/>
                <w:szCs w:val="13"/>
                <w:b w:val="1"/>
                <w:bCs w:val="1"/>
                <w:color w:val="0000EE"/>
                <w:w w:val="96"/>
              </w:rPr>
            </w:pPr>
            <w:hyperlink w:anchor="page4">
              <w:r>
                <w:rPr>
                  <w:rFonts w:ascii="Times New Roman" w:cs="Times New Roman" w:eastAsia="Times New Roman" w:hAnsi="Times New Roman"/>
                  <w:sz w:val="13"/>
                  <w:szCs w:val="13"/>
                  <w:b w:val="1"/>
                  <w:bCs w:val="1"/>
                  <w:color w:val="0000EE"/>
                  <w:w w:val="96"/>
                </w:rPr>
                <w:t>PART I</w:t>
              </w:r>
            </w:hyperlink>
          </w:p>
        </w:tc>
        <w:tc>
          <w:tcPr>
            <w:tcW w:w="580" w:type="dxa"/>
            <w:vAlign w:val="bottom"/>
          </w:tcPr>
          <w:p>
            <w:pPr>
              <w:spacing w:after="0"/>
              <w:rPr>
                <w:sz w:val="13"/>
                <w:szCs w:val="13"/>
                <w:color w:val="auto"/>
              </w:rPr>
            </w:pPr>
          </w:p>
        </w:tc>
      </w:tr>
      <w:tr>
        <w:trPr>
          <w:trHeight w:val="137"/>
        </w:trPr>
        <w:tc>
          <w:tcPr>
            <w:tcW w:w="1040" w:type="dxa"/>
            <w:vAlign w:val="bottom"/>
            <w:gridSpan w:val="4"/>
          </w:tcPr>
          <w:p>
            <w:pPr>
              <w:spacing w:after="0" w:line="138" w:lineRule="exact"/>
              <w:rPr>
                <w:rFonts w:ascii="Times New Roman" w:cs="Times New Roman" w:eastAsia="Times New Roman" w:hAnsi="Times New Roman"/>
                <w:sz w:val="13"/>
                <w:szCs w:val="13"/>
                <w:color w:val="0000EE"/>
              </w:rPr>
            </w:pPr>
            <w:hyperlink w:anchor="page4">
              <w:r>
                <w:rPr>
                  <w:rFonts w:ascii="Times New Roman" w:cs="Times New Roman" w:eastAsia="Times New Roman" w:hAnsi="Times New Roman"/>
                  <w:sz w:val="13"/>
                  <w:szCs w:val="13"/>
                  <w:color w:val="0000EE"/>
                </w:rPr>
                <w:t>Item 1.</w:t>
              </w:r>
            </w:hyperlink>
          </w:p>
        </w:tc>
        <w:tc>
          <w:tcPr>
            <w:tcW w:w="3360" w:type="dxa"/>
            <w:vAlign w:val="bottom"/>
            <w:gridSpan w:val="18"/>
          </w:tcPr>
          <w:p>
            <w:pPr>
              <w:spacing w:after="0" w:line="138" w:lineRule="exact"/>
              <w:rPr>
                <w:rFonts w:ascii="Times New Roman" w:cs="Times New Roman" w:eastAsia="Times New Roman" w:hAnsi="Times New Roman"/>
                <w:sz w:val="13"/>
                <w:szCs w:val="13"/>
                <w:color w:val="0000EE"/>
              </w:rPr>
            </w:pPr>
            <w:hyperlink w:anchor="page4">
              <w:r>
                <w:rPr>
                  <w:rFonts w:ascii="Times New Roman" w:cs="Times New Roman" w:eastAsia="Times New Roman" w:hAnsi="Times New Roman"/>
                  <w:sz w:val="13"/>
                  <w:szCs w:val="13"/>
                  <w:color w:val="0000EE"/>
                </w:rPr>
                <w:t>Business</w:t>
              </w:r>
            </w:hyperlink>
          </w:p>
        </w:tc>
        <w:tc>
          <w:tcPr>
            <w:tcW w:w="420" w:type="dxa"/>
            <w:vAlign w:val="bottom"/>
            <w:tcBorders>
              <w:top w:val="single" w:sz="8" w:color="0000EE"/>
            </w:tcBorders>
          </w:tcPr>
          <w:p>
            <w:pPr>
              <w:spacing w:after="0"/>
              <w:rPr>
                <w:sz w:val="11"/>
                <w:szCs w:val="11"/>
                <w:color w:val="auto"/>
              </w:rPr>
            </w:pPr>
          </w:p>
        </w:tc>
        <w:tc>
          <w:tcPr>
            <w:tcW w:w="4200" w:type="dxa"/>
            <w:vAlign w:val="bottom"/>
            <w:gridSpan w:val="7"/>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Times New Roman" w:cs="Times New Roman" w:eastAsia="Times New Roman" w:hAnsi="Times New Roman"/>
                <w:sz w:val="13"/>
                <w:szCs w:val="13"/>
                <w:color w:val="auto"/>
              </w:rPr>
              <w:t>1</w:t>
            </w:r>
          </w:p>
        </w:tc>
      </w:tr>
      <w:tr>
        <w:trPr>
          <w:trHeight w:val="20"/>
        </w:trPr>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3"/>
          </w:tcPr>
          <w:p>
            <w:pPr>
              <w:spacing w:after="0" w:line="138" w:lineRule="exact"/>
              <w:rPr>
                <w:rFonts w:ascii="Times New Roman" w:cs="Times New Roman" w:eastAsia="Times New Roman" w:hAnsi="Times New Roman"/>
                <w:sz w:val="13"/>
                <w:szCs w:val="13"/>
                <w:color w:val="0000EE"/>
                <w:w w:val="99"/>
              </w:rPr>
            </w:pPr>
            <w:hyperlink w:anchor="page17">
              <w:r>
                <w:rPr>
                  <w:rFonts w:ascii="Times New Roman" w:cs="Times New Roman" w:eastAsia="Times New Roman" w:hAnsi="Times New Roman"/>
                  <w:sz w:val="13"/>
                  <w:szCs w:val="13"/>
                  <w:color w:val="0000EE"/>
                  <w:w w:val="99"/>
                </w:rPr>
                <w:t>Item 1A.</w:t>
              </w:r>
            </w:hyperlink>
          </w:p>
        </w:tc>
        <w:tc>
          <w:tcPr>
            <w:tcW w:w="560" w:type="dxa"/>
            <w:vAlign w:val="bottom"/>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Times New Roman" w:cs="Times New Roman" w:eastAsia="Times New Roman" w:hAnsi="Times New Roman"/>
                <w:sz w:val="13"/>
                <w:szCs w:val="13"/>
                <w:color w:val="0000EE"/>
                <w:w w:val="97"/>
              </w:rPr>
            </w:pPr>
            <w:hyperlink w:anchor="page17">
              <w:r>
                <w:rPr>
                  <w:rFonts w:ascii="Times New Roman" w:cs="Times New Roman" w:eastAsia="Times New Roman" w:hAnsi="Times New Roman"/>
                  <w:sz w:val="13"/>
                  <w:szCs w:val="13"/>
                  <w:color w:val="0000EE"/>
                  <w:w w:val="97"/>
                </w:rPr>
                <w:t>Risk Factors</w:t>
              </w:r>
            </w:hyperlink>
          </w:p>
        </w:tc>
        <w:tc>
          <w:tcPr>
            <w:tcW w:w="7320" w:type="dxa"/>
            <w:vAlign w:val="bottom"/>
            <w:gridSpan w:val="23"/>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Times New Roman" w:cs="Times New Roman" w:eastAsia="Times New Roman" w:hAnsi="Times New Roman"/>
                <w:sz w:val="13"/>
                <w:szCs w:val="13"/>
                <w:color w:val="auto"/>
              </w:rPr>
              <w:t>14</w:t>
            </w:r>
          </w:p>
        </w:tc>
      </w:tr>
      <w:tr>
        <w:trPr>
          <w:trHeight w:val="137"/>
        </w:trPr>
        <w:tc>
          <w:tcPr>
            <w:tcW w:w="460" w:type="dxa"/>
            <w:vAlign w:val="bottom"/>
            <w:gridSpan w:val="2"/>
          </w:tcPr>
          <w:p>
            <w:pPr>
              <w:spacing w:after="0" w:line="138" w:lineRule="exact"/>
              <w:rPr>
                <w:rFonts w:ascii="Times New Roman" w:cs="Times New Roman" w:eastAsia="Times New Roman" w:hAnsi="Times New Roman"/>
                <w:sz w:val="13"/>
                <w:szCs w:val="13"/>
                <w:color w:val="0000EE"/>
                <w:w w:val="96"/>
              </w:rPr>
            </w:pPr>
            <w:hyperlink w:anchor="page23">
              <w:r>
                <w:rPr>
                  <w:rFonts w:ascii="Times New Roman" w:cs="Times New Roman" w:eastAsia="Times New Roman" w:hAnsi="Times New Roman"/>
                  <w:sz w:val="13"/>
                  <w:szCs w:val="13"/>
                  <w:color w:val="0000EE"/>
                  <w:w w:val="96"/>
                </w:rPr>
                <w:t>Item 1B.</w:t>
              </w:r>
            </w:hyperlink>
          </w:p>
        </w:tc>
        <w:tc>
          <w:tcPr>
            <w:tcW w:w="580" w:type="dxa"/>
            <w:vAlign w:val="bottom"/>
            <w:gridSpan w:val="2"/>
          </w:tcPr>
          <w:p>
            <w:pPr>
              <w:spacing w:after="0"/>
              <w:rPr>
                <w:sz w:val="11"/>
                <w:szCs w:val="11"/>
                <w:color w:val="auto"/>
              </w:rPr>
            </w:pPr>
          </w:p>
        </w:tc>
        <w:tc>
          <w:tcPr>
            <w:tcW w:w="7980" w:type="dxa"/>
            <w:vAlign w:val="bottom"/>
            <w:gridSpan w:val="26"/>
          </w:tcPr>
          <w:p>
            <w:pPr>
              <w:spacing w:after="0" w:line="138" w:lineRule="exact"/>
              <w:rPr>
                <w:rFonts w:ascii="Times New Roman" w:cs="Times New Roman" w:eastAsia="Times New Roman" w:hAnsi="Times New Roman"/>
                <w:sz w:val="13"/>
                <w:szCs w:val="13"/>
                <w:color w:val="0000EE"/>
              </w:rPr>
            </w:pPr>
            <w:hyperlink w:anchor="page23">
              <w:r>
                <w:rPr>
                  <w:rFonts w:ascii="Times New Roman" w:cs="Times New Roman" w:eastAsia="Times New Roman" w:hAnsi="Times New Roman"/>
                  <w:sz w:val="13"/>
                  <w:szCs w:val="13"/>
                  <w:color w:val="0000EE"/>
                </w:rPr>
                <w:t>Unresolved Staff Comments</w:t>
              </w:r>
            </w:hyperlink>
          </w:p>
        </w:tc>
        <w:tc>
          <w:tcPr>
            <w:tcW w:w="580" w:type="dxa"/>
            <w:vAlign w:val="bottom"/>
          </w:tcPr>
          <w:p>
            <w:pPr>
              <w:jc w:val="right"/>
              <w:ind w:right="136"/>
              <w:spacing w:after="0" w:line="138" w:lineRule="exact"/>
              <w:rPr>
                <w:sz w:val="20"/>
                <w:szCs w:val="20"/>
                <w:color w:val="auto"/>
              </w:rPr>
            </w:pPr>
            <w:r>
              <w:rPr>
                <w:rFonts w:ascii="Times New Roman" w:cs="Times New Roman" w:eastAsia="Times New Roman" w:hAnsi="Times New Roman"/>
                <w:sz w:val="13"/>
                <w:szCs w:val="13"/>
                <w:color w:val="auto"/>
              </w:rPr>
              <w:t>20</w:t>
            </w:r>
          </w:p>
        </w:tc>
      </w:tr>
      <w:tr>
        <w:trPr>
          <w:trHeight w:val="137"/>
        </w:trPr>
        <w:tc>
          <w:tcPr>
            <w:tcW w:w="460" w:type="dxa"/>
            <w:vAlign w:val="bottom"/>
            <w:tcBorders>
              <w:top w:val="single" w:sz="8" w:color="0000EE"/>
            </w:tcBorders>
            <w:gridSpan w:val="2"/>
          </w:tcPr>
          <w:p>
            <w:pPr>
              <w:spacing w:after="0" w:line="138" w:lineRule="exact"/>
              <w:rPr>
                <w:rFonts w:ascii="Times New Roman" w:cs="Times New Roman" w:eastAsia="Times New Roman" w:hAnsi="Times New Roman"/>
                <w:sz w:val="13"/>
                <w:szCs w:val="13"/>
                <w:color w:val="0000EE"/>
              </w:rPr>
            </w:pPr>
            <w:hyperlink w:anchor="page24">
              <w:r>
                <w:rPr>
                  <w:rFonts w:ascii="Times New Roman" w:cs="Times New Roman" w:eastAsia="Times New Roman" w:hAnsi="Times New Roman"/>
                  <w:sz w:val="13"/>
                  <w:szCs w:val="13"/>
                  <w:color w:val="0000EE"/>
                </w:rPr>
                <w:t>Item 2.</w:t>
              </w:r>
            </w:hyperlink>
          </w:p>
        </w:tc>
        <w:tc>
          <w:tcPr>
            <w:tcW w:w="580" w:type="dxa"/>
            <w:vAlign w:val="bottom"/>
            <w:gridSpan w:val="2"/>
          </w:tcPr>
          <w:p>
            <w:pPr>
              <w:spacing w:after="0"/>
              <w:rPr>
                <w:sz w:val="11"/>
                <w:szCs w:val="11"/>
                <w:color w:val="auto"/>
              </w:rPr>
            </w:pPr>
          </w:p>
        </w:tc>
        <w:tc>
          <w:tcPr>
            <w:tcW w:w="1480" w:type="dxa"/>
            <w:vAlign w:val="bottom"/>
            <w:tcBorders>
              <w:top w:val="single" w:sz="8" w:color="0000EE"/>
            </w:tcBorders>
            <w:gridSpan w:val="8"/>
          </w:tcPr>
          <w:p>
            <w:pPr>
              <w:spacing w:after="0" w:line="138" w:lineRule="exact"/>
              <w:rPr>
                <w:rFonts w:ascii="Times New Roman" w:cs="Times New Roman" w:eastAsia="Times New Roman" w:hAnsi="Times New Roman"/>
                <w:sz w:val="13"/>
                <w:szCs w:val="13"/>
                <w:color w:val="0000EE"/>
              </w:rPr>
            </w:pPr>
            <w:hyperlink w:anchor="page24">
              <w:r>
                <w:rPr>
                  <w:rFonts w:ascii="Times New Roman" w:cs="Times New Roman" w:eastAsia="Times New Roman" w:hAnsi="Times New Roman"/>
                  <w:sz w:val="13"/>
                  <w:szCs w:val="13"/>
                  <w:color w:val="0000EE"/>
                </w:rPr>
                <w:t>Properties</w:t>
              </w:r>
            </w:hyperlink>
          </w:p>
        </w:tc>
        <w:tc>
          <w:tcPr>
            <w:tcW w:w="6500" w:type="dxa"/>
            <w:vAlign w:val="bottom"/>
            <w:gridSpan w:val="18"/>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Times New Roman" w:cs="Times New Roman" w:eastAsia="Times New Roman" w:hAnsi="Times New Roman"/>
                <w:sz w:val="13"/>
                <w:szCs w:val="13"/>
                <w:color w:val="auto"/>
              </w:rPr>
              <w:t>21</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Times New Roman" w:cs="Times New Roman" w:eastAsia="Times New Roman" w:hAnsi="Times New Roman"/>
                <w:sz w:val="13"/>
                <w:szCs w:val="13"/>
                <w:color w:val="0000EE"/>
              </w:rPr>
            </w:pPr>
            <w:hyperlink w:anchor="page24">
              <w:r>
                <w:rPr>
                  <w:rFonts w:ascii="Times New Roman" w:cs="Times New Roman" w:eastAsia="Times New Roman" w:hAnsi="Times New Roman"/>
                  <w:sz w:val="13"/>
                  <w:szCs w:val="13"/>
                  <w:color w:val="0000EE"/>
                </w:rPr>
                <w:t>Item 3.</w:t>
              </w:r>
            </w:hyperlink>
          </w:p>
        </w:tc>
        <w:tc>
          <w:tcPr>
            <w:tcW w:w="7980" w:type="dxa"/>
            <w:vAlign w:val="bottom"/>
            <w:gridSpan w:val="26"/>
          </w:tcPr>
          <w:p>
            <w:pPr>
              <w:spacing w:after="0" w:line="138" w:lineRule="exact"/>
              <w:rPr>
                <w:rFonts w:ascii="Times New Roman" w:cs="Times New Roman" w:eastAsia="Times New Roman" w:hAnsi="Times New Roman"/>
                <w:sz w:val="13"/>
                <w:szCs w:val="13"/>
                <w:color w:val="0000EE"/>
              </w:rPr>
            </w:pPr>
            <w:hyperlink w:anchor="page24">
              <w:r>
                <w:rPr>
                  <w:rFonts w:ascii="Times New Roman" w:cs="Times New Roman" w:eastAsia="Times New Roman" w:hAnsi="Times New Roman"/>
                  <w:sz w:val="13"/>
                  <w:szCs w:val="13"/>
                  <w:color w:val="0000EE"/>
                </w:rPr>
                <w:t>Legal Proceedings</w:t>
              </w:r>
            </w:hyperlink>
          </w:p>
        </w:tc>
        <w:tc>
          <w:tcPr>
            <w:tcW w:w="580" w:type="dxa"/>
            <w:vAlign w:val="bottom"/>
          </w:tcPr>
          <w:p>
            <w:pPr>
              <w:jc w:val="right"/>
              <w:ind w:right="136"/>
              <w:spacing w:after="0" w:line="138" w:lineRule="exact"/>
              <w:rPr>
                <w:sz w:val="20"/>
                <w:szCs w:val="20"/>
                <w:color w:val="auto"/>
              </w:rPr>
            </w:pPr>
            <w:r>
              <w:rPr>
                <w:rFonts w:ascii="Times New Roman" w:cs="Times New Roman" w:eastAsia="Times New Roman" w:hAnsi="Times New Roman"/>
                <w:sz w:val="13"/>
                <w:szCs w:val="13"/>
                <w:color w:val="auto"/>
              </w:rPr>
              <w:t>21</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Times New Roman" w:cs="Times New Roman" w:eastAsia="Times New Roman" w:hAnsi="Times New Roman"/>
                <w:sz w:val="13"/>
                <w:szCs w:val="13"/>
                <w:color w:val="0000EE"/>
              </w:rPr>
            </w:pPr>
            <w:hyperlink w:anchor="page29">
              <w:r>
                <w:rPr>
                  <w:rFonts w:ascii="Times New Roman" w:cs="Times New Roman" w:eastAsia="Times New Roman" w:hAnsi="Times New Roman"/>
                  <w:sz w:val="13"/>
                  <w:szCs w:val="13"/>
                  <w:color w:val="0000EE"/>
                </w:rPr>
                <w:t>Item 4.</w:t>
              </w:r>
            </w:hyperlink>
          </w:p>
        </w:tc>
        <w:tc>
          <w:tcPr>
            <w:tcW w:w="7980" w:type="dxa"/>
            <w:vAlign w:val="bottom"/>
            <w:gridSpan w:val="26"/>
          </w:tcPr>
          <w:p>
            <w:pPr>
              <w:spacing w:after="0" w:line="138" w:lineRule="exact"/>
              <w:rPr>
                <w:rFonts w:ascii="Times New Roman" w:cs="Times New Roman" w:eastAsia="Times New Roman" w:hAnsi="Times New Roman"/>
                <w:sz w:val="13"/>
                <w:szCs w:val="13"/>
                <w:color w:val="0000EE"/>
              </w:rPr>
            </w:pPr>
            <w:hyperlink w:anchor="page29">
              <w:r>
                <w:rPr>
                  <w:rFonts w:ascii="Times New Roman" w:cs="Times New Roman" w:eastAsia="Times New Roman" w:hAnsi="Times New Roman"/>
                  <w:sz w:val="13"/>
                  <w:szCs w:val="13"/>
                  <w:color w:val="0000EE"/>
                </w:rPr>
                <w:t>Submission of Matters to a Vote of Security Holders</w:t>
              </w:r>
            </w:hyperlink>
          </w:p>
        </w:tc>
        <w:tc>
          <w:tcPr>
            <w:tcW w:w="580" w:type="dxa"/>
            <w:vAlign w:val="bottom"/>
          </w:tcPr>
          <w:p>
            <w:pPr>
              <w:jc w:val="right"/>
              <w:ind w:right="136"/>
              <w:spacing w:after="0" w:line="138" w:lineRule="exact"/>
              <w:rPr>
                <w:sz w:val="20"/>
                <w:szCs w:val="20"/>
                <w:color w:val="auto"/>
              </w:rPr>
            </w:pPr>
            <w:r>
              <w:rPr>
                <w:rFonts w:ascii="Times New Roman" w:cs="Times New Roman" w:eastAsia="Times New Roman" w:hAnsi="Times New Roman"/>
                <w:sz w:val="13"/>
                <w:szCs w:val="13"/>
                <w:color w:val="auto"/>
              </w:rPr>
              <w:t>26</w:t>
            </w:r>
          </w:p>
        </w:tc>
      </w:tr>
      <w:tr>
        <w:trPr>
          <w:trHeight w:val="255"/>
        </w:trPr>
        <w:tc>
          <w:tcPr>
            <w:tcW w:w="36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Times New Roman" w:cs="Times New Roman" w:eastAsia="Times New Roman" w:hAnsi="Times New Roman"/>
                <w:sz w:val="13"/>
                <w:szCs w:val="13"/>
                <w:b w:val="1"/>
                <w:bCs w:val="1"/>
                <w:color w:val="0000EE"/>
                <w:w w:val="98"/>
              </w:rPr>
            </w:pPr>
            <w:hyperlink w:anchor="page30">
              <w:r>
                <w:rPr>
                  <w:rFonts w:ascii="Times New Roman" w:cs="Times New Roman" w:eastAsia="Times New Roman" w:hAnsi="Times New Roman"/>
                  <w:sz w:val="13"/>
                  <w:szCs w:val="13"/>
                  <w:b w:val="1"/>
                  <w:bCs w:val="1"/>
                  <w:color w:val="0000EE"/>
                  <w:w w:val="98"/>
                </w:rPr>
                <w:t>PART II</w:t>
              </w:r>
            </w:hyperlink>
          </w:p>
        </w:tc>
        <w:tc>
          <w:tcPr>
            <w:tcW w:w="4160" w:type="dxa"/>
            <w:vAlign w:val="bottom"/>
            <w:gridSpan w:val="6"/>
          </w:tcPr>
          <w:p>
            <w:pPr>
              <w:spacing w:after="0"/>
              <w:rPr>
                <w:sz w:val="22"/>
                <w:szCs w:val="22"/>
                <w:color w:val="auto"/>
              </w:rPr>
            </w:pPr>
          </w:p>
        </w:tc>
        <w:tc>
          <w:tcPr>
            <w:tcW w:w="580" w:type="dxa"/>
            <w:vAlign w:val="bottom"/>
          </w:tcPr>
          <w:p>
            <w:pPr>
              <w:spacing w:after="0"/>
              <w:rPr>
                <w:sz w:val="22"/>
                <w:szCs w:val="22"/>
                <w:color w:val="auto"/>
              </w:rPr>
            </w:pPr>
          </w:p>
        </w:tc>
      </w:tr>
      <w:tr>
        <w:trPr>
          <w:trHeight w:val="137"/>
        </w:trPr>
        <w:tc>
          <w:tcPr>
            <w:tcW w:w="1040" w:type="dxa"/>
            <w:vAlign w:val="bottom"/>
            <w:gridSpan w:val="4"/>
          </w:tcPr>
          <w:p>
            <w:pPr>
              <w:spacing w:after="0" w:line="138" w:lineRule="exact"/>
              <w:rPr>
                <w:rFonts w:ascii="Times New Roman" w:cs="Times New Roman" w:eastAsia="Times New Roman" w:hAnsi="Times New Roman"/>
                <w:sz w:val="13"/>
                <w:szCs w:val="13"/>
                <w:color w:val="0000EE"/>
              </w:rPr>
            </w:pPr>
            <w:hyperlink w:anchor="page30">
              <w:r>
                <w:rPr>
                  <w:rFonts w:ascii="Times New Roman" w:cs="Times New Roman" w:eastAsia="Times New Roman" w:hAnsi="Times New Roman"/>
                  <w:sz w:val="13"/>
                  <w:szCs w:val="13"/>
                  <w:color w:val="0000EE"/>
                </w:rPr>
                <w:t>Item 5.</w:t>
              </w:r>
            </w:hyperlink>
          </w:p>
        </w:tc>
        <w:tc>
          <w:tcPr>
            <w:tcW w:w="7980" w:type="dxa"/>
            <w:vAlign w:val="bottom"/>
            <w:gridSpan w:val="26"/>
          </w:tcPr>
          <w:p>
            <w:pPr>
              <w:spacing w:after="0" w:line="138" w:lineRule="exact"/>
              <w:rPr>
                <w:rFonts w:ascii="Times New Roman" w:cs="Times New Roman" w:eastAsia="Times New Roman" w:hAnsi="Times New Roman"/>
                <w:sz w:val="13"/>
                <w:szCs w:val="13"/>
                <w:color w:val="0000EE"/>
              </w:rPr>
            </w:pPr>
            <w:hyperlink w:anchor="page30">
              <w:r>
                <w:rPr>
                  <w:rFonts w:ascii="Times New Roman" w:cs="Times New Roman" w:eastAsia="Times New Roman" w:hAnsi="Times New Roman"/>
                  <w:sz w:val="13"/>
                  <w:szCs w:val="13"/>
                  <w:color w:val="0000EE"/>
                </w:rPr>
                <w:t>Market for Registrant’s Common Equity and Related Stockholder Matters and Issuer Purchases of Equity Securities</w:t>
              </w:r>
            </w:hyperlink>
          </w:p>
        </w:tc>
        <w:tc>
          <w:tcPr>
            <w:tcW w:w="580" w:type="dxa"/>
            <w:vAlign w:val="bottom"/>
          </w:tcPr>
          <w:p>
            <w:pPr>
              <w:jc w:val="right"/>
              <w:ind w:right="136"/>
              <w:spacing w:after="0" w:line="138" w:lineRule="exact"/>
              <w:rPr>
                <w:sz w:val="20"/>
                <w:szCs w:val="20"/>
                <w:color w:val="auto"/>
              </w:rPr>
            </w:pPr>
            <w:r>
              <w:rPr>
                <w:rFonts w:ascii="Times New Roman" w:cs="Times New Roman" w:eastAsia="Times New Roman" w:hAnsi="Times New Roman"/>
                <w:sz w:val="13"/>
                <w:szCs w:val="13"/>
                <w:color w:val="auto"/>
              </w:rPr>
              <w:t>27</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Times New Roman" w:cs="Times New Roman" w:eastAsia="Times New Roman" w:hAnsi="Times New Roman"/>
                <w:sz w:val="13"/>
                <w:szCs w:val="13"/>
                <w:color w:val="0000EE"/>
              </w:rPr>
            </w:pPr>
            <w:hyperlink w:anchor="page31">
              <w:r>
                <w:rPr>
                  <w:rFonts w:ascii="Times New Roman" w:cs="Times New Roman" w:eastAsia="Times New Roman" w:hAnsi="Times New Roman"/>
                  <w:sz w:val="13"/>
                  <w:szCs w:val="13"/>
                  <w:color w:val="0000EE"/>
                </w:rPr>
                <w:t>Item 6.</w:t>
              </w:r>
            </w:hyperlink>
          </w:p>
        </w:tc>
        <w:tc>
          <w:tcPr>
            <w:tcW w:w="7980" w:type="dxa"/>
            <w:vAlign w:val="bottom"/>
            <w:gridSpan w:val="26"/>
          </w:tcPr>
          <w:p>
            <w:pPr>
              <w:spacing w:after="0" w:line="138" w:lineRule="exact"/>
              <w:rPr>
                <w:rFonts w:ascii="Times New Roman" w:cs="Times New Roman" w:eastAsia="Times New Roman" w:hAnsi="Times New Roman"/>
                <w:sz w:val="13"/>
                <w:szCs w:val="13"/>
                <w:color w:val="0000EE"/>
              </w:rPr>
            </w:pPr>
            <w:hyperlink w:anchor="page31">
              <w:r>
                <w:rPr>
                  <w:rFonts w:ascii="Times New Roman" w:cs="Times New Roman" w:eastAsia="Times New Roman" w:hAnsi="Times New Roman"/>
                  <w:sz w:val="13"/>
                  <w:szCs w:val="13"/>
                  <w:color w:val="0000EE"/>
                </w:rPr>
                <w:t>Selected Financial Data</w:t>
              </w:r>
            </w:hyperlink>
          </w:p>
        </w:tc>
        <w:tc>
          <w:tcPr>
            <w:tcW w:w="580" w:type="dxa"/>
            <w:vAlign w:val="bottom"/>
          </w:tcPr>
          <w:p>
            <w:pPr>
              <w:jc w:val="right"/>
              <w:ind w:right="136"/>
              <w:spacing w:after="0" w:line="138" w:lineRule="exact"/>
              <w:rPr>
                <w:sz w:val="20"/>
                <w:szCs w:val="20"/>
                <w:color w:val="auto"/>
              </w:rPr>
            </w:pPr>
            <w:r>
              <w:rPr>
                <w:rFonts w:ascii="Times New Roman" w:cs="Times New Roman" w:eastAsia="Times New Roman" w:hAnsi="Times New Roman"/>
                <w:sz w:val="13"/>
                <w:szCs w:val="13"/>
                <w:color w:val="auto"/>
              </w:rPr>
              <w:t>28</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Times New Roman" w:cs="Times New Roman" w:eastAsia="Times New Roman" w:hAnsi="Times New Roman"/>
                <w:sz w:val="13"/>
                <w:szCs w:val="13"/>
                <w:color w:val="0000EE"/>
              </w:rPr>
            </w:pPr>
            <w:hyperlink w:anchor="page34">
              <w:r>
                <w:rPr>
                  <w:rFonts w:ascii="Times New Roman" w:cs="Times New Roman" w:eastAsia="Times New Roman" w:hAnsi="Times New Roman"/>
                  <w:sz w:val="13"/>
                  <w:szCs w:val="13"/>
                  <w:color w:val="0000EE"/>
                </w:rPr>
                <w:t>Item 7.</w:t>
              </w:r>
            </w:hyperlink>
          </w:p>
        </w:tc>
        <w:tc>
          <w:tcPr>
            <w:tcW w:w="7980" w:type="dxa"/>
            <w:vAlign w:val="bottom"/>
            <w:gridSpan w:val="26"/>
          </w:tcPr>
          <w:p>
            <w:pPr>
              <w:spacing w:after="0" w:line="138" w:lineRule="exact"/>
              <w:rPr>
                <w:rFonts w:ascii="Times New Roman" w:cs="Times New Roman" w:eastAsia="Times New Roman" w:hAnsi="Times New Roman"/>
                <w:sz w:val="13"/>
                <w:szCs w:val="13"/>
                <w:color w:val="0000EE"/>
              </w:rPr>
            </w:pPr>
            <w:hyperlink w:anchor="page34">
              <w:r>
                <w:rPr>
                  <w:rFonts w:ascii="Times New Roman" w:cs="Times New Roman" w:eastAsia="Times New Roman" w:hAnsi="Times New Roman"/>
                  <w:sz w:val="13"/>
                  <w:szCs w:val="13"/>
                  <w:color w:val="0000EE"/>
                </w:rPr>
                <w:t>Management’s Discussion and Analysis of Financial Condition and Results of Operations</w:t>
              </w:r>
            </w:hyperlink>
          </w:p>
        </w:tc>
        <w:tc>
          <w:tcPr>
            <w:tcW w:w="580" w:type="dxa"/>
            <w:vAlign w:val="bottom"/>
          </w:tcPr>
          <w:p>
            <w:pPr>
              <w:jc w:val="right"/>
              <w:ind w:right="136"/>
              <w:spacing w:after="0" w:line="138" w:lineRule="exact"/>
              <w:rPr>
                <w:sz w:val="20"/>
                <w:szCs w:val="20"/>
                <w:color w:val="auto"/>
              </w:rPr>
            </w:pPr>
            <w:r>
              <w:rPr>
                <w:rFonts w:ascii="Times New Roman" w:cs="Times New Roman" w:eastAsia="Times New Roman" w:hAnsi="Times New Roman"/>
                <w:sz w:val="13"/>
                <w:szCs w:val="13"/>
                <w:color w:val="auto"/>
              </w:rPr>
              <w:t>31</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3"/>
          </w:tcPr>
          <w:p>
            <w:pPr>
              <w:spacing w:after="0" w:line="138" w:lineRule="exact"/>
              <w:rPr>
                <w:rFonts w:ascii="Times New Roman" w:cs="Times New Roman" w:eastAsia="Times New Roman" w:hAnsi="Times New Roman"/>
                <w:sz w:val="13"/>
                <w:szCs w:val="13"/>
                <w:color w:val="0000EE"/>
                <w:w w:val="99"/>
              </w:rPr>
            </w:pPr>
            <w:hyperlink w:anchor="page59">
              <w:r>
                <w:rPr>
                  <w:rFonts w:ascii="Times New Roman" w:cs="Times New Roman" w:eastAsia="Times New Roman" w:hAnsi="Times New Roman"/>
                  <w:sz w:val="13"/>
                  <w:szCs w:val="13"/>
                  <w:color w:val="0000EE"/>
                  <w:w w:val="99"/>
                </w:rPr>
                <w:t>Item 7A.</w:t>
              </w:r>
            </w:hyperlink>
          </w:p>
        </w:tc>
        <w:tc>
          <w:tcPr>
            <w:tcW w:w="560" w:type="dxa"/>
            <w:vAlign w:val="bottom"/>
          </w:tcPr>
          <w:p>
            <w:pPr>
              <w:spacing w:after="0"/>
              <w:rPr>
                <w:sz w:val="11"/>
                <w:szCs w:val="11"/>
                <w:color w:val="auto"/>
              </w:rPr>
            </w:pPr>
          </w:p>
        </w:tc>
        <w:tc>
          <w:tcPr>
            <w:tcW w:w="3080" w:type="dxa"/>
            <w:vAlign w:val="bottom"/>
            <w:tcBorders>
              <w:bottom w:val="single" w:sz="8" w:color="0000EE"/>
            </w:tcBorders>
            <w:gridSpan w:val="15"/>
          </w:tcPr>
          <w:p>
            <w:pPr>
              <w:spacing w:after="0" w:line="138" w:lineRule="exact"/>
              <w:rPr>
                <w:rFonts w:ascii="Times New Roman" w:cs="Times New Roman" w:eastAsia="Times New Roman" w:hAnsi="Times New Roman"/>
                <w:sz w:val="13"/>
                <w:szCs w:val="13"/>
                <w:color w:val="0000EE"/>
                <w:w w:val="99"/>
              </w:rPr>
            </w:pPr>
            <w:hyperlink w:anchor="page59">
              <w:r>
                <w:rPr>
                  <w:rFonts w:ascii="Times New Roman" w:cs="Times New Roman" w:eastAsia="Times New Roman" w:hAnsi="Times New Roman"/>
                  <w:sz w:val="13"/>
                  <w:szCs w:val="13"/>
                  <w:color w:val="0000EE"/>
                  <w:w w:val="99"/>
                </w:rPr>
                <w:t>Quantitative and Qualitative Disclosure about Market Risk</w:t>
              </w:r>
            </w:hyperlink>
          </w:p>
        </w:tc>
        <w:tc>
          <w:tcPr>
            <w:tcW w:w="4900" w:type="dxa"/>
            <w:vAlign w:val="bottom"/>
            <w:gridSpan w:val="11"/>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Times New Roman" w:cs="Times New Roman" w:eastAsia="Times New Roman" w:hAnsi="Times New Roman"/>
                <w:sz w:val="13"/>
                <w:szCs w:val="13"/>
                <w:color w:val="auto"/>
              </w:rPr>
              <w:t>56</w:t>
            </w:r>
          </w:p>
        </w:tc>
      </w:tr>
      <w:tr>
        <w:trPr>
          <w:trHeight w:val="137"/>
        </w:trPr>
        <w:tc>
          <w:tcPr>
            <w:tcW w:w="1040" w:type="dxa"/>
            <w:vAlign w:val="bottom"/>
            <w:gridSpan w:val="4"/>
          </w:tcPr>
          <w:p>
            <w:pPr>
              <w:spacing w:after="0" w:line="138" w:lineRule="exact"/>
              <w:rPr>
                <w:rFonts w:ascii="Times New Roman" w:cs="Times New Roman" w:eastAsia="Times New Roman" w:hAnsi="Times New Roman"/>
                <w:sz w:val="13"/>
                <w:szCs w:val="13"/>
                <w:color w:val="0000EE"/>
              </w:rPr>
            </w:pPr>
            <w:hyperlink w:anchor="page60">
              <w:r>
                <w:rPr>
                  <w:rFonts w:ascii="Times New Roman" w:cs="Times New Roman" w:eastAsia="Times New Roman" w:hAnsi="Times New Roman"/>
                  <w:sz w:val="13"/>
                  <w:szCs w:val="13"/>
                  <w:color w:val="0000EE"/>
                </w:rPr>
                <w:t>Item 8.</w:t>
              </w:r>
            </w:hyperlink>
          </w:p>
        </w:tc>
        <w:tc>
          <w:tcPr>
            <w:tcW w:w="7980" w:type="dxa"/>
            <w:vAlign w:val="bottom"/>
            <w:gridSpan w:val="26"/>
          </w:tcPr>
          <w:p>
            <w:pPr>
              <w:spacing w:after="0" w:line="138" w:lineRule="exact"/>
              <w:rPr>
                <w:rFonts w:ascii="Times New Roman" w:cs="Times New Roman" w:eastAsia="Times New Roman" w:hAnsi="Times New Roman"/>
                <w:sz w:val="13"/>
                <w:szCs w:val="13"/>
                <w:color w:val="0000EE"/>
              </w:rPr>
            </w:pPr>
            <w:hyperlink w:anchor="page60">
              <w:r>
                <w:rPr>
                  <w:rFonts w:ascii="Times New Roman" w:cs="Times New Roman" w:eastAsia="Times New Roman" w:hAnsi="Times New Roman"/>
                  <w:sz w:val="13"/>
                  <w:szCs w:val="13"/>
                  <w:color w:val="0000EE"/>
                </w:rPr>
                <w:t>Financial Statements and Supplementary Data</w:t>
              </w:r>
            </w:hyperlink>
          </w:p>
        </w:tc>
        <w:tc>
          <w:tcPr>
            <w:tcW w:w="580" w:type="dxa"/>
            <w:vAlign w:val="bottom"/>
          </w:tcPr>
          <w:p>
            <w:pPr>
              <w:jc w:val="right"/>
              <w:ind w:right="136"/>
              <w:spacing w:after="0" w:line="138" w:lineRule="exact"/>
              <w:rPr>
                <w:sz w:val="20"/>
                <w:szCs w:val="20"/>
                <w:color w:val="auto"/>
              </w:rPr>
            </w:pPr>
            <w:r>
              <w:rPr>
                <w:rFonts w:ascii="Times New Roman" w:cs="Times New Roman" w:eastAsia="Times New Roman" w:hAnsi="Times New Roman"/>
                <w:sz w:val="13"/>
                <w:szCs w:val="13"/>
                <w:color w:val="auto"/>
              </w:rPr>
              <w:t>57</w:t>
            </w:r>
          </w:p>
        </w:tc>
      </w:tr>
      <w:tr>
        <w:trPr>
          <w:trHeight w:val="20"/>
        </w:trPr>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Times New Roman" w:cs="Times New Roman" w:eastAsia="Times New Roman" w:hAnsi="Times New Roman"/>
                <w:sz w:val="13"/>
                <w:szCs w:val="13"/>
                <w:color w:val="0000EE"/>
              </w:rPr>
            </w:pPr>
            <w:hyperlink w:anchor="page117">
              <w:r>
                <w:rPr>
                  <w:rFonts w:ascii="Times New Roman" w:cs="Times New Roman" w:eastAsia="Times New Roman" w:hAnsi="Times New Roman"/>
                  <w:sz w:val="13"/>
                  <w:szCs w:val="13"/>
                  <w:color w:val="0000EE"/>
                </w:rPr>
                <w:t>Item 9.</w:t>
              </w:r>
            </w:hyperlink>
          </w:p>
        </w:tc>
        <w:tc>
          <w:tcPr>
            <w:tcW w:w="7980" w:type="dxa"/>
            <w:vAlign w:val="bottom"/>
            <w:gridSpan w:val="26"/>
          </w:tcPr>
          <w:p>
            <w:pPr>
              <w:spacing w:after="0" w:line="138" w:lineRule="exact"/>
              <w:rPr>
                <w:rFonts w:ascii="Times New Roman" w:cs="Times New Roman" w:eastAsia="Times New Roman" w:hAnsi="Times New Roman"/>
                <w:sz w:val="13"/>
                <w:szCs w:val="13"/>
                <w:color w:val="0000EE"/>
              </w:rPr>
            </w:pPr>
            <w:hyperlink w:anchor="page117">
              <w:r>
                <w:rPr>
                  <w:rFonts w:ascii="Times New Roman" w:cs="Times New Roman" w:eastAsia="Times New Roman" w:hAnsi="Times New Roman"/>
                  <w:sz w:val="13"/>
                  <w:szCs w:val="13"/>
                  <w:color w:val="0000EE"/>
                </w:rPr>
                <w:t>Changes in and Disagreements with Accountants on Accounting and Financial Disclosure</w:t>
              </w:r>
            </w:hyperlink>
          </w:p>
        </w:tc>
        <w:tc>
          <w:tcPr>
            <w:tcW w:w="580" w:type="dxa"/>
            <w:vAlign w:val="bottom"/>
          </w:tcPr>
          <w:p>
            <w:pPr>
              <w:jc w:val="right"/>
              <w:ind w:right="136"/>
              <w:spacing w:after="0" w:line="138" w:lineRule="exact"/>
              <w:rPr>
                <w:sz w:val="20"/>
                <w:szCs w:val="20"/>
                <w:color w:val="auto"/>
              </w:rPr>
            </w:pPr>
            <w:r>
              <w:rPr>
                <w:rFonts w:ascii="Times New Roman" w:cs="Times New Roman" w:eastAsia="Times New Roman" w:hAnsi="Times New Roman"/>
                <w:sz w:val="13"/>
                <w:szCs w:val="13"/>
                <w:color w:val="auto"/>
              </w:rPr>
              <w:t>114</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480" w:type="dxa"/>
            <w:vAlign w:val="bottom"/>
            <w:gridSpan w:val="3"/>
          </w:tcPr>
          <w:p>
            <w:pPr>
              <w:spacing w:after="0" w:line="138" w:lineRule="exact"/>
              <w:rPr>
                <w:rFonts w:ascii="Times New Roman" w:cs="Times New Roman" w:eastAsia="Times New Roman" w:hAnsi="Times New Roman"/>
                <w:sz w:val="13"/>
                <w:szCs w:val="13"/>
                <w:color w:val="0000EE"/>
                <w:w w:val="99"/>
              </w:rPr>
            </w:pPr>
            <w:hyperlink w:anchor="page117">
              <w:r>
                <w:rPr>
                  <w:rFonts w:ascii="Times New Roman" w:cs="Times New Roman" w:eastAsia="Times New Roman" w:hAnsi="Times New Roman"/>
                  <w:sz w:val="13"/>
                  <w:szCs w:val="13"/>
                  <w:color w:val="0000EE"/>
                  <w:w w:val="99"/>
                </w:rPr>
                <w:t>Item 9A.</w:t>
              </w:r>
            </w:hyperlink>
          </w:p>
        </w:tc>
        <w:tc>
          <w:tcPr>
            <w:tcW w:w="560" w:type="dxa"/>
            <w:vAlign w:val="bottom"/>
          </w:tcPr>
          <w:p>
            <w:pPr>
              <w:spacing w:after="0"/>
              <w:rPr>
                <w:sz w:val="11"/>
                <w:szCs w:val="11"/>
                <w:color w:val="auto"/>
              </w:rPr>
            </w:pPr>
          </w:p>
        </w:tc>
        <w:tc>
          <w:tcPr>
            <w:tcW w:w="7980" w:type="dxa"/>
            <w:vAlign w:val="bottom"/>
            <w:gridSpan w:val="26"/>
          </w:tcPr>
          <w:p>
            <w:pPr>
              <w:spacing w:after="0" w:line="138" w:lineRule="exact"/>
              <w:rPr>
                <w:rFonts w:ascii="Times New Roman" w:cs="Times New Roman" w:eastAsia="Times New Roman" w:hAnsi="Times New Roman"/>
                <w:sz w:val="13"/>
                <w:szCs w:val="13"/>
                <w:color w:val="0000EE"/>
              </w:rPr>
            </w:pPr>
            <w:hyperlink w:anchor="page117">
              <w:r>
                <w:rPr>
                  <w:rFonts w:ascii="Times New Roman" w:cs="Times New Roman" w:eastAsia="Times New Roman" w:hAnsi="Times New Roman"/>
                  <w:sz w:val="13"/>
                  <w:szCs w:val="13"/>
                  <w:color w:val="0000EE"/>
                </w:rPr>
                <w:t>Controls and Procedures</w:t>
              </w:r>
            </w:hyperlink>
          </w:p>
        </w:tc>
        <w:tc>
          <w:tcPr>
            <w:tcW w:w="580" w:type="dxa"/>
            <w:vAlign w:val="bottom"/>
          </w:tcPr>
          <w:p>
            <w:pPr>
              <w:jc w:val="right"/>
              <w:ind w:right="136"/>
              <w:spacing w:after="0" w:line="138" w:lineRule="exact"/>
              <w:rPr>
                <w:sz w:val="20"/>
                <w:szCs w:val="20"/>
                <w:color w:val="auto"/>
              </w:rPr>
            </w:pPr>
            <w:r>
              <w:rPr>
                <w:rFonts w:ascii="Times New Roman" w:cs="Times New Roman" w:eastAsia="Times New Roman" w:hAnsi="Times New Roman"/>
                <w:sz w:val="13"/>
                <w:szCs w:val="13"/>
                <w:color w:val="auto"/>
              </w:rPr>
              <w:t>114</w:t>
            </w:r>
          </w:p>
        </w:tc>
      </w:tr>
      <w:tr>
        <w:trPr>
          <w:trHeight w:val="137"/>
        </w:trPr>
        <w:tc>
          <w:tcPr>
            <w:tcW w:w="480" w:type="dxa"/>
            <w:vAlign w:val="bottom"/>
            <w:tcBorders>
              <w:top w:val="single" w:sz="8" w:color="0000EE"/>
            </w:tcBorders>
            <w:gridSpan w:val="3"/>
          </w:tcPr>
          <w:p>
            <w:pPr>
              <w:spacing w:after="0" w:line="138" w:lineRule="exact"/>
              <w:rPr>
                <w:rFonts w:ascii="Times New Roman" w:cs="Times New Roman" w:eastAsia="Times New Roman" w:hAnsi="Times New Roman"/>
                <w:sz w:val="13"/>
                <w:szCs w:val="13"/>
                <w:color w:val="0000EE"/>
              </w:rPr>
            </w:pPr>
            <w:hyperlink w:anchor="page117">
              <w:r>
                <w:rPr>
                  <w:rFonts w:ascii="Times New Roman" w:cs="Times New Roman" w:eastAsia="Times New Roman" w:hAnsi="Times New Roman"/>
                  <w:sz w:val="13"/>
                  <w:szCs w:val="13"/>
                  <w:color w:val="0000EE"/>
                </w:rPr>
                <w:t>Item 9B.</w:t>
              </w:r>
            </w:hyperlink>
          </w:p>
        </w:tc>
        <w:tc>
          <w:tcPr>
            <w:tcW w:w="560" w:type="dxa"/>
            <w:vAlign w:val="bottom"/>
          </w:tcPr>
          <w:p>
            <w:pPr>
              <w:spacing w:after="0"/>
              <w:rPr>
                <w:sz w:val="11"/>
                <w:szCs w:val="11"/>
                <w:color w:val="auto"/>
              </w:rPr>
            </w:pPr>
          </w:p>
        </w:tc>
        <w:tc>
          <w:tcPr>
            <w:tcW w:w="1280" w:type="dxa"/>
            <w:vAlign w:val="bottom"/>
            <w:tcBorders>
              <w:top w:val="single" w:sz="8" w:color="0000EE"/>
            </w:tcBorders>
            <w:gridSpan w:val="6"/>
          </w:tcPr>
          <w:p>
            <w:pPr>
              <w:spacing w:after="0" w:line="138" w:lineRule="exact"/>
              <w:rPr>
                <w:rFonts w:ascii="Times New Roman" w:cs="Times New Roman" w:eastAsia="Times New Roman" w:hAnsi="Times New Roman"/>
                <w:sz w:val="13"/>
                <w:szCs w:val="13"/>
                <w:color w:val="0000EE"/>
              </w:rPr>
            </w:pPr>
            <w:hyperlink w:anchor="page117">
              <w:r>
                <w:rPr>
                  <w:rFonts w:ascii="Times New Roman" w:cs="Times New Roman" w:eastAsia="Times New Roman" w:hAnsi="Times New Roman"/>
                  <w:sz w:val="13"/>
                  <w:szCs w:val="13"/>
                  <w:color w:val="0000EE"/>
                </w:rPr>
                <w:t>Other Information</w:t>
              </w:r>
            </w:hyperlink>
          </w:p>
        </w:tc>
        <w:tc>
          <w:tcPr>
            <w:tcW w:w="6700" w:type="dxa"/>
            <w:vAlign w:val="bottom"/>
            <w:gridSpan w:val="20"/>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Times New Roman" w:cs="Times New Roman" w:eastAsia="Times New Roman" w:hAnsi="Times New Roman"/>
                <w:sz w:val="13"/>
                <w:szCs w:val="13"/>
                <w:color w:val="auto"/>
              </w:rPr>
              <w:t>114</w:t>
            </w:r>
          </w:p>
        </w:tc>
      </w:tr>
      <w:tr>
        <w:trPr>
          <w:trHeight w:val="255"/>
        </w:trPr>
        <w:tc>
          <w:tcPr>
            <w:tcW w:w="3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Times New Roman" w:cs="Times New Roman" w:eastAsia="Times New Roman" w:hAnsi="Times New Roman"/>
                <w:sz w:val="13"/>
                <w:szCs w:val="13"/>
                <w:b w:val="1"/>
                <w:bCs w:val="1"/>
                <w:color w:val="0000EE"/>
                <w:w w:val="96"/>
              </w:rPr>
            </w:pPr>
            <w:hyperlink w:anchor="page118">
              <w:r>
                <w:rPr>
                  <w:rFonts w:ascii="Times New Roman" w:cs="Times New Roman" w:eastAsia="Times New Roman" w:hAnsi="Times New Roman"/>
                  <w:sz w:val="13"/>
                  <w:szCs w:val="13"/>
                  <w:b w:val="1"/>
                  <w:bCs w:val="1"/>
                  <w:color w:val="0000EE"/>
                  <w:w w:val="96"/>
                </w:rPr>
                <w:t>PART III</w:t>
              </w:r>
            </w:hyperlink>
          </w:p>
        </w:tc>
        <w:tc>
          <w:tcPr>
            <w:tcW w:w="4120" w:type="dxa"/>
            <w:vAlign w:val="bottom"/>
            <w:gridSpan w:val="4"/>
          </w:tcPr>
          <w:p>
            <w:pPr>
              <w:spacing w:after="0"/>
              <w:rPr>
                <w:sz w:val="22"/>
                <w:szCs w:val="22"/>
                <w:color w:val="auto"/>
              </w:rPr>
            </w:pPr>
          </w:p>
        </w:tc>
        <w:tc>
          <w:tcPr>
            <w:tcW w:w="580" w:type="dxa"/>
            <w:vAlign w:val="bottom"/>
          </w:tcPr>
          <w:p>
            <w:pPr>
              <w:spacing w:after="0"/>
              <w:rPr>
                <w:sz w:val="22"/>
                <w:szCs w:val="22"/>
                <w:color w:val="auto"/>
              </w:rPr>
            </w:pPr>
          </w:p>
        </w:tc>
      </w:tr>
      <w:tr>
        <w:trPr>
          <w:trHeight w:val="137"/>
        </w:trPr>
        <w:tc>
          <w:tcPr>
            <w:tcW w:w="1040" w:type="dxa"/>
            <w:vAlign w:val="bottom"/>
            <w:gridSpan w:val="4"/>
          </w:tcPr>
          <w:p>
            <w:pPr>
              <w:spacing w:after="0" w:line="138" w:lineRule="exact"/>
              <w:rPr>
                <w:rFonts w:ascii="Times New Roman" w:cs="Times New Roman" w:eastAsia="Times New Roman" w:hAnsi="Times New Roman"/>
                <w:sz w:val="13"/>
                <w:szCs w:val="13"/>
                <w:color w:val="0000EE"/>
              </w:rPr>
            </w:pPr>
            <w:hyperlink w:anchor="page118">
              <w:r>
                <w:rPr>
                  <w:rFonts w:ascii="Times New Roman" w:cs="Times New Roman" w:eastAsia="Times New Roman" w:hAnsi="Times New Roman"/>
                  <w:sz w:val="13"/>
                  <w:szCs w:val="13"/>
                  <w:color w:val="0000EE"/>
                </w:rPr>
                <w:t>Item 10.</w:t>
              </w:r>
            </w:hyperlink>
          </w:p>
        </w:tc>
        <w:tc>
          <w:tcPr>
            <w:tcW w:w="7980" w:type="dxa"/>
            <w:vAlign w:val="bottom"/>
            <w:gridSpan w:val="26"/>
          </w:tcPr>
          <w:p>
            <w:pPr>
              <w:spacing w:after="0" w:line="138" w:lineRule="exact"/>
              <w:rPr>
                <w:rFonts w:ascii="Times New Roman" w:cs="Times New Roman" w:eastAsia="Times New Roman" w:hAnsi="Times New Roman"/>
                <w:sz w:val="13"/>
                <w:szCs w:val="13"/>
                <w:color w:val="0000EE"/>
              </w:rPr>
            </w:pPr>
            <w:hyperlink w:anchor="page118">
              <w:r>
                <w:rPr>
                  <w:rFonts w:ascii="Times New Roman" w:cs="Times New Roman" w:eastAsia="Times New Roman" w:hAnsi="Times New Roman"/>
                  <w:sz w:val="13"/>
                  <w:szCs w:val="13"/>
                  <w:color w:val="0000EE"/>
                </w:rPr>
                <w:t>Directors and Executive Officers of the Registrant</w:t>
              </w:r>
            </w:hyperlink>
          </w:p>
        </w:tc>
        <w:tc>
          <w:tcPr>
            <w:tcW w:w="580" w:type="dxa"/>
            <w:vAlign w:val="bottom"/>
          </w:tcPr>
          <w:p>
            <w:pPr>
              <w:jc w:val="right"/>
              <w:ind w:right="136"/>
              <w:spacing w:after="0" w:line="138" w:lineRule="exact"/>
              <w:rPr>
                <w:sz w:val="20"/>
                <w:szCs w:val="20"/>
                <w:color w:val="auto"/>
              </w:rPr>
            </w:pPr>
            <w:r>
              <w:rPr>
                <w:rFonts w:ascii="Times New Roman" w:cs="Times New Roman" w:eastAsia="Times New Roman" w:hAnsi="Times New Roman"/>
                <w:sz w:val="13"/>
                <w:szCs w:val="13"/>
                <w:color w:val="auto"/>
              </w:rPr>
              <w:t>115</w:t>
            </w:r>
          </w:p>
        </w:tc>
      </w:tr>
      <w:tr>
        <w:trPr>
          <w:trHeight w:val="20"/>
        </w:trPr>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0000EE"/>
              </w:rPr>
              <w:t>Item 11.</w:t>
            </w:r>
          </w:p>
        </w:tc>
        <w:tc>
          <w:tcPr>
            <w:tcW w:w="7980" w:type="dxa"/>
            <w:vAlign w:val="bottom"/>
            <w:gridSpan w:val="26"/>
          </w:tcPr>
          <w:p>
            <w:pPr>
              <w:spacing w:after="0" w:line="138" w:lineRule="exact"/>
              <w:rPr>
                <w:sz w:val="20"/>
                <w:szCs w:val="20"/>
                <w:color w:val="auto"/>
              </w:rPr>
            </w:pPr>
            <w:r>
              <w:rPr>
                <w:rFonts w:ascii="Times New Roman" w:cs="Times New Roman" w:eastAsia="Times New Roman" w:hAnsi="Times New Roman"/>
                <w:sz w:val="13"/>
                <w:szCs w:val="13"/>
                <w:color w:val="0000EE"/>
              </w:rPr>
              <w:t>Executive Compensation</w:t>
            </w:r>
          </w:p>
        </w:tc>
        <w:tc>
          <w:tcPr>
            <w:tcW w:w="580" w:type="dxa"/>
            <w:vAlign w:val="bottom"/>
          </w:tcPr>
          <w:p>
            <w:pPr>
              <w:jc w:val="right"/>
              <w:ind w:right="136"/>
              <w:spacing w:after="0" w:line="138" w:lineRule="exact"/>
              <w:rPr>
                <w:sz w:val="20"/>
                <w:szCs w:val="20"/>
                <w:color w:val="auto"/>
              </w:rPr>
            </w:pPr>
            <w:r>
              <w:rPr>
                <w:rFonts w:ascii="Times New Roman" w:cs="Times New Roman" w:eastAsia="Times New Roman" w:hAnsi="Times New Roman"/>
                <w:sz w:val="13"/>
                <w:szCs w:val="13"/>
                <w:color w:val="auto"/>
              </w:rPr>
              <w:t>115</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0000EE"/>
              </w:rPr>
              <w:t>Item 12.</w:t>
            </w:r>
          </w:p>
        </w:tc>
        <w:tc>
          <w:tcPr>
            <w:tcW w:w="7980" w:type="dxa"/>
            <w:vAlign w:val="bottom"/>
            <w:gridSpan w:val="26"/>
          </w:tcPr>
          <w:p>
            <w:pPr>
              <w:spacing w:after="0" w:line="138" w:lineRule="exact"/>
              <w:rPr>
                <w:sz w:val="20"/>
                <w:szCs w:val="20"/>
                <w:color w:val="auto"/>
              </w:rPr>
            </w:pPr>
            <w:r>
              <w:rPr>
                <w:rFonts w:ascii="Times New Roman" w:cs="Times New Roman" w:eastAsia="Times New Roman" w:hAnsi="Times New Roman"/>
                <w:sz w:val="13"/>
                <w:szCs w:val="13"/>
                <w:color w:val="0000EE"/>
              </w:rPr>
              <w:t>Security Ownership of Certain Beneficial Owners and Management and Related Stockholder Matters</w:t>
            </w:r>
          </w:p>
        </w:tc>
        <w:tc>
          <w:tcPr>
            <w:tcW w:w="580" w:type="dxa"/>
            <w:vAlign w:val="bottom"/>
          </w:tcPr>
          <w:p>
            <w:pPr>
              <w:jc w:val="right"/>
              <w:ind w:right="136"/>
              <w:spacing w:after="0" w:line="138" w:lineRule="exact"/>
              <w:rPr>
                <w:sz w:val="20"/>
                <w:szCs w:val="20"/>
                <w:color w:val="auto"/>
              </w:rPr>
            </w:pPr>
            <w:r>
              <w:rPr>
                <w:rFonts w:ascii="Times New Roman" w:cs="Times New Roman" w:eastAsia="Times New Roman" w:hAnsi="Times New Roman"/>
                <w:sz w:val="13"/>
                <w:szCs w:val="13"/>
                <w:color w:val="auto"/>
              </w:rPr>
              <w:t>115</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0000EE"/>
              </w:rPr>
              <w:t>Item 13.</w:t>
            </w:r>
          </w:p>
        </w:tc>
        <w:tc>
          <w:tcPr>
            <w:tcW w:w="7980" w:type="dxa"/>
            <w:vAlign w:val="bottom"/>
            <w:gridSpan w:val="26"/>
          </w:tcPr>
          <w:p>
            <w:pPr>
              <w:spacing w:after="0" w:line="138" w:lineRule="exact"/>
              <w:rPr>
                <w:sz w:val="20"/>
                <w:szCs w:val="20"/>
                <w:color w:val="auto"/>
              </w:rPr>
            </w:pPr>
            <w:r>
              <w:rPr>
                <w:rFonts w:ascii="Times New Roman" w:cs="Times New Roman" w:eastAsia="Times New Roman" w:hAnsi="Times New Roman"/>
                <w:sz w:val="13"/>
                <w:szCs w:val="13"/>
                <w:color w:val="0000EE"/>
              </w:rPr>
              <w:t>Certain Relationships and Related Transactions</w:t>
            </w:r>
          </w:p>
        </w:tc>
        <w:tc>
          <w:tcPr>
            <w:tcW w:w="580" w:type="dxa"/>
            <w:vAlign w:val="bottom"/>
          </w:tcPr>
          <w:p>
            <w:pPr>
              <w:jc w:val="right"/>
              <w:ind w:right="136"/>
              <w:spacing w:after="0" w:line="138" w:lineRule="exact"/>
              <w:rPr>
                <w:sz w:val="20"/>
                <w:szCs w:val="20"/>
                <w:color w:val="auto"/>
              </w:rPr>
            </w:pPr>
            <w:r>
              <w:rPr>
                <w:rFonts w:ascii="Times New Roman" w:cs="Times New Roman" w:eastAsia="Times New Roman" w:hAnsi="Times New Roman"/>
                <w:sz w:val="13"/>
                <w:szCs w:val="13"/>
                <w:color w:val="auto"/>
              </w:rPr>
              <w:t>115</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0000EE"/>
              </w:rPr>
              <w:t>Item 14.</w:t>
            </w:r>
          </w:p>
        </w:tc>
        <w:tc>
          <w:tcPr>
            <w:tcW w:w="7980" w:type="dxa"/>
            <w:vAlign w:val="bottom"/>
            <w:gridSpan w:val="26"/>
          </w:tcPr>
          <w:p>
            <w:pPr>
              <w:spacing w:after="0" w:line="138" w:lineRule="exact"/>
              <w:rPr>
                <w:sz w:val="20"/>
                <w:szCs w:val="20"/>
                <w:color w:val="auto"/>
              </w:rPr>
            </w:pPr>
            <w:r>
              <w:rPr>
                <w:rFonts w:ascii="Times New Roman" w:cs="Times New Roman" w:eastAsia="Times New Roman" w:hAnsi="Times New Roman"/>
                <w:sz w:val="13"/>
                <w:szCs w:val="13"/>
                <w:color w:val="0000EE"/>
              </w:rPr>
              <w:t>Principal Accounting Fees and Services</w:t>
            </w:r>
          </w:p>
        </w:tc>
        <w:tc>
          <w:tcPr>
            <w:tcW w:w="580" w:type="dxa"/>
            <w:vAlign w:val="bottom"/>
          </w:tcPr>
          <w:p>
            <w:pPr>
              <w:jc w:val="right"/>
              <w:ind w:right="136"/>
              <w:spacing w:after="0" w:line="138" w:lineRule="exact"/>
              <w:rPr>
                <w:sz w:val="20"/>
                <w:szCs w:val="20"/>
                <w:color w:val="auto"/>
              </w:rPr>
            </w:pPr>
            <w:r>
              <w:rPr>
                <w:rFonts w:ascii="Times New Roman" w:cs="Times New Roman" w:eastAsia="Times New Roman" w:hAnsi="Times New Roman"/>
                <w:sz w:val="13"/>
                <w:szCs w:val="13"/>
                <w:color w:val="auto"/>
              </w:rPr>
              <w:t>115</w:t>
            </w:r>
          </w:p>
        </w:tc>
      </w:tr>
      <w:tr>
        <w:trPr>
          <w:trHeight w:val="255"/>
        </w:trPr>
        <w:tc>
          <w:tcPr>
            <w:tcW w:w="36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60" w:type="dxa"/>
            <w:vAlign w:val="bottom"/>
            <w:gridSpan w:val="10"/>
          </w:tcPr>
          <w:p>
            <w:pPr>
              <w:jc w:val="center"/>
              <w:ind w:right="4140"/>
              <w:spacing w:after="0"/>
              <w:rPr>
                <w:sz w:val="20"/>
                <w:szCs w:val="20"/>
                <w:color w:val="auto"/>
              </w:rPr>
            </w:pPr>
            <w:r>
              <w:rPr>
                <w:rFonts w:ascii="Times New Roman" w:cs="Times New Roman" w:eastAsia="Times New Roman" w:hAnsi="Times New Roman"/>
                <w:sz w:val="13"/>
                <w:szCs w:val="13"/>
                <w:b w:val="1"/>
                <w:bCs w:val="1"/>
                <w:color w:val="0000EE"/>
                <w:w w:val="97"/>
              </w:rPr>
              <w:t>PART IV</w:t>
            </w:r>
          </w:p>
        </w:tc>
        <w:tc>
          <w:tcPr>
            <w:tcW w:w="580" w:type="dxa"/>
            <w:vAlign w:val="bottom"/>
          </w:tcPr>
          <w:p>
            <w:pPr>
              <w:spacing w:after="0"/>
              <w:rPr>
                <w:sz w:val="22"/>
                <w:szCs w:val="22"/>
                <w:color w:val="auto"/>
              </w:rPr>
            </w:pPr>
          </w:p>
        </w:tc>
      </w:tr>
      <w:tr>
        <w:trPr>
          <w:trHeight w:val="137"/>
        </w:trPr>
        <w:tc>
          <w:tcPr>
            <w:tcW w:w="1040" w:type="dxa"/>
            <w:vAlign w:val="bottom"/>
            <w:gridSpan w:val="4"/>
          </w:tcPr>
          <w:p>
            <w:pPr>
              <w:spacing w:after="0" w:line="138" w:lineRule="exact"/>
              <w:rPr>
                <w:rFonts w:ascii="Times New Roman" w:cs="Times New Roman" w:eastAsia="Times New Roman" w:hAnsi="Times New Roman"/>
                <w:sz w:val="13"/>
                <w:szCs w:val="13"/>
                <w:color w:val="0000EE"/>
              </w:rPr>
            </w:pPr>
            <w:hyperlink w:anchor="page118">
              <w:r>
                <w:rPr>
                  <w:rFonts w:ascii="Times New Roman" w:cs="Times New Roman" w:eastAsia="Times New Roman" w:hAnsi="Times New Roman"/>
                  <w:sz w:val="13"/>
                  <w:szCs w:val="13"/>
                  <w:color w:val="0000EE"/>
                </w:rPr>
                <w:t>Item 15.</w:t>
              </w:r>
            </w:hyperlink>
          </w:p>
        </w:tc>
        <w:tc>
          <w:tcPr>
            <w:tcW w:w="3340" w:type="dxa"/>
            <w:vAlign w:val="bottom"/>
            <w:gridSpan w:val="17"/>
          </w:tcPr>
          <w:p>
            <w:pPr>
              <w:spacing w:after="0" w:line="138" w:lineRule="exact"/>
              <w:rPr>
                <w:rFonts w:ascii="Times New Roman" w:cs="Times New Roman" w:eastAsia="Times New Roman" w:hAnsi="Times New Roman"/>
                <w:sz w:val="13"/>
                <w:szCs w:val="13"/>
                <w:color w:val="0000EE"/>
              </w:rPr>
            </w:pPr>
            <w:hyperlink w:anchor="page118">
              <w:r>
                <w:rPr>
                  <w:rFonts w:ascii="Times New Roman" w:cs="Times New Roman" w:eastAsia="Times New Roman" w:hAnsi="Times New Roman"/>
                  <w:sz w:val="13"/>
                  <w:szCs w:val="13"/>
                  <w:color w:val="0000EE"/>
                </w:rPr>
                <w:t>Exhibits and Financial Statement Schedules</w:t>
              </w:r>
            </w:hyperlink>
          </w:p>
        </w:tc>
        <w:tc>
          <w:tcPr>
            <w:tcW w:w="500" w:type="dxa"/>
            <w:vAlign w:val="bottom"/>
            <w:tcBorders>
              <w:top w:val="single" w:sz="8" w:color="0000EE"/>
            </w:tcBorders>
            <w:gridSpan w:val="4"/>
          </w:tcPr>
          <w:p>
            <w:pPr>
              <w:spacing w:after="0"/>
              <w:rPr>
                <w:sz w:val="11"/>
                <w:szCs w:val="11"/>
                <w:color w:val="auto"/>
              </w:rPr>
            </w:pPr>
          </w:p>
        </w:tc>
        <w:tc>
          <w:tcPr>
            <w:tcW w:w="4140" w:type="dxa"/>
            <w:vAlign w:val="bottom"/>
            <w:gridSpan w:val="5"/>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Times New Roman" w:cs="Times New Roman" w:eastAsia="Times New Roman" w:hAnsi="Times New Roman"/>
                <w:sz w:val="13"/>
                <w:szCs w:val="13"/>
                <w:color w:val="auto"/>
              </w:rPr>
              <w:t>115</w:t>
            </w:r>
          </w:p>
        </w:tc>
      </w:tr>
      <w:tr>
        <w:trPr>
          <w:trHeight w:val="20"/>
        </w:trPr>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EXHIBIT 4.5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EXHIBIT 10.9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EXHIBIT 10.10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EXHIBIT 10.11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EXHIBIT 10.12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EXHIBIT 10.13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EXHIBIT 10.14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EXHIBIT 10.16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EXHIBIT 10.17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EXHIBIT 21.1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EXHIBIT 23.1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EXHIBIT 31.1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EXHIBIT 31.2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EXHIBIT 32.1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EXHIBIT 32.2</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109855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40" w:top="744" w:right="1019" w:bottom="1440" w:gutter="0" w:footer="0" w:header="0"/>
        </w:sectPr>
      </w:pPr>
    </w:p>
    <w:bookmarkStart w:id="3" w:name="page4"/>
    <w:bookmarkEnd w:id="3"/>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3"/>
          <w:szCs w:val="13"/>
          <w:b w:val="1"/>
          <w:bCs w:val="1"/>
          <w:color w:val="auto"/>
        </w:rPr>
        <w:t>PART I</w:t>
      </w:r>
    </w:p>
    <w:p>
      <w:pPr>
        <w:spacing w:after="0" w:line="173" w:lineRule="exact"/>
        <w:rPr>
          <w:sz w:val="20"/>
          <w:szCs w:val="20"/>
          <w:color w:val="auto"/>
        </w:rPr>
      </w:pPr>
    </w:p>
    <w:p>
      <w:pPr>
        <w:ind w:left="680"/>
        <w:spacing w:after="0"/>
        <w:tabs>
          <w:tab w:leader="none" w:pos="1480" w:val="left"/>
        </w:tabs>
        <w:rPr>
          <w:sz w:val="20"/>
          <w:szCs w:val="20"/>
          <w:color w:val="auto"/>
        </w:rPr>
      </w:pPr>
      <w:r>
        <w:rPr>
          <w:rFonts w:ascii="Times New Roman" w:cs="Times New Roman" w:eastAsia="Times New Roman" w:hAnsi="Times New Roman"/>
          <w:sz w:val="13"/>
          <w:szCs w:val="13"/>
          <w:b w:val="1"/>
          <w:bCs w:val="1"/>
          <w:color w:val="auto"/>
        </w:rPr>
        <w:t>Item 1.</w:t>
      </w:r>
      <w:r>
        <w:rPr>
          <w:sz w:val="20"/>
          <w:szCs w:val="20"/>
          <w:color w:val="auto"/>
        </w:rPr>
        <w:tab/>
      </w:r>
      <w:r>
        <w:rPr>
          <w:rFonts w:ascii="Times New Roman" w:cs="Times New Roman" w:eastAsia="Times New Roman" w:hAnsi="Times New Roman"/>
          <w:sz w:val="13"/>
          <w:szCs w:val="13"/>
          <w:b w:val="1"/>
          <w:bCs w:val="1"/>
          <w:i w:val="1"/>
          <w:iCs w:val="1"/>
          <w:color w:val="auto"/>
        </w:rPr>
        <w:t>Business</w:t>
      </w:r>
    </w:p>
    <w:p>
      <w:pPr>
        <w:spacing w:after="0" w:line="100"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We are a holding company that is a provider, through its subsidiaries, of title insurance, specialty insurance, and claims management services. We are one of the nation’s largest title insurance companies through our title insurance underwriters, with an approximately 29.0% national market share. We also provide flood insurance, personal lines insurance, and home warranty insurance through our specialty insurance subsidiaries. In addition, we are a leading provider of outsourced claims management services to large corporate and public sector entities through our minority-owned subsidiary, Sedgwick CMS (“Sedgwick”).</w:t>
      </w:r>
    </w:p>
    <w:p>
      <w:pPr>
        <w:spacing w:after="0" w:line="62" w:lineRule="exact"/>
        <w:rPr>
          <w:sz w:val="20"/>
          <w:szCs w:val="20"/>
          <w:color w:val="auto"/>
        </w:rPr>
      </w:pPr>
    </w:p>
    <w:p>
      <w:pPr>
        <w:ind w:left="680" w:right="260" w:firstLine="399"/>
        <w:spacing w:after="0" w:line="257" w:lineRule="auto"/>
        <w:rPr>
          <w:sz w:val="20"/>
          <w:szCs w:val="20"/>
          <w:color w:val="auto"/>
        </w:rPr>
      </w:pPr>
      <w:r>
        <w:rPr>
          <w:rFonts w:ascii="Times New Roman" w:cs="Times New Roman" w:eastAsia="Times New Roman" w:hAnsi="Times New Roman"/>
          <w:sz w:val="13"/>
          <w:szCs w:val="13"/>
          <w:color w:val="auto"/>
        </w:rPr>
        <w:t>Prior to October 17, 2005, we were known as Fidelity National Title Group, Inc. (“FNT”) and were a wholly-owned subsidiary of another publicly traded company, also called Fidelity National Financial, Inc. (“Old FNF”). On October 17, 2005, Old FNF distributed to its shareholders a minority interest in FNT, making it a majority-owned, publicly traded company. On October 24, 2006, Old FNF transferred certain assets to us in return for the issuance of 45,265,956 shares of our common stock to Old FNF. Old FNF then distributed to its shareholders all of its shares of our common stock, making FNT a stand alone public company. Old FNF was then merged with and into another of its subsidiaries, Fidelity National Information Services, Inc. (“FIS”), after which our name was changed to Fidelity National Financial, Inc. (“FNF” or the “Company”). Under applicable accounting principles, following these transactions, Old FNF’s historical financial statements, with the exception of equity and earnings per share, became our historical financial statements, including the results of FIS through the date of our spin-off from Old FNF. Our historical equity has been derived from FNT’s historical equity and our historical basic and diluted earnings per share have been calculated using FNT’s basic and diluted weighted average shares outstanding.</w:t>
      </w:r>
    </w:p>
    <w:p>
      <w:pPr>
        <w:spacing w:after="0" w:line="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FNF currently has three reporting segments as follows:</w:t>
      </w:r>
    </w:p>
    <w:p>
      <w:pPr>
        <w:spacing w:after="0" w:line="94" w:lineRule="exact"/>
        <w:rPr>
          <w:sz w:val="20"/>
          <w:szCs w:val="20"/>
          <w:color w:val="auto"/>
        </w:rPr>
      </w:pPr>
    </w:p>
    <w:p>
      <w:pPr>
        <w:jc w:val="both"/>
        <w:ind w:left="1280" w:right="120" w:hanging="190"/>
        <w:spacing w:after="0" w:line="271" w:lineRule="auto"/>
        <w:tabs>
          <w:tab w:leader="none" w:pos="12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Fidelity National Title Group. </w:t>
      </w:r>
      <w:r>
        <w:rPr>
          <w:rFonts w:ascii="Times New Roman" w:cs="Times New Roman" w:eastAsia="Times New Roman" w:hAnsi="Times New Roman"/>
          <w:sz w:val="13"/>
          <w:szCs w:val="13"/>
          <w:color w:val="auto"/>
        </w:rPr>
        <w:t>This segment consists of the operation of FNF’s title insurance underwriters — Fidelity National Title, Chicago Title, Ticor Title, Security Union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Title and Alamo Title — which together issued approximately 29.0% of all title insurance policies issued nationally during 2005. This segment provides core title insurance and escrow and other title related services including collection and trust activities, trustee’s sales guarantees, recordings and reconveyances.</w:t>
      </w:r>
    </w:p>
    <w:p>
      <w:pPr>
        <w:spacing w:after="0" w:line="44" w:lineRule="exact"/>
        <w:rPr>
          <w:rFonts w:ascii="Times New Roman" w:cs="Times New Roman" w:eastAsia="Times New Roman" w:hAnsi="Times New Roman"/>
          <w:sz w:val="13"/>
          <w:szCs w:val="13"/>
          <w:color w:val="auto"/>
        </w:rPr>
      </w:pPr>
    </w:p>
    <w:p>
      <w:pPr>
        <w:ind w:left="1280" w:right="180" w:hanging="190"/>
        <w:spacing w:after="0" w:line="289" w:lineRule="auto"/>
        <w:tabs>
          <w:tab w:leader="none" w:pos="12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Specialty Insurance. </w:t>
      </w:r>
      <w:r>
        <w:rPr>
          <w:rFonts w:ascii="Times New Roman" w:cs="Times New Roman" w:eastAsia="Times New Roman" w:hAnsi="Times New Roman"/>
          <w:sz w:val="13"/>
          <w:szCs w:val="13"/>
          <w:color w:val="auto"/>
        </w:rPr>
        <w:t>The specialty insurance segment, consisting of FNF’s various non-title insurance subsidiaries, issues flood, home warranty, homeowners, automobile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certain niche personal lines insurance policies.</w:t>
      </w:r>
    </w:p>
    <w:p>
      <w:pPr>
        <w:spacing w:after="0" w:line="33" w:lineRule="exact"/>
        <w:rPr>
          <w:rFonts w:ascii="Times New Roman" w:cs="Times New Roman" w:eastAsia="Times New Roman" w:hAnsi="Times New Roman"/>
          <w:sz w:val="13"/>
          <w:szCs w:val="13"/>
          <w:color w:val="auto"/>
        </w:rPr>
      </w:pPr>
    </w:p>
    <w:p>
      <w:pPr>
        <w:ind w:left="1280" w:hanging="190"/>
        <w:spacing w:after="0" w:line="289" w:lineRule="auto"/>
        <w:tabs>
          <w:tab w:leader="none" w:pos="12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Corporate and Other. </w:t>
      </w:r>
      <w:r>
        <w:rPr>
          <w:rFonts w:ascii="Times New Roman" w:cs="Times New Roman" w:eastAsia="Times New Roman" w:hAnsi="Times New Roman"/>
          <w:sz w:val="13"/>
          <w:szCs w:val="13"/>
          <w:color w:val="auto"/>
        </w:rPr>
        <w:t>The corporate and other segment consists of the operations of the FNF parent holding company, certain other unallocated corporate overhead expenses,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Company’s share in the operations of certain equity investments, including Sedgwick and Fidelity National Real Estate Solutions.</w:t>
      </w:r>
    </w:p>
    <w:p>
      <w:pPr>
        <w:spacing w:after="0" w:line="45" w:lineRule="exact"/>
        <w:rPr>
          <w:sz w:val="20"/>
          <w:szCs w:val="20"/>
          <w:color w:val="auto"/>
        </w:rPr>
      </w:pPr>
    </w:p>
    <w:p>
      <w:pPr>
        <w:ind w:left="680" w:right="220" w:firstLine="399"/>
        <w:spacing w:after="0" w:line="259" w:lineRule="auto"/>
        <w:rPr>
          <w:sz w:val="20"/>
          <w:szCs w:val="20"/>
          <w:color w:val="auto"/>
        </w:rPr>
      </w:pPr>
      <w:r>
        <w:rPr>
          <w:rFonts w:ascii="Times New Roman" w:cs="Times New Roman" w:eastAsia="Times New Roman" w:hAnsi="Times New Roman"/>
          <w:sz w:val="13"/>
          <w:szCs w:val="13"/>
          <w:color w:val="auto"/>
        </w:rPr>
        <w:t>Prior to October 24, 2006, through FIS, old FNF provided industry leading data processing, payment and risk management services to financial institutions and retailers. Through October 23, 2006, the Company’s results also included the operations of FIS as a separate segment. This segment provided transaction processing services, consisting principally of technology solutions for banks and other financial institutions, credit and debit card services and check risk management and related services for retailers and others. This segment also provided lender processing services, consisting principally of technology solutions for mortgage lenders, selected mortgage origination services such as title agency and closing services, default management and mortgage information services. FIS’s credit and debit card services and check risk management services were added through its merger with Certegy, Inc. (“Certegy”). This merger closed in February 2006 and as a result these businesses are not included in FNF’s financial information prior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4" w:name="page5"/>
    <w:bookmarkEnd w:id="4"/>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Strategy</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Fidelity National Title Group</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Our strategy in the title insurance business is to maximize operating profits by increasing our market share and managing operating expenses throughout the real estate business cycle.</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To accomplish our goals, we intend to:</w:t>
      </w:r>
    </w:p>
    <w:p>
      <w:pPr>
        <w:spacing w:after="0" w:line="81" w:lineRule="exact"/>
        <w:rPr>
          <w:sz w:val="20"/>
          <w:szCs w:val="20"/>
          <w:color w:val="auto"/>
        </w:rPr>
      </w:pPr>
    </w:p>
    <w:p>
      <w:pPr>
        <w:ind w:left="1280" w:right="60" w:hanging="190"/>
        <w:spacing w:after="0" w:line="264" w:lineRule="auto"/>
        <w:tabs>
          <w:tab w:leader="none" w:pos="12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Continue to operate each of our five title brands independently. </w:t>
      </w:r>
      <w:r>
        <w:rPr>
          <w:rFonts w:ascii="Times New Roman" w:cs="Times New Roman" w:eastAsia="Times New Roman" w:hAnsi="Times New Roman"/>
          <w:sz w:val="13"/>
          <w:szCs w:val="13"/>
          <w:color w:val="auto"/>
        </w:rPr>
        <w:t>We believe that in order to maintain and strengthen our title insurance customer base, we must leave the Fidelity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National Title, Chicago Title, Ticor Title, Security Union Title and Alamo Title brands intact and operate these brands independently. In most of our largest markets, we operate two, and in a few cases three, brands. This approach allows us to continue to attract customers who identify with one brand over another and allows us to utilize a broader base of local agents and local operations than we would have with a single consolidated brand.</w:t>
      </w:r>
    </w:p>
    <w:p>
      <w:pPr>
        <w:spacing w:after="0" w:line="49" w:lineRule="exact"/>
        <w:rPr>
          <w:rFonts w:ascii="Times New Roman" w:cs="Times New Roman" w:eastAsia="Times New Roman" w:hAnsi="Times New Roman"/>
          <w:sz w:val="13"/>
          <w:szCs w:val="13"/>
          <w:color w:val="auto"/>
        </w:rPr>
      </w:pPr>
    </w:p>
    <w:p>
      <w:pPr>
        <w:ind w:left="1280" w:right="80" w:hanging="190"/>
        <w:spacing w:after="0" w:line="271" w:lineRule="auto"/>
        <w:tabs>
          <w:tab w:leader="none" w:pos="12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Consistently deliver superior customer service. </w:t>
      </w:r>
      <w:r>
        <w:rPr>
          <w:rFonts w:ascii="Times New Roman" w:cs="Times New Roman" w:eastAsia="Times New Roman" w:hAnsi="Times New Roman"/>
          <w:sz w:val="13"/>
          <w:szCs w:val="13"/>
          <w:color w:val="auto"/>
        </w:rPr>
        <w:t>We believe customer service and consistent product delivery are the most important factors in attracting and retaining customers.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ability to provide superior customer service and provide consistent product delivery requires continued focus on providing high quality service and products at competitive prices. Our goal is to continue to improve the experience of our customers in all aspects of our business.</w:t>
      </w:r>
    </w:p>
    <w:p>
      <w:pPr>
        <w:spacing w:after="0" w:line="44" w:lineRule="exact"/>
        <w:rPr>
          <w:rFonts w:ascii="Times New Roman" w:cs="Times New Roman" w:eastAsia="Times New Roman" w:hAnsi="Times New Roman"/>
          <w:sz w:val="13"/>
          <w:szCs w:val="13"/>
          <w:color w:val="auto"/>
        </w:rPr>
      </w:pPr>
    </w:p>
    <w:p>
      <w:pPr>
        <w:ind w:left="1280" w:right="160" w:hanging="190"/>
        <w:spacing w:after="0" w:line="261" w:lineRule="auto"/>
        <w:tabs>
          <w:tab w:leader="none" w:pos="12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Manage our operations successfully through business cycles. </w:t>
      </w:r>
      <w:r>
        <w:rPr>
          <w:rFonts w:ascii="Times New Roman" w:cs="Times New Roman" w:eastAsia="Times New Roman" w:hAnsi="Times New Roman"/>
          <w:sz w:val="13"/>
          <w:szCs w:val="13"/>
          <w:color w:val="auto"/>
        </w:rPr>
        <w:t>We operate in a cyclical business and our ability to diversify our revenue base within our core title insurance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business and manage the duration of our investments may allow us to better operate in this cyclical business. Maintaining a broad geographic revenue base, utilizing both direct and independent agency operations and pursuing both residential and commercial title insurance business help diversify our title insurance revenues. Maintaining shorter durations on our investment portfolio allows us to increase our investment revenue in a rising interest rate environment, which may offset some of the decline in premiums and service revenues we would expect in such an environment. For a more detailed discussion of our investment strategies, see “— Investment Policies and Investment Portfolio.”</w:t>
      </w:r>
    </w:p>
    <w:p>
      <w:pPr>
        <w:spacing w:after="0" w:line="52" w:lineRule="exact"/>
        <w:rPr>
          <w:rFonts w:ascii="Times New Roman" w:cs="Times New Roman" w:eastAsia="Times New Roman" w:hAnsi="Times New Roman"/>
          <w:sz w:val="13"/>
          <w:szCs w:val="13"/>
          <w:color w:val="auto"/>
        </w:rPr>
      </w:pPr>
    </w:p>
    <w:p>
      <w:pPr>
        <w:ind w:left="1280" w:right="20" w:hanging="190"/>
        <w:spacing w:after="0" w:line="264" w:lineRule="auto"/>
        <w:tabs>
          <w:tab w:leader="none" w:pos="12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Continue to improve our products and technology. </w:t>
      </w:r>
      <w:r>
        <w:rPr>
          <w:rFonts w:ascii="Times New Roman" w:cs="Times New Roman" w:eastAsia="Times New Roman" w:hAnsi="Times New Roman"/>
          <w:sz w:val="13"/>
          <w:szCs w:val="13"/>
          <w:color w:val="auto"/>
        </w:rPr>
        <w:t>As a national provider of real estate transaction products and services, we participate in an industry that is subject to significant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change, 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currently upgrading our operating system to improve the process of ordering title services and improve the delivery of our products to our customers.</w:t>
      </w:r>
    </w:p>
    <w:p>
      <w:pPr>
        <w:spacing w:after="0" w:line="49" w:lineRule="exact"/>
        <w:rPr>
          <w:rFonts w:ascii="Times New Roman" w:cs="Times New Roman" w:eastAsia="Times New Roman" w:hAnsi="Times New Roman"/>
          <w:sz w:val="13"/>
          <w:szCs w:val="13"/>
          <w:color w:val="auto"/>
        </w:rPr>
      </w:pPr>
    </w:p>
    <w:p>
      <w:pPr>
        <w:ind w:left="1280" w:right="100" w:hanging="190"/>
        <w:spacing w:after="0" w:line="264" w:lineRule="auto"/>
        <w:tabs>
          <w:tab w:leader="none" w:pos="12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Maintain values supporting our strategy. </w:t>
      </w:r>
      <w:r>
        <w:rPr>
          <w:rFonts w:ascii="Times New Roman" w:cs="Times New Roman" w:eastAsia="Times New Roman" w:hAnsi="Times New Roman"/>
          <w:sz w:val="13"/>
          <w:szCs w:val="13"/>
          <w:color w:val="auto"/>
        </w:rPr>
        <w:t>We believe that our continued focus on and support of our long-established corporate culture will reinforce and support our business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strategy. Our goal is to foster and support a corporate culture where our agents and employees seek to operate independently and profitably at the local level while forming close customer relationships by meeting customer needs and improving customer service. Utilizing a relatively flat managerial structure and providing our employees with a sense of individual ownership supports this goal.</w:t>
      </w:r>
    </w:p>
    <w:p>
      <w:pPr>
        <w:spacing w:after="0" w:line="49" w:lineRule="exact"/>
        <w:rPr>
          <w:rFonts w:ascii="Times New Roman" w:cs="Times New Roman" w:eastAsia="Times New Roman" w:hAnsi="Times New Roman"/>
          <w:sz w:val="13"/>
          <w:szCs w:val="13"/>
          <w:color w:val="auto"/>
        </w:rPr>
      </w:pPr>
    </w:p>
    <w:p>
      <w:pPr>
        <w:ind w:left="1280" w:right="40" w:hanging="190"/>
        <w:spacing w:after="0" w:line="271" w:lineRule="auto"/>
        <w:tabs>
          <w:tab w:leader="none" w:pos="12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Effectively manage costs based on economic factors. </w:t>
      </w:r>
      <w:r>
        <w:rPr>
          <w:rFonts w:ascii="Times New Roman" w:cs="Times New Roman" w:eastAsia="Times New Roman" w:hAnsi="Times New Roman"/>
          <w:sz w:val="13"/>
          <w:szCs w:val="13"/>
          <w:color w:val="auto"/>
        </w:rPr>
        <w:t>We believe that our focus on our operating margins is essential to our continued success in the title insurance business.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Regardless of the business cycle in which we may be operating, we seek to continue to evaluate and manage our cost structure and make appropriate adjustments where economic conditions dictate. This continual focus on our cost structure helps us to better maintain our operating margins.</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Specialty Insurance</w:t>
      </w:r>
    </w:p>
    <w:p>
      <w:pPr>
        <w:spacing w:after="0" w:line="100" w:lineRule="exact"/>
        <w:rPr>
          <w:sz w:val="20"/>
          <w:szCs w:val="20"/>
          <w:color w:val="auto"/>
        </w:rPr>
      </w:pPr>
    </w:p>
    <w:p>
      <w:pPr>
        <w:ind w:left="680" w:right="200" w:firstLine="399"/>
        <w:spacing w:after="0" w:line="286" w:lineRule="auto"/>
        <w:rPr>
          <w:sz w:val="20"/>
          <w:szCs w:val="20"/>
          <w:color w:val="auto"/>
        </w:rPr>
      </w:pPr>
      <w:r>
        <w:rPr>
          <w:rFonts w:ascii="Times New Roman" w:cs="Times New Roman" w:eastAsia="Times New Roman" w:hAnsi="Times New Roman"/>
          <w:sz w:val="13"/>
          <w:szCs w:val="13"/>
          <w:color w:val="auto"/>
        </w:rPr>
        <w:t>Our strategy in the specialty insurance business is to provide an efficient and effective delivery mechanism for property insurance policies placed directly and through independent agents. We are positioned to be a low expense provider, while continuing to strictly adhere to pricing and underwriting disciplines to maintain our underwriting profitability.</w:t>
      </w: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 w:name="page6"/>
    <w:bookmarkEnd w:id="5"/>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280" w:right="100" w:hanging="190"/>
        <w:spacing w:after="0" w:line="263" w:lineRule="auto"/>
        <w:tabs>
          <w:tab w:leader="none" w:pos="12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offer coverage under the U.S. National Flood Insurance Program (“NFIP”) through two of our property and casualty companies. Fidelity National Property and Casualty Insurance Company provides flood insurance in all 50 states. Fidelity National Insurance Company provides flood insurance in 30 states and is seeking to expand into additional states. We are the largest provider of NFIP flood insurance in the U.S. through our independent agent network. Our delivery and service is consistently graded the highest in the industry. Our success has been recognized by the NFIP, which has given us its Administrator’s Club Award and the Administrator’s Quill Award for our outstanding growth.</w:t>
      </w:r>
    </w:p>
    <w:p>
      <w:pPr>
        <w:spacing w:after="0" w:line="52" w:lineRule="exact"/>
        <w:rPr>
          <w:rFonts w:ascii="Times New Roman" w:cs="Times New Roman" w:eastAsia="Times New Roman" w:hAnsi="Times New Roman"/>
          <w:sz w:val="13"/>
          <w:szCs w:val="13"/>
          <w:color w:val="auto"/>
        </w:rPr>
      </w:pPr>
    </w:p>
    <w:p>
      <w:pPr>
        <w:ind w:left="1280" w:right="20" w:hanging="190"/>
        <w:spacing w:after="0" w:line="269" w:lineRule="auto"/>
        <w:tabs>
          <w:tab w:leader="none" w:pos="12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provide an efficient methodology for obtaining insurance on newly acquired homes, whether new construction or upon resale. We have an easy to use fully integrated website, which our agents use as a completely paperless and fully automated quoting and policy delivery system. This system is in use for all of our property products, including flood insurance.</w:t>
      </w:r>
    </w:p>
    <w:p>
      <w:pPr>
        <w:spacing w:after="0" w:line="47" w:lineRule="exact"/>
        <w:rPr>
          <w:rFonts w:ascii="Times New Roman" w:cs="Times New Roman" w:eastAsia="Times New Roman" w:hAnsi="Times New Roman"/>
          <w:sz w:val="13"/>
          <w:szCs w:val="13"/>
          <w:color w:val="auto"/>
        </w:rPr>
      </w:pPr>
    </w:p>
    <w:p>
      <w:pPr>
        <w:ind w:left="1280" w:right="240" w:hanging="190"/>
        <w:spacing w:after="0" w:line="286" w:lineRule="auto"/>
        <w:tabs>
          <w:tab w:leader="none" w:pos="12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underwriting practice is conservative. Catastrophe exposure is closely managed on a real time basis. We also buy reinsurance to assist in maintaining our profitability and growing our surplus.</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Recent Developments</w:t>
      </w:r>
    </w:p>
    <w:p>
      <w:pPr>
        <w:spacing w:after="0" w:line="98"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On June 25, 2006, the Company entered into a Securities Exchange and Distribution Agreement (the “SEDA”) with Old FNF and Old FNF entered into a merger agreement with FIS (both amended and restated as of September 18, 2006), providing for the elimination of Old FNF’s holding company structure, the sale of certain of Old FNF’s assets and liabilities to us in exchange for shares of our stock, and the distribution of Old FNF’s ownership stake in us to Old FNF shareholders. Pursuant to the SEDA, on October 24, 2006, we completed the acquisition of substantially all of the assets and liabilities of Old FNF (other than Old FNF’s interests in FIS and in FNF Capital Leasing, Inc., a small leasing subsidiary) in exchange for</w:t>
      </w:r>
    </w:p>
    <w:p>
      <w:pPr>
        <w:spacing w:after="0" w:line="2" w:lineRule="exact"/>
        <w:rPr>
          <w:sz w:val="20"/>
          <w:szCs w:val="20"/>
          <w:color w:val="auto"/>
        </w:rPr>
      </w:pPr>
    </w:p>
    <w:p>
      <w:pPr>
        <w:ind w:left="680" w:right="80"/>
        <w:spacing w:after="0" w:line="254" w:lineRule="auto"/>
        <w:rPr>
          <w:sz w:val="20"/>
          <w:szCs w:val="20"/>
          <w:color w:val="auto"/>
        </w:rPr>
      </w:pPr>
      <w:r>
        <w:rPr>
          <w:rFonts w:ascii="Times New Roman" w:cs="Times New Roman" w:eastAsia="Times New Roman" w:hAnsi="Times New Roman"/>
          <w:sz w:val="13"/>
          <w:szCs w:val="13"/>
          <w:color w:val="auto"/>
        </w:rPr>
        <w:t>45,265,956 shares of our Class A common stock (the “Asset Contribution”). The assets transferred included Old FNF’s specialty insurance business, its interest in Sedgwick, certain timber and real estate holdings and certain smaller operations, together with all cash and investment assets held by Old FNF as of October 24, 2006. In connection with the Asset Contribution, Old FNF converted all of the FNT Class B common stock it held into FNT Class A common stock and distributed those shares, together with the Class A common shares received from us as consideration for the Asset Contribution, to holders of record of Old FNF common stock as of October 17, 2006 in a tax-free distribution (the “2006 Distribution”). As a result of the 2006 Distribution, Old FNF no longer owns any of our common stock and we are now a stand alone public company with all of our approximately 220.7 million shares held by the public. Also, on November 9, 2006, Old FNF merged with and into FIS, after which we legally changed our name to Fidelity National Financial, Inc. On November 10, 2006, our common stock began trading on the New York Stock Exchange under the trading symbol “FNF.” Old FNF’s chairman of the board and chief executive officer assumed the same positions in FNF, as well as the position of executive chairman of the board of FIS. Other key members of Old FNF’s senior management are also continuing their involvement in both FNF and FIS in executive capacities.</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Acquisitions</w:t>
      </w:r>
    </w:p>
    <w:p>
      <w:pPr>
        <w:spacing w:after="0" w:line="98" w:lineRule="exact"/>
        <w:rPr>
          <w:sz w:val="20"/>
          <w:szCs w:val="20"/>
          <w:color w:val="auto"/>
        </w:rPr>
      </w:pPr>
    </w:p>
    <w:p>
      <w:pPr>
        <w:ind w:left="680" w:right="180" w:firstLine="399"/>
        <w:spacing w:after="0" w:line="286" w:lineRule="auto"/>
        <w:rPr>
          <w:sz w:val="20"/>
          <w:szCs w:val="20"/>
          <w:color w:val="auto"/>
        </w:rPr>
      </w:pPr>
      <w:r>
        <w:rPr>
          <w:rFonts w:ascii="Times New Roman" w:cs="Times New Roman" w:eastAsia="Times New Roman" w:hAnsi="Times New Roman"/>
          <w:sz w:val="13"/>
          <w:szCs w:val="13"/>
          <w:color w:val="auto"/>
        </w:rPr>
        <w:t>Strategic acquisitions have been an important part of our growth strategy. We made a number of acquisitions over the past two years to strengthen and expand our service offerings and customer base in our various businesses.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Cascade Timberlands LLC</w:t>
      </w:r>
    </w:p>
    <w:p>
      <w:pPr>
        <w:spacing w:after="0" w:line="100" w:lineRule="exact"/>
        <w:rPr>
          <w:sz w:val="20"/>
          <w:szCs w:val="20"/>
          <w:color w:val="auto"/>
        </w:rPr>
      </w:pPr>
    </w:p>
    <w:p>
      <w:pPr>
        <w:ind w:left="680" w:right="100" w:firstLine="399"/>
        <w:spacing w:after="0" w:line="263" w:lineRule="auto"/>
        <w:rPr>
          <w:sz w:val="20"/>
          <w:szCs w:val="20"/>
          <w:color w:val="auto"/>
        </w:rPr>
      </w:pPr>
      <w:r>
        <w:rPr>
          <w:rFonts w:ascii="Times New Roman" w:cs="Times New Roman" w:eastAsia="Times New Roman" w:hAnsi="Times New Roman"/>
          <w:sz w:val="13"/>
          <w:szCs w:val="13"/>
          <w:color w:val="auto"/>
        </w:rPr>
        <w:t>Old FNF began purchasing equity interests in Cascade Timberlands LLC (“Cascade Timberlands”) in March 2006 and it contributed them to us as part of the Asset Contribution. As of December 31, 2006, the Company had acquired approximately 71% of Cascade Timberlands for $89.2 million. The primary assets of Cascade Timberlands are approximately</w:t>
      </w:r>
    </w:p>
    <w:p>
      <w:pPr>
        <w:ind w:left="680"/>
        <w:spacing w:after="0"/>
        <w:rPr>
          <w:sz w:val="20"/>
          <w:szCs w:val="20"/>
          <w:color w:val="auto"/>
        </w:rPr>
      </w:pPr>
      <w:r>
        <w:rPr>
          <w:rFonts w:ascii="Times New Roman" w:cs="Times New Roman" w:eastAsia="Times New Roman" w:hAnsi="Times New Roman"/>
          <w:sz w:val="13"/>
          <w:szCs w:val="13"/>
          <w:color w:val="auto"/>
        </w:rPr>
        <w:t>293,000 acres of productive timberlands located on the eastern side of the Cascade mountain range extending from Bend, Oregon south on State Highway 20 toward the California border.</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Cascade Timberlands was created by the secured creditors of Crown Pacific LP upon the conclusion of the bankruptcy case of Crown Pacific LP in December 2004.</w:t>
      </w:r>
    </w:p>
    <w:p>
      <w:pPr>
        <w:spacing w:after="0" w:line="2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6" w:name="page7"/>
    <w:bookmarkEnd w:id="6"/>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Acquisition of Equity Interest in Sedgwick</w:t>
      </w:r>
    </w:p>
    <w:p>
      <w:pPr>
        <w:spacing w:after="0" w:line="100"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On January 31, 2006, Old FNF, along with its equity partners, Thomas H. Lee Partners (“THL”) and Evercore Capital Partners, completed an acquisition of Sedgwick CMS Holdings, Inc. (“Sedgwick”). Old FNF acquired an approximately 40% interest in Sedgwick for approximately $126 million. In September 2006, Old FNF invested an additional $6.8 million in Sedgwick, but still maintained its 40% ownership. We acquired this interest as part of the Asset Contribution. Sedgwick, headquartered in Memphis, Tennessee, is a leading provider of outsourced insurance claims management services to large corporate and public sector entities.</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Service Link L.P.</w:t>
      </w:r>
    </w:p>
    <w:p>
      <w:pPr>
        <w:spacing w:after="0" w:line="100" w:lineRule="exact"/>
        <w:rPr>
          <w:sz w:val="20"/>
          <w:szCs w:val="20"/>
          <w:color w:val="auto"/>
        </w:rPr>
      </w:pPr>
    </w:p>
    <w:p>
      <w:pPr>
        <w:ind w:left="680" w:right="400" w:firstLine="399"/>
        <w:spacing w:after="0" w:line="269" w:lineRule="auto"/>
        <w:rPr>
          <w:sz w:val="20"/>
          <w:szCs w:val="20"/>
          <w:color w:val="auto"/>
        </w:rPr>
      </w:pPr>
      <w:r>
        <w:rPr>
          <w:rFonts w:ascii="Times New Roman" w:cs="Times New Roman" w:eastAsia="Times New Roman" w:hAnsi="Times New Roman"/>
          <w:sz w:val="13"/>
          <w:szCs w:val="13"/>
          <w:color w:val="auto"/>
        </w:rPr>
        <w:t>On August 1, 2005, FNT acquired Service Link, L.P. (“Service Link”), a national provider of centralized mortgage and residential real estate title and closing services to major financial institutions and institutional lenders. The initial acquisition price was approximately $110 million in cash. During 2006, FNT paid additional contingent consideration of $57.0 million related to this purchase, based on Service Link’s operations meeting certain performance measures over a 12-month period ending July 2006.</w:t>
      </w:r>
    </w:p>
    <w:p>
      <w:pPr>
        <w:spacing w:after="0" w:line="58" w:lineRule="exact"/>
        <w:rPr>
          <w:sz w:val="20"/>
          <w:szCs w:val="20"/>
          <w:color w:val="auto"/>
        </w:rPr>
      </w:pPr>
    </w:p>
    <w:p>
      <w:pPr>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In addition to the acquisitions mentioned above, through October 23, 2006, our financial statements also include the results of the acquisitions made by FIS. For a description of these acquisitions, see Note B of Notes to Consolidated Financial Statements.</w:t>
      </w:r>
    </w:p>
    <w:p>
      <w:pPr>
        <w:spacing w:after="0" w:line="47"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With assistance from our advisors, on an ongoing basis we actively evaluate possible strategic transactions, such as acquisitions and dispositions of business units and operating assets and business combination transactions, as well as possible alternative means of financing the growth and operations of our business units. Further, our management has stated that we may make acquisitions in lines of business that are not directly tied to or synergistic with our core operating segments. There can be no assurance, however, that any suitable opportunities will arise or that any particular transaction will be completed.</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Title Insurance</w:t>
      </w:r>
    </w:p>
    <w:p>
      <w:pPr>
        <w:spacing w:after="0" w:line="96" w:lineRule="exact"/>
        <w:rPr>
          <w:sz w:val="20"/>
          <w:szCs w:val="20"/>
          <w:color w:val="auto"/>
        </w:rPr>
      </w:pPr>
    </w:p>
    <w:p>
      <w:pPr>
        <w:ind w:left="680" w:right="6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Market for title insurance. </w:t>
      </w:r>
      <w:r>
        <w:rPr>
          <w:rFonts w:ascii="Times New Roman" w:cs="Times New Roman" w:eastAsia="Times New Roman" w:hAnsi="Times New Roman"/>
          <w:sz w:val="13"/>
          <w:szCs w:val="13"/>
          <w:color w:val="auto"/>
        </w:rPr>
        <w:t>The title insurance market in the United States is large and has grown in the last 10 years. According to Demotech Inc. (“Demotech”), total operating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income for the entire U.S. title insurance industry grew from $4.8 billion in 1995 to $17.8 billion in 2005. Growth in the industry is closely tied to various macroeconomic factors, including, but not limited to, growth in the gross national product, inflation, interest rates and sales of and prices for new and existing homes, as well as the volume of refinancing of previously issued mortgages.</w:t>
      </w:r>
    </w:p>
    <w:p>
      <w:pPr>
        <w:spacing w:after="0" w:line="62"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in the overall value of the real estate market helps drive growth in total industry revenues. Industry revenues are also driven by changes in interest rates, which affect demand for new mortgage loans and refinancing transactions.</w:t>
      </w:r>
    </w:p>
    <w:p>
      <w:pPr>
        <w:spacing w:after="0" w:line="58"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color w:val="auto"/>
        </w:rPr>
        <w:t>The U.S. title insurance industry is concentrated among a handful of industry participants. According to Demotech the top five title insurance companies accounted for 91.8% of net premiums collected in 2005. Over 40 independent title insurance companies accounted for the remaining 8.2% of net premiums collected in 2005. Over the years, the title insurance industry has been consolidating, beginning with the merger of Lawyers Title Insurance and Commonwealth Land Title Insurance in 1998 to create LandAmerica Financial Group, Inc., followed by our acquisition of Chicago Title in March 2000. Consolidation has created opportunities for increased financial and operating efficiencies for the industry’s largest participants and should continue to drive profitability and market share in the industry.</w:t>
      </w:r>
    </w:p>
    <w:p>
      <w:pPr>
        <w:spacing w:after="0" w:line="2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 w:name="page8"/>
    <w:bookmarkEnd w:id="7"/>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right="32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Title Insurance Policies. </w:t>
      </w:r>
      <w:r>
        <w:rPr>
          <w:rFonts w:ascii="Times New Roman" w:cs="Times New Roman" w:eastAsia="Times New Roman" w:hAnsi="Times New Roman"/>
          <w:sz w:val="13"/>
          <w:szCs w:val="13"/>
          <w:color w:val="auto"/>
        </w:rPr>
        <w:t>Generally, real estate buyers and mortgage lenders purchase title insurance to insure good and marketable title to real estate and priority of lien. A brief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generalized description of the process of issuing a title insurance policy is as follows:</w:t>
      </w:r>
    </w:p>
    <w:p>
      <w:pPr>
        <w:spacing w:after="0" w:line="45" w:lineRule="exact"/>
        <w:rPr>
          <w:sz w:val="20"/>
          <w:szCs w:val="20"/>
          <w:color w:val="auto"/>
        </w:rPr>
      </w:pPr>
    </w:p>
    <w:p>
      <w:pPr>
        <w:ind w:left="1280" w:hanging="190"/>
        <w:spacing w:after="0"/>
        <w:tabs>
          <w:tab w:leader="none" w:pos="12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customer, typically a real estate salesperson or broker, escrow agent, attorney or lender, places an order for a title policy.</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 personnel note the specifics of the title policy order and place a request with the title company or its agents for a preliminary report or commitment.</w:t>
      </w:r>
    </w:p>
    <w:p>
      <w:pPr>
        <w:spacing w:after="0" w:line="86" w:lineRule="exact"/>
        <w:rPr>
          <w:rFonts w:ascii="Times New Roman" w:cs="Times New Roman" w:eastAsia="Times New Roman" w:hAnsi="Times New Roman"/>
          <w:sz w:val="13"/>
          <w:szCs w:val="13"/>
          <w:color w:val="auto"/>
        </w:rPr>
      </w:pPr>
    </w:p>
    <w:p>
      <w:pPr>
        <w:ind w:left="1280" w:hanging="190"/>
        <w:spacing w:after="0" w:line="269" w:lineRule="auto"/>
        <w:tabs>
          <w:tab w:leader="none" w:pos="12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the relevant historical data on the property is compiled, the title officer prepares a preliminary report that documents the current status of title to the property, any exclusions, exceptions and/or limitations that the title company might include in the policy, and specific issues that need to be addressed and resolved by the parties to the transaction before the title policy will be issued.</w:t>
      </w:r>
    </w:p>
    <w:p>
      <w:pPr>
        <w:spacing w:after="0" w:line="47"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preliminary report is circulated to all the parties for satisfaction of any specific issues.</w:t>
      </w:r>
    </w:p>
    <w:p>
      <w:pPr>
        <w:spacing w:after="0" w:line="86" w:lineRule="exact"/>
        <w:rPr>
          <w:rFonts w:ascii="Times New Roman" w:cs="Times New Roman" w:eastAsia="Times New Roman" w:hAnsi="Times New Roman"/>
          <w:sz w:val="13"/>
          <w:szCs w:val="13"/>
          <w:color w:val="auto"/>
        </w:rPr>
      </w:pPr>
    </w:p>
    <w:p>
      <w:pPr>
        <w:ind w:left="1280" w:right="320" w:hanging="190"/>
        <w:spacing w:after="0" w:line="286" w:lineRule="auto"/>
        <w:tabs>
          <w:tab w:leader="none" w:pos="12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the specific issues identified in the preliminary report are satisfied, an escrow agent closes the transaction in accordance with the instructions of the parties and the title company’s conditions.</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Once the transaction is closed and all monies have been released, the title company issues a title insurance policy.</w:t>
      </w:r>
    </w:p>
    <w:p>
      <w:pPr>
        <w:spacing w:after="0" w:line="96" w:lineRule="exact"/>
        <w:rPr>
          <w:sz w:val="20"/>
          <w:szCs w:val="20"/>
          <w:color w:val="auto"/>
        </w:rPr>
      </w:pPr>
    </w:p>
    <w:p>
      <w:pPr>
        <w:ind w:left="680" w:right="100" w:firstLine="399"/>
        <w:spacing w:after="0" w:line="263" w:lineRule="auto"/>
        <w:rPr>
          <w:sz w:val="20"/>
          <w:szCs w:val="20"/>
          <w:color w:val="auto"/>
        </w:rPr>
      </w:pPr>
      <w:r>
        <w:rPr>
          <w:rFonts w:ascii="Times New Roman" w:cs="Times New Roman" w:eastAsia="Times New Roman" w:hAnsi="Times New Roman"/>
          <w:sz w:val="13"/>
          <w:szCs w:val="13"/>
          <w:color w:val="auto"/>
        </w:rPr>
        <w:t>In a real estate transaction financed with a mortgage, virtually all real property mortgage lenders require their borrowers to obtain a title insurance policy at the time a mortgage loan is made. This lender’s policy insures the lender against any defect affecting the priority of the mortgage in an amount equal to the outstanding balance of the related mortgage loan. An owner’s policy is typically also issued, insuring the buyer against defects in title in an amount equal to the purchase price. In a refinancing transaction, only a lender’s policy is generally purchased because ownership of the property has not changed. In the case of an all-cash real estate purchase, no lender’s policy is issued but typically an owner’s title policy is issued.</w:t>
      </w:r>
    </w:p>
    <w:p>
      <w:pPr>
        <w:spacing w:after="0" w:line="62" w:lineRule="exact"/>
        <w:rPr>
          <w:sz w:val="20"/>
          <w:szCs w:val="20"/>
          <w:color w:val="auto"/>
        </w:rPr>
      </w:pPr>
    </w:p>
    <w:p>
      <w:pPr>
        <w:ind w:left="680" w:right="100" w:firstLine="399"/>
        <w:spacing w:after="0" w:line="269" w:lineRule="auto"/>
        <w:rPr>
          <w:sz w:val="20"/>
          <w:szCs w:val="20"/>
          <w:color w:val="auto"/>
        </w:rPr>
      </w:pPr>
      <w:r>
        <w:rPr>
          <w:rFonts w:ascii="Times New Roman" w:cs="Times New Roman" w:eastAsia="Times New Roman" w:hAnsi="Times New Roman"/>
          <w:sz w:val="13"/>
          <w:szCs w:val="13"/>
          <w:color w:val="auto"/>
        </w:rPr>
        <w:t>Title insurance premiums paid in connection with a title insurance policy are based on (and typically a percentage of) either the amount of the mortgage loan or the purchase price of the property insured. Applicable state insurance regulations or regulatory practices may limit the maximum, or in some cases the minimum, premium that can be charged on a policy. Title insurance premiums are due in full at the closing of the real estate transaction. The lender’s policy generally terminates upon the refinancing or resale of the property.</w:t>
      </w:r>
    </w:p>
    <w:p>
      <w:pPr>
        <w:spacing w:after="0" w:line="58"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 of the mortgage loan. Because of these factors, the total liability of a title underwriter on outstanding policies cannot be precisely determined.</w:t>
      </w:r>
    </w:p>
    <w:p>
      <w:pPr>
        <w:spacing w:after="0" w:line="62" w:lineRule="exact"/>
        <w:rPr>
          <w:sz w:val="20"/>
          <w:szCs w:val="20"/>
          <w:color w:val="auto"/>
        </w:rPr>
      </w:pPr>
    </w:p>
    <w:p>
      <w:pPr>
        <w:ind w:left="680" w:right="80" w:firstLine="399"/>
        <w:spacing w:after="0" w:line="258" w:lineRule="auto"/>
        <w:rPr>
          <w:sz w:val="20"/>
          <w:szCs w:val="20"/>
          <w:color w:val="auto"/>
        </w:rPr>
      </w:pPr>
      <w:r>
        <w:rPr>
          <w:rFonts w:ascii="Times New Roman" w:cs="Times New Roman" w:eastAsia="Times New Roman" w:hAnsi="Times New Roman"/>
          <w:sz w:val="13"/>
          <w:szCs w:val="13"/>
          <w:color w:val="auto"/>
        </w:rPr>
        <w:t>Title insurance companies typically issue title insurance policies directly through branch offices or through title agencies which are subsidiaries of the title insurance company, and indirectly through independent third party agencies unaffiliated with the title insurance company. Where the policy is issued through a branch or wholly-owned subsidiary agency operation, the title insurance company typically performs or directs the search, and the premiums collected are retained by the title company. Where the policy is issued through an independent agent, the agent generally performs the search (in some areas searches are performed by approved attorneys), examines the title, collects the premium and retains a majority of the premium. The remainder of the premium is remitted to the title insurance company as compensation, part of which is for bearing the risk of loss in the event a claim is made under the policy. The percentage of the premium retained by an agent varies from region to region and is sometimes regulated by the states. The title insurance company is obligated to pay title claims in accordance with the terms of its policies, regardless of whether the title insurance company issues policies through its direct operations or through independent agents.</w:t>
      </w:r>
    </w:p>
    <w:p>
      <w:pPr>
        <w:spacing w:after="0" w:line="27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8" w:name="page9"/>
    <w:bookmarkEnd w:id="8"/>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Prior to issuing policies, title insurers and their agents attempt to reduce the risk of future claim losses by accurately performing searches and examinations. A title insurance company’s predominant expense relates to such searches and examinations, the preparation of preliminary title reports, policies or commitments and the maintenance of title “plants,” which are indexed compilations of public records, maps and other relevant historical documents. Claim losses generally result from errors made in the title search and examination process and from hidden defects such as fraud, forgery, incapacity, or missing heirs of the property.</w:t>
      </w:r>
    </w:p>
    <w:p>
      <w:pPr>
        <w:spacing w:after="0" w:line="62"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Residential real estate business results from the construction, sale, resale and refinancing of residential properties, while commercial real estate business results from similar activities with respect to properties with a business or commercial use. Commercial real estate title insurance policies insure title to commercial real property, and generally involve higher coverage amounts and yield higher premiums. Residential real estate transaction volume is primarily affected by macroeconomic and seasonal factors while commercial real estate transaction volume is affected primarily by fluctuations in local supply and demand conditions for commercial space.</w:t>
      </w:r>
    </w:p>
    <w:p>
      <w:pPr>
        <w:spacing w:after="0" w:line="60" w:lineRule="exact"/>
        <w:rPr>
          <w:sz w:val="20"/>
          <w:szCs w:val="20"/>
          <w:color w:val="auto"/>
        </w:rPr>
      </w:pPr>
    </w:p>
    <w:p>
      <w:pPr>
        <w:ind w:left="680" w:right="12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Direct and Agency Operations. </w:t>
      </w:r>
      <w:r>
        <w:rPr>
          <w:rFonts w:ascii="Times New Roman" w:cs="Times New Roman" w:eastAsia="Times New Roman" w:hAnsi="Times New Roman"/>
          <w:sz w:val="13"/>
          <w:szCs w:val="13"/>
          <w:color w:val="auto"/>
        </w:rPr>
        <w:t>We provide title insurance services through our direct operations and through independent title insurance agents who issue title policies on behalf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title insurance companies. Our title insurance companies determine the terms and conditions upon which they will insure title to the real property according to their underwriting standards, policies and procedures.</w:t>
      </w:r>
    </w:p>
    <w:p>
      <w:pPr>
        <w:spacing w:after="0" w:line="54" w:lineRule="exact"/>
        <w:rPr>
          <w:sz w:val="20"/>
          <w:szCs w:val="20"/>
          <w:color w:val="auto"/>
        </w:rPr>
      </w:pPr>
    </w:p>
    <w:p>
      <w:pPr>
        <w:ind w:left="680" w:right="46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Direct Operations. </w:t>
      </w:r>
      <w:r>
        <w:rPr>
          <w:rFonts w:ascii="Times New Roman" w:cs="Times New Roman" w:eastAsia="Times New Roman" w:hAnsi="Times New Roman"/>
          <w:sz w:val="13"/>
          <w:szCs w:val="13"/>
          <w:color w:val="auto"/>
        </w:rPr>
        <w:t>In our direct operations, the title insurer issues the title insurance policy and retains the entire premium paid in connection with the transaction. Our direct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operations provide the following benefits:</w:t>
      </w:r>
    </w:p>
    <w:p>
      <w:pPr>
        <w:spacing w:after="0" w:line="45" w:lineRule="exact"/>
        <w:rPr>
          <w:sz w:val="20"/>
          <w:szCs w:val="20"/>
          <w:color w:val="auto"/>
        </w:rPr>
      </w:pPr>
    </w:p>
    <w:p>
      <w:pPr>
        <w:ind w:left="1280" w:hanging="190"/>
        <w:spacing w:after="0"/>
        <w:tabs>
          <w:tab w:leader="none" w:pos="12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higher margins because we retain the entire premium from each transaction instead of paying a commission to an independent agent;</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continuity of service levels to a broad range of customers; and</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additional sources of income through escrow and closing services.</w:t>
      </w:r>
    </w:p>
    <w:p>
      <w:pPr>
        <w:spacing w:after="0" w:line="96" w:lineRule="exact"/>
        <w:rPr>
          <w:sz w:val="20"/>
          <w:szCs w:val="20"/>
          <w:color w:val="auto"/>
        </w:rPr>
      </w:pPr>
    </w:p>
    <w:p>
      <w:pPr>
        <w:ind w:left="680" w:right="200" w:firstLine="399"/>
        <w:spacing w:after="0" w:line="269" w:lineRule="auto"/>
        <w:rPr>
          <w:sz w:val="20"/>
          <w:szCs w:val="20"/>
          <w:color w:val="auto"/>
        </w:rPr>
      </w:pPr>
      <w:r>
        <w:rPr>
          <w:rFonts w:ascii="Times New Roman" w:cs="Times New Roman" w:eastAsia="Times New Roman" w:hAnsi="Times New Roman"/>
          <w:sz w:val="13"/>
          <w:szCs w:val="13"/>
          <w:color w:val="auto"/>
        </w:rPr>
        <w:t>We have over 1,000 offices throughout the U.S. primarily providing residential real estate title insurance. Our commercial real estate title insurance business is operated almost exclusively through our direct operations. We maintain direct operations for our commercial title insurance business in all the major real estate markets including New York, Los Angeles, Chicago, Atlanta, Dallas, Philadelphia, Phoenix, Seattle and Houston.</w:t>
      </w:r>
    </w:p>
    <w:p>
      <w:pPr>
        <w:spacing w:after="0" w:line="56"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i w:val="1"/>
          <w:iCs w:val="1"/>
          <w:color w:val="auto"/>
        </w:rPr>
        <w:t xml:space="preserve">Agency Operations. </w:t>
      </w:r>
      <w:r>
        <w:rPr>
          <w:rFonts w:ascii="Times New Roman" w:cs="Times New Roman" w:eastAsia="Times New Roman" w:hAnsi="Times New Roman"/>
          <w:sz w:val="13"/>
          <w:szCs w:val="13"/>
          <w:color w:val="auto"/>
        </w:rPr>
        <w:t>In our agency operations, the search and examination function is performed by an independent agent or the agent may purchase the search and examination from</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us. In either case, the agent is responsible to ensure that the search and examination is completed. The agent thus retains the majority of the title premium collected, with the balance remitted to the title underwriter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and in some states are fixed by insurance regulatory requirements.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 condition and loss history. For each agent with whom we enter into an agency agreement we maintain financial and loss experience records. We also conduct periodic audits of our agents.</w:t>
      </w:r>
    </w:p>
    <w:p>
      <w:pPr>
        <w:spacing w:after="0" w:line="63" w:lineRule="exact"/>
        <w:rPr>
          <w:sz w:val="20"/>
          <w:szCs w:val="20"/>
          <w:color w:val="auto"/>
        </w:rPr>
      </w:pPr>
    </w:p>
    <w:p>
      <w:pPr>
        <w:ind w:left="680" w:right="52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Fees and Premiums. </w:t>
      </w:r>
      <w:r>
        <w:rPr>
          <w:rFonts w:ascii="Times New Roman" w:cs="Times New Roman" w:eastAsia="Times New Roman" w:hAnsi="Times New Roman"/>
          <w:sz w:val="13"/>
          <w:szCs w:val="13"/>
          <w:color w:val="auto"/>
        </w:rPr>
        <w:t>One method of analyzing our business is to examine the level of premiums generated by direct and agency operations. The following table presents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percentages of our title insurance premiums</w:t>
      </w:r>
    </w:p>
    <w:p>
      <w:pPr>
        <w:spacing w:after="0" w:line="2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 w:name="page10"/>
    <w:bookmarkEnd w:id="9"/>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generated by direct and agency operations (including, for periods prior to the closing of the SEDA, premiums earned by us and by FIS):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4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98"/>
        </w:trPr>
        <w:tc>
          <w:tcPr>
            <w:tcW w:w="4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340"/>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288"/>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340"/>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tcPr>
          <w:p>
            <w:pPr>
              <w:jc w:val="right"/>
              <w:ind w:right="660"/>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400" w:type="dxa"/>
            <w:vAlign w:val="bottom"/>
          </w:tcPr>
          <w:p>
            <w:pPr>
              <w:jc w:val="right"/>
              <w:ind w:right="7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3"/>
          </w:tcPr>
          <w:p>
            <w:pPr>
              <w:ind w:left="100"/>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320" w:type="dxa"/>
            <w:vAlign w:val="bottom"/>
          </w:tcPr>
          <w:p>
            <w:pPr>
              <w:jc w:val="right"/>
              <w:ind w:right="9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tcPr>
          <w:p>
            <w:pPr>
              <w:jc w:val="right"/>
              <w:ind w:right="660"/>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380" w:type="dxa"/>
            <w:vAlign w:val="bottom"/>
          </w:tcPr>
          <w:p>
            <w:pPr>
              <w:jc w:val="right"/>
              <w:ind w:right="7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8"/>
                <w:szCs w:val="8"/>
                <w:color w:val="auto"/>
              </w:rPr>
            </w:pPr>
          </w:p>
        </w:tc>
      </w:tr>
      <w:tr>
        <w:trPr>
          <w:trHeight w:val="133"/>
        </w:trPr>
        <w:tc>
          <w:tcPr>
            <w:tcW w:w="40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0"/>
                <w:szCs w:val="10"/>
                <w:b w:val="1"/>
                <w:bCs w:val="1"/>
                <w:color w:val="auto"/>
              </w:rPr>
              <w:t>(Dollars in</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81"/>
              </w:rPr>
              <w:t>thousands)</w:t>
            </w: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Direct</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1,957,064</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42.5%</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2,261,499</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45.7%</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2,128,902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w:t>
            </w:r>
          </w:p>
        </w:tc>
      </w:tr>
      <w:tr>
        <w:trPr>
          <w:trHeight w:val="157"/>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Agency</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2,649,136</w:t>
            </w: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2,683,545</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54.3</w:t>
            </w: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2,610,426</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55.1</w:t>
            </w:r>
          </w:p>
        </w:tc>
      </w:tr>
      <w:tr>
        <w:trPr>
          <w:trHeight w:val="20"/>
        </w:trPr>
        <w:tc>
          <w:tcPr>
            <w:tcW w:w="4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title insurance premiums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4,606,200</w:t>
            </w:r>
          </w:p>
        </w:tc>
        <w:tc>
          <w:tcPr>
            <w:tcW w:w="3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100.0%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4,945,044</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9"/>
              </w:rPr>
              <w:t>100.0%</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4,739,328</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29"/>
        </w:trPr>
        <w:tc>
          <w:tcPr>
            <w:tcW w:w="4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86"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The premium for title insurance is due in full when the real estate transaction is closed. We recognize title insurance premium revenues from direct operations upon the closing of the transaction, whereas premium revenues from agency operations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and is based on estimates utilizing historical information.</w:t>
      </w:r>
    </w:p>
    <w:p>
      <w:pPr>
        <w:spacing w:after="0" w:line="60" w:lineRule="exact"/>
        <w:rPr>
          <w:sz w:val="20"/>
          <w:szCs w:val="20"/>
          <w:color w:val="auto"/>
        </w:rPr>
      </w:pPr>
    </w:p>
    <w:p>
      <w:pPr>
        <w:ind w:left="680" w:right="8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Geographic Operations. </w:t>
      </w:r>
      <w:r>
        <w:rPr>
          <w:rFonts w:ascii="Times New Roman" w:cs="Times New Roman" w:eastAsia="Times New Roman" w:hAnsi="Times New Roman"/>
          <w:sz w:val="13"/>
          <w:szCs w:val="13"/>
          <w:color w:val="auto"/>
        </w:rPr>
        <w:t>Our direct operations are divided into approximately 250 profit centers consisting of more than 1,000 direct offices. Each profit center processes title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insurance transactions within its geographical area, which is usually identified by a county, a group of counties forming a region, or a state, depending on the management structure in that part of the country. We also transact title insurance business through a network of approximately 7,650 agents, primarily in those areas in which agents are the more prevalent title insurance provider.</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sets forth the approximate dollar and percentage volumes of our title insurance premium revenue by state.</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4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98"/>
        </w:trPr>
        <w:tc>
          <w:tcPr>
            <w:tcW w:w="4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340"/>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288"/>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340"/>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tcPr>
          <w:p>
            <w:pPr>
              <w:jc w:val="right"/>
              <w:ind w:right="660"/>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400" w:type="dxa"/>
            <w:vAlign w:val="bottom"/>
          </w:tcPr>
          <w:p>
            <w:pPr>
              <w:jc w:val="right"/>
              <w:ind w:right="76"/>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3"/>
          </w:tcPr>
          <w:p>
            <w:pPr>
              <w:ind w:left="100"/>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320" w:type="dxa"/>
            <w:vAlign w:val="bottom"/>
          </w:tcPr>
          <w:p>
            <w:pPr>
              <w:jc w:val="right"/>
              <w:ind w:right="96"/>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tcPr>
          <w:p>
            <w:pPr>
              <w:jc w:val="right"/>
              <w:ind w:right="660"/>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380" w:type="dxa"/>
            <w:vAlign w:val="bottom"/>
          </w:tcPr>
          <w:p>
            <w:pPr>
              <w:jc w:val="right"/>
              <w:ind w:right="76"/>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8"/>
                <w:szCs w:val="8"/>
                <w:color w:val="auto"/>
              </w:rPr>
            </w:pPr>
          </w:p>
        </w:tc>
      </w:tr>
      <w:tr>
        <w:trPr>
          <w:trHeight w:val="133"/>
        </w:trPr>
        <w:tc>
          <w:tcPr>
            <w:tcW w:w="40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0"/>
                <w:szCs w:val="10"/>
                <w:b w:val="1"/>
                <w:bCs w:val="1"/>
                <w:color w:val="auto"/>
              </w:rPr>
              <w:t>(Dollars in</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81"/>
              </w:rPr>
              <w:t>thousands)</w:t>
            </w: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California</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810,961</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17.6%</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1,035,076</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20.9%</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1,056,672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r>
      <w:tr>
        <w:trPr>
          <w:trHeight w:val="157"/>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Florida</w:t>
            </w:r>
          </w:p>
        </w:tc>
        <w:tc>
          <w:tcPr>
            <w:tcW w:w="16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635,066</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13.8</w:t>
            </w:r>
          </w:p>
        </w:tc>
        <w:tc>
          <w:tcPr>
            <w:tcW w:w="160" w:type="dxa"/>
            <w:vAlign w:val="bottom"/>
          </w:tcPr>
          <w:p>
            <w:pPr>
              <w:spacing w:after="0"/>
              <w:rPr>
                <w:sz w:val="13"/>
                <w:szCs w:val="13"/>
                <w:color w:val="auto"/>
              </w:rPr>
            </w:pPr>
          </w:p>
        </w:tc>
        <w:tc>
          <w:tcPr>
            <w:tcW w:w="112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698,802</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14.1</w:t>
            </w: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490,823</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10.4</w:t>
            </w:r>
          </w:p>
        </w:tc>
      </w:tr>
      <w:tr>
        <w:trPr>
          <w:trHeight w:val="15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Texas</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514,322</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11.2</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476,432</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9.6</w:t>
            </w: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514,417</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10.9</w:t>
            </w:r>
          </w:p>
        </w:tc>
      </w:tr>
      <w:tr>
        <w:trPr>
          <w:trHeight w:val="157"/>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New York</w:t>
            </w:r>
          </w:p>
        </w:tc>
        <w:tc>
          <w:tcPr>
            <w:tcW w:w="16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360,779</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7.8</w:t>
            </w:r>
          </w:p>
        </w:tc>
        <w:tc>
          <w:tcPr>
            <w:tcW w:w="160" w:type="dxa"/>
            <w:vAlign w:val="bottom"/>
          </w:tcPr>
          <w:p>
            <w:pPr>
              <w:spacing w:after="0"/>
              <w:rPr>
                <w:sz w:val="13"/>
                <w:szCs w:val="13"/>
                <w:color w:val="auto"/>
              </w:rPr>
            </w:pPr>
          </w:p>
        </w:tc>
        <w:tc>
          <w:tcPr>
            <w:tcW w:w="112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401,356</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8.1</w:t>
            </w: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407,481</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8.6</w:t>
            </w:r>
          </w:p>
        </w:tc>
      </w:tr>
      <w:tr>
        <w:trPr>
          <w:trHeight w:val="15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Illinois</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199,936</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4.3</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64,943</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202,277</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4.3</w:t>
            </w:r>
          </w:p>
        </w:tc>
      </w:tr>
      <w:tr>
        <w:trPr>
          <w:trHeight w:val="157"/>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All others</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2,085,136</w:t>
            </w: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2,268,435</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46.0</w:t>
            </w: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2,067,658</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43.5</w:t>
            </w:r>
          </w:p>
        </w:tc>
      </w:tr>
      <w:tr>
        <w:trPr>
          <w:trHeight w:val="20"/>
        </w:trPr>
        <w:tc>
          <w:tcPr>
            <w:tcW w:w="4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4,606,200</w:t>
            </w:r>
          </w:p>
        </w:tc>
        <w:tc>
          <w:tcPr>
            <w:tcW w:w="3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100.0%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4,945,044</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9"/>
              </w:rPr>
              <w:t>100.0%</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4,739,328</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29"/>
        </w:trPr>
        <w:tc>
          <w:tcPr>
            <w:tcW w:w="4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84" w:lineRule="exact"/>
        <w:rPr>
          <w:sz w:val="20"/>
          <w:szCs w:val="20"/>
          <w:color w:val="auto"/>
        </w:rPr>
      </w:pPr>
    </w:p>
    <w:p>
      <w:pPr>
        <w:ind w:left="680" w:right="100" w:firstLine="399"/>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Escrow and Other Title Related Fees. </w:t>
      </w:r>
      <w:r>
        <w:rPr>
          <w:rFonts w:ascii="Times New Roman" w:cs="Times New Roman" w:eastAsia="Times New Roman" w:hAnsi="Times New Roman"/>
          <w:sz w:val="13"/>
          <w:szCs w:val="13"/>
          <w:color w:val="auto"/>
        </w:rPr>
        <w:t>In addition to fees for underwriting title insurance policies, we derive a significant amount of our revenues from escrow and other title-related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services, including closing services. The escrow and other services provided by us include all of those typically required in connection with residential and commercial real estate purchase and refinance activities. Escrow and other title-related fees represented approximately 11.2%, 12.0%, and 12.5% of our revenues in 2006, 2005, and 2004, respectively. Escrow and other title-related fees are primarily generated by our direct title operations, and increases or decreases in the amount of revenue we receive from these services are closely related to increases or decreases in revenues from our direct title operations.</w:t>
      </w:r>
    </w:p>
    <w:p>
      <w:pPr>
        <w:spacing w:after="0" w:line="62" w:lineRule="exact"/>
        <w:rPr>
          <w:sz w:val="20"/>
          <w:szCs w:val="20"/>
          <w:color w:val="auto"/>
        </w:rPr>
      </w:pPr>
    </w:p>
    <w:p>
      <w:pPr>
        <w:ind w:left="680" w:right="10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Reinsurance and Coinsurance. </w:t>
      </w:r>
      <w:r>
        <w:rPr>
          <w:rFonts w:ascii="Times New Roman" w:cs="Times New Roman" w:eastAsia="Times New Roman" w:hAnsi="Times New Roman"/>
          <w:sz w:val="13"/>
          <w:szCs w:val="13"/>
          <w:color w:val="auto"/>
        </w:rPr>
        <w:t>In a limited number of situations we limit our maximum loss exposure by reinsuring certain risks with other title insurers under agent fidelity, excess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loss and case-by-case reinsurance agreements. We also earn a small amount of additional income, which is reflected in our direct premiums, by assuming reinsurance for certain risks of other title insurers. Reinsurance agreements provide generally that the reinsurer is liable for loss and loss adjustment expense payments exceeding the amount retained by the ceding</w:t>
      </w:r>
    </w:p>
    <w:p>
      <w:pPr>
        <w:spacing w:after="0" w:line="2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 w:name="page11"/>
    <w:bookmarkEnd w:id="10"/>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company. However, the ceding company remains primarily liable in the event the reinsurer does not meet its contractual obligations.</w:t>
      </w:r>
    </w:p>
    <w:p>
      <w:pPr>
        <w:spacing w:after="0" w:line="96"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We also use coinsurance in our commercial title business to provide coverage in amounts greater than we would be willing or able to provide individually. In coinsurance transactions, each individual underwriting company issues a separate policy and assumes a portion of the overall total risk. As a coinsurer we are only liable for the portion of the risk we assume.</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Specialty Insurance</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We issue various insurance policies and contracts, which include the following:</w:t>
      </w:r>
    </w:p>
    <w:p>
      <w:pPr>
        <w:spacing w:after="0" w:line="94" w:lineRule="exact"/>
        <w:rPr>
          <w:sz w:val="20"/>
          <w:szCs w:val="20"/>
          <w:color w:val="auto"/>
        </w:rPr>
      </w:pPr>
    </w:p>
    <w:p>
      <w:pPr>
        <w:ind w:left="1280" w:hanging="190"/>
        <w:spacing w:after="0"/>
        <w:tabs>
          <w:tab w:leader="none" w:pos="1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Flood insurance. </w:t>
      </w:r>
      <w:r>
        <w:rPr>
          <w:rFonts w:ascii="Times New Roman" w:cs="Times New Roman" w:eastAsia="Times New Roman" w:hAnsi="Times New Roman"/>
          <w:sz w:val="13"/>
          <w:szCs w:val="13"/>
          <w:color w:val="auto"/>
        </w:rPr>
        <w:t>We issue new and renewal flood insurance policies in conjunction with the NFIP. The NFIP bears all insurance risk related to these policies.</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Home warranty. </w:t>
      </w:r>
      <w:r>
        <w:rPr>
          <w:rFonts w:ascii="Times New Roman" w:cs="Times New Roman" w:eastAsia="Times New Roman" w:hAnsi="Times New Roman"/>
          <w:sz w:val="13"/>
          <w:szCs w:val="13"/>
          <w:color w:val="auto"/>
        </w:rPr>
        <w:t>We issue one-year, renewable contracts that protect homeowners against defects in household systems and appliances.</w:t>
      </w:r>
    </w:p>
    <w:p>
      <w:pPr>
        <w:spacing w:after="0" w:line="86" w:lineRule="exact"/>
        <w:rPr>
          <w:rFonts w:ascii="Times New Roman" w:cs="Times New Roman" w:eastAsia="Times New Roman" w:hAnsi="Times New Roman"/>
          <w:sz w:val="13"/>
          <w:szCs w:val="13"/>
          <w:color w:val="auto"/>
        </w:rPr>
      </w:pPr>
    </w:p>
    <w:p>
      <w:pPr>
        <w:jc w:val="both"/>
        <w:ind w:left="1280" w:right="120" w:hanging="190"/>
        <w:spacing w:after="0" w:line="271" w:lineRule="auto"/>
        <w:tabs>
          <w:tab w:leader="none" w:pos="1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Personal lines insurance. </w:t>
      </w:r>
      <w:r>
        <w:rPr>
          <w:rFonts w:ascii="Times New Roman" w:cs="Times New Roman" w:eastAsia="Times New Roman" w:hAnsi="Times New Roman"/>
          <w:sz w:val="13"/>
          <w:szCs w:val="13"/>
          <w:color w:val="auto"/>
        </w:rPr>
        <w:t>We offer and underwrite homeowners insurance in 48 states. Automobile insurance is currently underwritten in 23 states. We will expand into several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additional states where favorable underwriting potential exists in 2007. In addition, we underwrite personal umbrella, inland marine (boat and recreational watercraft), and other personal lines niche products in selected markets.</w:t>
      </w:r>
    </w:p>
    <w:p>
      <w:pPr>
        <w:spacing w:after="0" w:line="1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Sales and Marketing</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Our sales and marketing efforts are primarily organized around our lines of business.</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Fidelity National Title Group</w:t>
      </w:r>
    </w:p>
    <w:p>
      <w:pPr>
        <w:spacing w:after="0" w:line="98"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We market and distribute our title and escrow products and services to customers in the residential and commercial market sectors of the real estate industry through customer solicitation by sales personnel. Although in many instances the individual homeowner is the beneficiary of a title insurance policy, we do not focus our marketing efforts on the homeowner. We actively encourage our sales personnel to develop new business relationships with persons in the real estate community, such as real estate sales agents and brokers, financial institutions, independent escrow companies and title agents, real estate developers, mortgage brokers and attorneys who order title insurance policies for their clients. While our smaller, local clients remain important, large customers, such as national residential mortgage lenders, real estate investment trusts and developers have become an increasingly important part of our business. The buying criteria of locally based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ability of service providers to meet their information systems requirements for electronic product delivery.</w:t>
      </w:r>
    </w:p>
    <w:p>
      <w:pPr>
        <w:spacing w:after="0" w:line="1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Specialty Insurance</w:t>
      </w:r>
    </w:p>
    <w:p>
      <w:pPr>
        <w:spacing w:after="0" w:line="98" w:lineRule="exact"/>
        <w:rPr>
          <w:sz w:val="20"/>
          <w:szCs w:val="20"/>
          <w:color w:val="auto"/>
        </w:rPr>
      </w:pPr>
    </w:p>
    <w:p>
      <w:pPr>
        <w:ind w:left="680" w:right="60" w:firstLine="399"/>
        <w:spacing w:after="0" w:line="259" w:lineRule="auto"/>
        <w:rPr>
          <w:sz w:val="20"/>
          <w:szCs w:val="20"/>
          <w:color w:val="auto"/>
        </w:rPr>
      </w:pPr>
      <w:r>
        <w:rPr>
          <w:rFonts w:ascii="Times New Roman" w:cs="Times New Roman" w:eastAsia="Times New Roman" w:hAnsi="Times New Roman"/>
          <w:sz w:val="13"/>
          <w:szCs w:val="13"/>
          <w:color w:val="auto"/>
        </w:rPr>
        <w:t>Specialty insurance is marketed through three distinct channels. We market our program through our in-house agency via direct mail to customers of our affiliated operations. This direct channel constituted approximately 17%, 20%, and 30% of our premium writings in 2006, 2005, and 2004, respectively. The second distribution channel is through independent agents and brokers nationwide. Approximately 75%, 68%, and 70% of our non-flood premium and the vast majority of our flood business was placed through this channel in 2006, 2005, and 2004, respectively. The third distribution channel is through captive independent agents in California. This channel, comprised of 20 captive independent agents at the end of 2006, accounted for 8% and 12% of the non-flood premium volume in 2006 and 2005, respectively. We currently have in excess of 27,000 independent agencies nationwide actively producing business on our behalf.</w:t>
      </w:r>
    </w:p>
    <w:p>
      <w:pPr>
        <w:spacing w:after="0" w:line="27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1" w:name="page12"/>
    <w:bookmarkEnd w:id="11"/>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Patents, Trademarks and Other Intellectual Property</w:t>
      </w:r>
    </w:p>
    <w:p>
      <w:pPr>
        <w:spacing w:after="0" w:line="98"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We rely on a combination of contractual restrictions, internal security practices, and copyright and trade secret law to establish and protect our software, technology, and expertise. Further, we have developed a number of brands that have accumulated substantial goodwill in the marketplace, and we rely on trademark law to protect our rights in that area. We intend to continue our policy of taking all measures we deem necessary to protect our copyright, trade secret, and trademark rights. These legal protections and arrangements afford only limited protection of our proprietary rights, and there is no assurance that our competitors will not independently develop or license products, services, or capabilities that are substantially equivalent or superior to ours. In general, we believe that we own most proprietary rights necessary for the conduct of our business, although we do license certain items, none of which is material, under arms-length agreements for varying terms.</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Technology and Research and Development</w:t>
      </w:r>
    </w:p>
    <w:p>
      <w:pPr>
        <w:spacing w:after="0" w:line="98" w:lineRule="exact"/>
        <w:rPr>
          <w:sz w:val="20"/>
          <w:szCs w:val="20"/>
          <w:color w:val="auto"/>
        </w:rPr>
      </w:pPr>
    </w:p>
    <w:p>
      <w:pPr>
        <w:ind w:left="680" w:right="180" w:firstLine="399"/>
        <w:spacing w:after="0" w:line="261" w:lineRule="auto"/>
        <w:rPr>
          <w:sz w:val="20"/>
          <w:szCs w:val="20"/>
          <w:color w:val="auto"/>
        </w:rPr>
      </w:pPr>
      <w:r>
        <w:rPr>
          <w:rFonts w:ascii="Times New Roman" w:cs="Times New Roman" w:eastAsia="Times New Roman" w:hAnsi="Times New Roman"/>
          <w:sz w:val="13"/>
          <w:szCs w:val="13"/>
          <w:color w:val="auto"/>
        </w:rPr>
        <w:t>As a national provider of real estate transaction products and services, we participate in an industry that is subject to significant change, 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currently upgrading our operating system to improve the process of ordering title services and improve the delivery of our products to our customers. This investment includes maintenance and enhancement of existing software applications and the development of new and innovative software applications.</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Competition</w:t>
      </w:r>
    </w:p>
    <w:p>
      <w:pPr>
        <w:spacing w:after="0" w:line="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Fidelity National Title Group</w:t>
      </w:r>
    </w:p>
    <w:p>
      <w:pPr>
        <w:spacing w:after="0" w:line="98"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The title insurance industry is highly competitive, with the top five insurance companies accounting for 91.8% of net premiums collected in 2005 according to Demotech. The number and size of competing companies varies in the different geographic areas in which we conduct our business. In our principal markets, competitors include other major title underwriters such as The First American Corporation, LandAmerica Financial Group, Inc., Old Republic International Corporation and Stewart Information Services Corporation, as well as numerous smaller title insurance companies, underwritten title companies and independent agency operations at the regional and local level. These smaller companies may expand into other markets in which we compete. Also, the removal of regulatory barriers might result in new competitors entering the title insurance business, and those new competitors may include diversified financial services companies that have greater financial resources than we do and possess other competitive advantages. Competition among the major title insurance companies, expansion by smaller regional companies and any new entrants with alternative products could affect our business operations and financial condition.</w:t>
      </w:r>
    </w:p>
    <w:p>
      <w:pPr>
        <w:spacing w:after="0" w:line="64" w:lineRule="exact"/>
        <w:rPr>
          <w:sz w:val="20"/>
          <w:szCs w:val="20"/>
          <w:color w:val="auto"/>
        </w:rPr>
      </w:pPr>
    </w:p>
    <w:p>
      <w:pPr>
        <w:ind w:left="680" w:right="200" w:firstLine="399"/>
        <w:spacing w:after="0" w:line="269" w:lineRule="auto"/>
        <w:rPr>
          <w:sz w:val="20"/>
          <w:szCs w:val="20"/>
          <w:color w:val="auto"/>
        </w:rPr>
      </w:pPr>
      <w:r>
        <w:rPr>
          <w:rFonts w:ascii="Times New Roman" w:cs="Times New Roman" w:eastAsia="Times New Roman" w:hAnsi="Times New Roman"/>
          <w:sz w:val="13"/>
          <w:szCs w:val="13"/>
          <w:color w:val="auto"/>
        </w:rPr>
        <w:t>Competition in the title insurance industry is based primarily on expertise, service and price. In addition, the financial strength of the insurer has become an increasingly important factor in decisions relating to the purchase of title insurance, particularly in multi-state transactions and in situations involving real estate-related investment vehicles such as real estate investment trusts and real estate mortgage investment conduits.</w:t>
      </w:r>
    </w:p>
    <w:p>
      <w:pPr>
        <w:spacing w:after="0" w:line="58" w:lineRule="exact"/>
        <w:rPr>
          <w:sz w:val="20"/>
          <w:szCs w:val="20"/>
          <w:color w:val="auto"/>
        </w:rPr>
      </w:pPr>
    </w:p>
    <w:p>
      <w:pPr>
        <w:ind w:left="680" w:right="140" w:firstLine="399"/>
        <w:spacing w:after="0" w:line="269" w:lineRule="auto"/>
        <w:rPr>
          <w:sz w:val="20"/>
          <w:szCs w:val="20"/>
          <w:color w:val="auto"/>
        </w:rPr>
      </w:pPr>
      <w:r>
        <w:rPr>
          <w:rFonts w:ascii="Times New Roman" w:cs="Times New Roman" w:eastAsia="Times New Roman" w:hAnsi="Times New Roman"/>
          <w:sz w:val="13"/>
          <w:szCs w:val="13"/>
          <w:color w:val="auto"/>
        </w:rPr>
        <w:t>The title insurance industry has also experienced periods of consolidation. We expect that, from time to time, we may evaluate opportunities for the acquisition of books of business or of title insurance companies or other complementary businesses as a going concern, for business combinations with other concerns and for the provision of insurance related advisory services to third parties. There can be no assurance, however, that any suitable business opportunity will arise.</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Specialty Insurance</w:t>
      </w:r>
    </w:p>
    <w:p>
      <w:pPr>
        <w:spacing w:after="0" w:line="98" w:lineRule="exact"/>
        <w:rPr>
          <w:sz w:val="20"/>
          <w:szCs w:val="20"/>
          <w:color w:val="auto"/>
        </w:rPr>
      </w:pPr>
    </w:p>
    <w:p>
      <w:pPr>
        <w:ind w:left="680" w:right="220" w:firstLine="399"/>
        <w:spacing w:after="0" w:line="286" w:lineRule="auto"/>
        <w:rPr>
          <w:sz w:val="20"/>
          <w:szCs w:val="20"/>
          <w:color w:val="auto"/>
        </w:rPr>
      </w:pPr>
      <w:r>
        <w:rPr>
          <w:rFonts w:ascii="Times New Roman" w:cs="Times New Roman" w:eastAsia="Times New Roman" w:hAnsi="Times New Roman"/>
          <w:sz w:val="13"/>
          <w:szCs w:val="13"/>
          <w:color w:val="auto"/>
        </w:rPr>
        <w:t>In our specialty insurance segment, we compete with the national, regional and local insurance carriers. Depending on geographic location, various personal lines carriers, such as State Farm, Allstate, Farmers, Travelers, Hartford, Nationwide and numerous other companies compete for this personal lines business. In addition to price,</w:t>
      </w: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2" w:name="page13"/>
    <w:bookmarkEnd w:id="12"/>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service and convenience are competitive factors. We strive to compete primarily through providing an efficient and streamlined product delivery platform.</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Regulation</w:t>
      </w:r>
    </w:p>
    <w:p>
      <w:pPr>
        <w:spacing w:after="0" w:line="98"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Our insurance subsidiaries, including title insurers, property and casualty insurers, underwritten title companies and insurance agencies, are subject to extensive regulation under applicable state laws. Each of the insurers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w:t>
      </w:r>
    </w:p>
    <w:p>
      <w:pPr>
        <w:spacing w:after="0" w:line="62" w:lineRule="exact"/>
        <w:rPr>
          <w:sz w:val="20"/>
          <w:szCs w:val="20"/>
          <w:color w:val="auto"/>
        </w:rPr>
      </w:pPr>
    </w:p>
    <w:p>
      <w:pPr>
        <w:jc w:val="both"/>
        <w:ind w:left="680" w:right="320" w:firstLine="399"/>
        <w:spacing w:after="0" w:line="269" w:lineRule="auto"/>
        <w:rPr>
          <w:sz w:val="20"/>
          <w:szCs w:val="20"/>
          <w:color w:val="auto"/>
        </w:rPr>
      </w:pPr>
      <w:r>
        <w:rPr>
          <w:rFonts w:ascii="Times New Roman" w:cs="Times New Roman" w:eastAsia="Times New Roman" w:hAnsi="Times New Roman"/>
          <w:sz w:val="13"/>
          <w:szCs w:val="13"/>
          <w:color w:val="auto"/>
        </w:rPr>
        <w:t>Since we are governed by both state and federal governments and the applicable insurance laws and regulations are constantly subject to change, it is not possible to predict the potential effects on our insurance operations, particularly our Fidelity National Title Group segment, of any laws or regulations that may become more restrictive in the future or if new restrictive laws will be enacted. See “Item 3 Legal Proceedings” for a description of certain recent regulatory developments in California and other states.</w:t>
      </w:r>
    </w:p>
    <w:p>
      <w:pPr>
        <w:spacing w:after="0" w:line="58"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Pursuant to statutory accounting requirements of the various states in which our title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2006, the combined statutory unearned premium reserve required and reported for our title insurers was $1,398.3 million. In addition to statutory unearned premium reserves, each of our insurers maintains surplus funds for policyholder protection and business operations.</w:t>
      </w:r>
    </w:p>
    <w:p>
      <w:pPr>
        <w:spacing w:after="0" w:line="62" w:lineRule="exact"/>
        <w:rPr>
          <w:sz w:val="20"/>
          <w:szCs w:val="20"/>
          <w:color w:val="auto"/>
        </w:rPr>
      </w:pPr>
    </w:p>
    <w:p>
      <w:pPr>
        <w:jc w:val="both"/>
        <w:ind w:left="680" w:right="460" w:firstLine="399"/>
        <w:spacing w:after="0" w:line="269" w:lineRule="auto"/>
        <w:rPr>
          <w:sz w:val="20"/>
          <w:szCs w:val="20"/>
          <w:color w:val="auto"/>
        </w:rPr>
      </w:pPr>
      <w:r>
        <w:rPr>
          <w:rFonts w:ascii="Times New Roman" w:cs="Times New Roman" w:eastAsia="Times New Roman" w:hAnsi="Times New Roman"/>
          <w:sz w:val="13"/>
          <w:szCs w:val="13"/>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insurance subsidiaries. Each of the insurers is subject to periodic regulatory financial examination by regulatory authorities, and certain of these examinations are currently ongoing.</w:t>
      </w:r>
    </w:p>
    <w:p>
      <w:pPr>
        <w:spacing w:after="0" w:line="58" w:lineRule="exact"/>
        <w:rPr>
          <w:sz w:val="20"/>
          <w:szCs w:val="20"/>
          <w:color w:val="auto"/>
        </w:rPr>
      </w:pPr>
    </w:p>
    <w:p>
      <w:pPr>
        <w:ind w:left="680" w:right="240" w:firstLine="399"/>
        <w:spacing w:after="0" w:line="269" w:lineRule="auto"/>
        <w:rPr>
          <w:sz w:val="20"/>
          <w:szCs w:val="20"/>
          <w:color w:val="auto"/>
        </w:rPr>
      </w:pPr>
      <w:r>
        <w:rPr>
          <w:rFonts w:ascii="Times New Roman" w:cs="Times New Roman" w:eastAsia="Times New Roman" w:hAnsi="Times New Roman"/>
          <w:sz w:val="13"/>
          <w:szCs w:val="13"/>
          <w:color w:val="auto"/>
        </w:rPr>
        <w:t>Under the statutes governing insurance holding companies in most states, insurers may not enter into certain transactions, including sales, reinsurance agreements and service or management contracts, with their affiliates unless the regulatory authority of the insurer’s state of domicile has received notice at least 30 days prior to the intended effective date of such transaction and has not objected to, or has approved, the transaction within the 30 day period.</w:t>
      </w:r>
    </w:p>
    <w:p>
      <w:pPr>
        <w:spacing w:after="0" w:line="58"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As a holding company with no significant business operations of our own, we depend on dividends or other distributions from our subsidiaries as the principal source of cash to meet our obligations, including the payment of interest on and repayment of principal of any debt obligations. The payment of dividends or other distributions to us by our insurers is regulated by the insurance laws and regulations of their respective states of domicile. In general, an insurance company subsidiary may not pay an “extraordinary” dividend or distribution unless the applicable insurance regulator has received notice of the intended payment at least 30 days prior to payment and has not objected to or has approved the payment within the 30-day period. In general, an “extraordinary” dividend or distribution is statutorily defined as a dividend or distribution that, together with other dividends and distributions made within the preceding 12 months, exceeds the greater of:</w:t>
      </w:r>
    </w:p>
    <w:p>
      <w:pPr>
        <w:spacing w:after="0" w:line="64" w:lineRule="exact"/>
        <w:rPr>
          <w:sz w:val="20"/>
          <w:szCs w:val="20"/>
          <w:color w:val="auto"/>
        </w:rPr>
      </w:pPr>
    </w:p>
    <w:p>
      <w:pPr>
        <w:ind w:left="1280" w:hanging="190"/>
        <w:spacing w:after="0"/>
        <w:tabs>
          <w:tab w:leader="none" w:pos="12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 of the insurer’s statutory surplus as of the immediately prior year end; or</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statutory net investment income or the statutory net income of the insurer during the prior calendar year.</w:t>
      </w:r>
    </w:p>
    <w:p>
      <w:pPr>
        <w:spacing w:after="0" w:line="96" w:lineRule="exact"/>
        <w:rPr>
          <w:sz w:val="20"/>
          <w:szCs w:val="20"/>
          <w:color w:val="auto"/>
        </w:rPr>
      </w:pPr>
    </w:p>
    <w:p>
      <w:pPr>
        <w:ind w:left="680" w:right="360" w:firstLine="399"/>
        <w:spacing w:after="0" w:line="286" w:lineRule="auto"/>
        <w:rPr>
          <w:sz w:val="20"/>
          <w:szCs w:val="20"/>
          <w:color w:val="auto"/>
        </w:rPr>
      </w:pPr>
      <w:r>
        <w:rPr>
          <w:rFonts w:ascii="Times New Roman" w:cs="Times New Roman" w:eastAsia="Times New Roman" w:hAnsi="Times New Roman"/>
          <w:sz w:val="13"/>
          <w:szCs w:val="13"/>
          <w:color w:val="auto"/>
        </w:rPr>
        <w:t>The laws and regulations of some jurisdictions also prohibit an insurer from declaring or paying a dividend except out of its earned surplus or require the insurer to obtain prior regulatory approval. During 2007, our directly owned title insurers can pay dividends or make distributions to us of approximately $264.8 million without prior</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3" w:name="page14"/>
    <w:bookmarkEnd w:id="13"/>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40"/>
        <w:spacing w:after="0" w:line="286" w:lineRule="auto"/>
        <w:rPr>
          <w:sz w:val="20"/>
          <w:szCs w:val="20"/>
          <w:color w:val="auto"/>
        </w:rPr>
      </w:pPr>
      <w:r>
        <w:rPr>
          <w:rFonts w:ascii="Times New Roman" w:cs="Times New Roman" w:eastAsia="Times New Roman" w:hAnsi="Times New Roman"/>
          <w:sz w:val="13"/>
          <w:szCs w:val="13"/>
          <w:color w:val="auto"/>
        </w:rPr>
        <w:t>regulatory approval; however, insurance regulators have the authority to prohibit the payment of ordinary dividends or other payments by our title insurers to us (such as a payment under a tax sharing agreement or for employee or other services) if they determine that such payment could be adverse to our policyholders.</w:t>
      </w:r>
    </w:p>
    <w:p>
      <w:pPr>
        <w:spacing w:after="0" w:line="47" w:lineRule="exact"/>
        <w:rPr>
          <w:sz w:val="20"/>
          <w:szCs w:val="20"/>
          <w:color w:val="auto"/>
        </w:rPr>
      </w:pPr>
    </w:p>
    <w:p>
      <w:pPr>
        <w:ind w:left="680" w:right="360" w:firstLine="399"/>
        <w:spacing w:after="0" w:line="286" w:lineRule="auto"/>
        <w:rPr>
          <w:sz w:val="20"/>
          <w:szCs w:val="20"/>
          <w:color w:val="auto"/>
        </w:rPr>
      </w:pPr>
      <w:r>
        <w:rPr>
          <w:rFonts w:ascii="Times New Roman" w:cs="Times New Roman" w:eastAsia="Times New Roman" w:hAnsi="Times New Roman"/>
          <w:sz w:val="13"/>
          <w:szCs w:val="13"/>
          <w:color w:val="auto"/>
        </w:rPr>
        <w:t>The combined statutory capital and surplus of our title insurers was $860.3 million and $852.2 million as of December 31, 2006 and 2005, respectively. The combined statutory earnings of our title insurers were $413.8 million, $400.4 million, and $371.0 million for the years ended December 31, 2006, 2005 and 2004, respectively.</w:t>
      </w:r>
    </w:p>
    <w:p>
      <w:pPr>
        <w:spacing w:after="0" w:line="47" w:lineRule="exact"/>
        <w:rPr>
          <w:sz w:val="20"/>
          <w:szCs w:val="20"/>
          <w:color w:val="auto"/>
        </w:rPr>
      </w:pPr>
    </w:p>
    <w:p>
      <w:pPr>
        <w:ind w:left="680" w:right="440" w:firstLine="399"/>
        <w:spacing w:after="0" w:line="286" w:lineRule="auto"/>
        <w:rPr>
          <w:sz w:val="20"/>
          <w:szCs w:val="20"/>
          <w:color w:val="auto"/>
        </w:rPr>
      </w:pPr>
      <w:r>
        <w:rPr>
          <w:rFonts w:ascii="Times New Roman" w:cs="Times New Roman" w:eastAsia="Times New Roman" w:hAnsi="Times New Roman"/>
          <w:sz w:val="13"/>
          <w:szCs w:val="13"/>
          <w:color w:val="auto"/>
        </w:rPr>
        <w:t>As a condition to continued authority to underwrite policies in the states in which our insurers conduct their business, they are required to pay certain fees and file information regarding their officers, directors and financial condition.</w:t>
      </w:r>
    </w:p>
    <w:p>
      <w:pPr>
        <w:spacing w:after="0" w:line="47" w:lineRule="exact"/>
        <w:rPr>
          <w:sz w:val="20"/>
          <w:szCs w:val="20"/>
          <w:color w:val="auto"/>
        </w:rPr>
      </w:pPr>
    </w:p>
    <w:p>
      <w:pPr>
        <w:ind w:left="680" w:right="180" w:firstLine="399"/>
        <w:spacing w:after="0" w:line="286" w:lineRule="auto"/>
        <w:rPr>
          <w:sz w:val="20"/>
          <w:szCs w:val="20"/>
          <w:color w:val="auto"/>
        </w:rPr>
      </w:pPr>
      <w:r>
        <w:rPr>
          <w:rFonts w:ascii="Times New Roman" w:cs="Times New Roman" w:eastAsia="Times New Roman" w:hAnsi="Times New Roman"/>
          <w:sz w:val="13"/>
          <w:szCs w:val="13"/>
          <w:color w:val="auto"/>
        </w:rPr>
        <w:t>Pursuant to statutory requirements of the various states in which our insurers are domiciled, they must maintain certain levels of minimum capital and surplus. Each of our insurers has complied with the minimum statutory requirements as of December 31, 2006.</w:t>
      </w:r>
    </w:p>
    <w:p>
      <w:pPr>
        <w:spacing w:after="0" w:line="47"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Our underwritten title companies are also subject to certain regulation by insurance regulatory or banking authorities, primarily relating to minimum net worth. Minimum net worth of $7.5 million, $2.5 million, $3.0 million and $0.4 million is required for Fidelity National Title Company, Fidelity National Title Company of California, Chicago Title Company and Ticor Title Company of California, respectively. All of our companies were in compliance with their respective minimum net worth requirements at December 31, 2006.</w:t>
      </w:r>
    </w:p>
    <w:p>
      <w:pPr>
        <w:spacing w:after="0" w:line="58" w:lineRule="exact"/>
        <w:rPr>
          <w:sz w:val="20"/>
          <w:szCs w:val="20"/>
          <w:color w:val="auto"/>
        </w:rPr>
      </w:pPr>
    </w:p>
    <w:p>
      <w:pPr>
        <w:ind w:left="680" w:right="120" w:firstLine="399"/>
        <w:spacing w:after="0" w:line="263" w:lineRule="auto"/>
        <w:rPr>
          <w:sz w:val="20"/>
          <w:szCs w:val="20"/>
          <w:color w:val="auto"/>
        </w:rPr>
      </w:pPr>
      <w:r>
        <w:rPr>
          <w:rFonts w:ascii="Times New Roman" w:cs="Times New Roman" w:eastAsia="Times New Roman" w:hAnsi="Times New Roman"/>
          <w:sz w:val="13"/>
          <w:szCs w:val="13"/>
          <w:color w:val="auto"/>
        </w:rPr>
        <w:t>We receive inquiries and requests for information from state insurance departments, attorneys general and other regulatory agencies from time to time about various matters relating to our business. Sometimes these take the form of civil investigative subpoenas. We attempt to cooperate with all such inquiries. From time to time, we are assessed fines for violations of regulations or other matters or enter into settlements with such authorities which require us to pay money or take other actions. For a discussion of certain pending matters, see “Legal Proceedings.”</w:t>
      </w:r>
    </w:p>
    <w:p>
      <w:pPr>
        <w:spacing w:after="0" w:line="62" w:lineRule="exact"/>
        <w:rPr>
          <w:sz w:val="20"/>
          <w:szCs w:val="20"/>
          <w:color w:val="auto"/>
        </w:rPr>
      </w:pPr>
    </w:p>
    <w:p>
      <w:pPr>
        <w:ind w:left="680" w:right="20" w:firstLine="399"/>
        <w:spacing w:after="0" w:line="256" w:lineRule="auto"/>
        <w:rPr>
          <w:sz w:val="20"/>
          <w:szCs w:val="20"/>
          <w:color w:val="auto"/>
        </w:rPr>
      </w:pPr>
      <w:r>
        <w:rPr>
          <w:rFonts w:ascii="Times New Roman" w:cs="Times New Roman" w:eastAsia="Times New Roman" w:hAnsi="Times New Roman"/>
          <w:sz w:val="13"/>
          <w:szCs w:val="13"/>
          <w:color w:val="auto"/>
        </w:rPr>
        <w:t>Before a person can acquire control of a U.S. insurance company, prior written approval must be obtained from the insurance commissioner of the state in which the domestic insurer is domiciled. Prior to granting approval of an application to acquire control of a domestic insurer, the state insurance commissioner will consider such factors as the financial strength of the applicant, the integrity and management of the applicant’s board of directors and executive officers, the acquirer’s plans for the insurer’s board of directors and executive officers, the acquirer’s plans for the future operations of the domestic insurer and any anti-competitive results that may arise from the consummation of the acquisition of control. Generally, state statutes provide that control over a domestic insurer is presumed to exist if any person, directly or indirectly, owns, controls, holds with the power to vote, or holds proxies representing 10% or more of the voting securities of the domestic insurer. (In the state of Florida, where one of our title insurers is domiciled, control may be presumed to exist upon acquisition of 5% or more of the insurer’s voting securities.) Because a person acquiring 10% or more of our common shares would indirectly control the same percentage of the stock of our insurers, the insurance change of control laws would likely apply to such a transaction (and any acquisition of 5% or more would require filing a disclaimer of control with, or obtaining a change of control approval from, the State of Florida).</w:t>
      </w:r>
    </w:p>
    <w:p>
      <w:pPr>
        <w:spacing w:after="0" w:line="69" w:lineRule="exact"/>
        <w:rPr>
          <w:sz w:val="20"/>
          <w:szCs w:val="20"/>
          <w:color w:val="auto"/>
        </w:rPr>
      </w:pPr>
    </w:p>
    <w:p>
      <w:pPr>
        <w:jc w:val="both"/>
        <w:ind w:left="680" w:right="100" w:firstLine="399"/>
        <w:spacing w:after="0" w:line="269" w:lineRule="auto"/>
        <w:rPr>
          <w:sz w:val="20"/>
          <w:szCs w:val="20"/>
          <w:color w:val="auto"/>
        </w:rPr>
      </w:pPr>
      <w:r>
        <w:rPr>
          <w:rFonts w:ascii="Times New Roman" w:cs="Times New Roman" w:eastAsia="Times New Roman" w:hAnsi="Times New Roman"/>
          <w:sz w:val="13"/>
          <w:szCs w:val="13"/>
          <w:color w:val="auto"/>
        </w:rPr>
        <w:t>The National Association of Insurance Commissioners (“NAIC”) has adopted an instruction requiring an annual certification of reserve adequacy by a qualified actuary. Because all of the states in which our title insurers are domiciled require adherence to NAIC filing procedures, each such insurer, unless it qualifies for an exemption, must file an actuarial opinion with respect to the adequacy of its reserves.</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Ratings</w:t>
      </w:r>
    </w:p>
    <w:p>
      <w:pPr>
        <w:spacing w:after="0" w:line="98" w:lineRule="exact"/>
        <w:rPr>
          <w:sz w:val="20"/>
          <w:szCs w:val="20"/>
          <w:color w:val="auto"/>
        </w:rPr>
      </w:pPr>
    </w:p>
    <w:p>
      <w:pPr>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Our title insurance underwriters are regularly assigned ratings by independent agencies designed to indicate their financial condition and/or claims paying ability. The rating agencies determine ratings by quantitatively and qualitatively analyzing financial data and other information. Our title subsidiaries include Fidelity National Title,</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4" w:name="page15"/>
    <w:bookmarkEnd w:id="14"/>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Chicago Title, Ticor Title, Security Union Title, and Alamo Title . The insurer financial strength/stability ratings of our principal title insurance underwriters are listed below:</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5000" w:type="dxa"/>
            <w:vAlign w:val="bottom"/>
          </w:tcPr>
          <w:p>
            <w:pPr>
              <w:spacing w:after="0"/>
              <w:rPr>
                <w:sz w:val="11"/>
                <w:szCs w:val="11"/>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S&amp;P</w:t>
            </w:r>
          </w:p>
        </w:tc>
        <w:tc>
          <w:tcPr>
            <w:tcW w:w="30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Moody’s</w:t>
            </w:r>
          </w:p>
        </w:tc>
        <w:tc>
          <w:tcPr>
            <w:tcW w:w="300" w:type="dxa"/>
            <w:vAlign w:val="bottom"/>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Fitch</w:t>
            </w:r>
          </w:p>
        </w:tc>
        <w:tc>
          <w:tcPr>
            <w:tcW w:w="280" w:type="dxa"/>
            <w:vAlign w:val="bottom"/>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A.M. Best</w:t>
            </w:r>
          </w:p>
        </w:tc>
        <w:tc>
          <w:tcPr>
            <w:tcW w:w="300" w:type="dxa"/>
            <w:vAlign w:val="bottom"/>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Demotech</w:t>
            </w:r>
          </w:p>
        </w:tc>
        <w:tc>
          <w:tcPr>
            <w:tcW w:w="300" w:type="dxa"/>
            <w:vAlign w:val="bottom"/>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LACE</w:t>
            </w:r>
          </w:p>
        </w:tc>
      </w:tr>
      <w:tr>
        <w:trPr>
          <w:trHeight w:val="174"/>
        </w:trPr>
        <w:tc>
          <w:tcPr>
            <w:tcW w:w="5000" w:type="dxa"/>
            <w:vAlign w:val="bottom"/>
          </w:tcPr>
          <w:p>
            <w:pPr>
              <w:spacing w:after="0"/>
              <w:rPr>
                <w:sz w:val="20"/>
                <w:szCs w:val="20"/>
                <w:color w:val="auto"/>
              </w:rPr>
            </w:pPr>
            <w:r>
              <w:rPr>
                <w:rFonts w:ascii="Times New Roman" w:cs="Times New Roman" w:eastAsia="Times New Roman" w:hAnsi="Times New Roman"/>
                <w:sz w:val="13"/>
                <w:szCs w:val="13"/>
                <w:color w:val="auto"/>
              </w:rPr>
              <w:t>Alamo Title Insurance</w:t>
            </w: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w:t>
            </w:r>
          </w:p>
        </w:tc>
        <w:tc>
          <w:tcPr>
            <w:tcW w:w="3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A3</w:t>
            </w:r>
          </w:p>
        </w:tc>
        <w:tc>
          <w:tcPr>
            <w:tcW w:w="30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A</w:t>
            </w:r>
          </w:p>
        </w:tc>
        <w:tc>
          <w:tcPr>
            <w:tcW w:w="2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w:t>
            </w:r>
          </w:p>
        </w:tc>
        <w:tc>
          <w:tcPr>
            <w:tcW w:w="3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A’</w:t>
            </w:r>
          </w:p>
        </w:tc>
        <w:tc>
          <w:tcPr>
            <w:tcW w:w="30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B</w:t>
            </w:r>
          </w:p>
        </w:tc>
      </w:tr>
      <w:tr>
        <w:trPr>
          <w:trHeight w:val="157"/>
        </w:trPr>
        <w:tc>
          <w:tcPr>
            <w:tcW w:w="5000" w:type="dxa"/>
            <w:vAlign w:val="bottom"/>
          </w:tcPr>
          <w:p>
            <w:pPr>
              <w:spacing w:after="0"/>
              <w:rPr>
                <w:sz w:val="20"/>
                <w:szCs w:val="20"/>
                <w:color w:val="auto"/>
              </w:rPr>
            </w:pPr>
            <w:r>
              <w:rPr>
                <w:rFonts w:ascii="Times New Roman" w:cs="Times New Roman" w:eastAsia="Times New Roman" w:hAnsi="Times New Roman"/>
                <w:sz w:val="13"/>
                <w:szCs w:val="13"/>
                <w:color w:val="auto"/>
              </w:rPr>
              <w:t>Chicago Title Insurance Co.</w:t>
            </w: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w:t>
            </w:r>
          </w:p>
        </w:tc>
        <w:tc>
          <w:tcPr>
            <w:tcW w:w="3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A3</w:t>
            </w:r>
          </w:p>
        </w:tc>
        <w:tc>
          <w:tcPr>
            <w:tcW w:w="3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A</w:t>
            </w:r>
          </w:p>
        </w:tc>
        <w:tc>
          <w:tcPr>
            <w:tcW w:w="2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w:t>
            </w:r>
          </w:p>
        </w:tc>
        <w:tc>
          <w:tcPr>
            <w:tcW w:w="3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w:t>
            </w:r>
          </w:p>
        </w:tc>
        <w:tc>
          <w:tcPr>
            <w:tcW w:w="30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A</w:t>
            </w:r>
          </w:p>
        </w:tc>
      </w:tr>
      <w:tr>
        <w:trPr>
          <w:trHeight w:val="157"/>
        </w:trPr>
        <w:tc>
          <w:tcPr>
            <w:tcW w:w="5000" w:type="dxa"/>
            <w:vAlign w:val="bottom"/>
          </w:tcPr>
          <w:p>
            <w:pPr>
              <w:spacing w:after="0"/>
              <w:rPr>
                <w:sz w:val="20"/>
                <w:szCs w:val="20"/>
                <w:color w:val="auto"/>
              </w:rPr>
            </w:pPr>
            <w:r>
              <w:rPr>
                <w:rFonts w:ascii="Times New Roman" w:cs="Times New Roman" w:eastAsia="Times New Roman" w:hAnsi="Times New Roman"/>
                <w:sz w:val="13"/>
                <w:szCs w:val="13"/>
                <w:color w:val="auto"/>
              </w:rPr>
              <w:t>Chicago Title Insurance Co. of Oregon</w:t>
            </w: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w:t>
            </w:r>
          </w:p>
        </w:tc>
        <w:tc>
          <w:tcPr>
            <w:tcW w:w="3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A3</w:t>
            </w:r>
          </w:p>
        </w:tc>
        <w:tc>
          <w:tcPr>
            <w:tcW w:w="3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A</w:t>
            </w:r>
          </w:p>
        </w:tc>
        <w:tc>
          <w:tcPr>
            <w:tcW w:w="2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w:t>
            </w:r>
          </w:p>
        </w:tc>
        <w:tc>
          <w:tcPr>
            <w:tcW w:w="3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A’</w:t>
            </w:r>
          </w:p>
        </w:tc>
        <w:tc>
          <w:tcPr>
            <w:tcW w:w="30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A</w:t>
            </w:r>
          </w:p>
        </w:tc>
      </w:tr>
      <w:tr>
        <w:trPr>
          <w:trHeight w:val="157"/>
        </w:trPr>
        <w:tc>
          <w:tcPr>
            <w:tcW w:w="5000" w:type="dxa"/>
            <w:vAlign w:val="bottom"/>
          </w:tcPr>
          <w:p>
            <w:pPr>
              <w:spacing w:after="0"/>
              <w:rPr>
                <w:sz w:val="20"/>
                <w:szCs w:val="20"/>
                <w:color w:val="auto"/>
              </w:rPr>
            </w:pPr>
            <w:r>
              <w:rPr>
                <w:rFonts w:ascii="Times New Roman" w:cs="Times New Roman" w:eastAsia="Times New Roman" w:hAnsi="Times New Roman"/>
                <w:sz w:val="13"/>
                <w:szCs w:val="13"/>
                <w:color w:val="auto"/>
              </w:rPr>
              <w:t>Fidelity National Title Insurance Co.</w:t>
            </w: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w:t>
            </w:r>
          </w:p>
        </w:tc>
        <w:tc>
          <w:tcPr>
            <w:tcW w:w="3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A3</w:t>
            </w:r>
          </w:p>
        </w:tc>
        <w:tc>
          <w:tcPr>
            <w:tcW w:w="3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A</w:t>
            </w:r>
          </w:p>
        </w:tc>
        <w:tc>
          <w:tcPr>
            <w:tcW w:w="2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w:t>
            </w:r>
          </w:p>
        </w:tc>
        <w:tc>
          <w:tcPr>
            <w:tcW w:w="3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A’</w:t>
            </w:r>
          </w:p>
        </w:tc>
        <w:tc>
          <w:tcPr>
            <w:tcW w:w="30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B</w:t>
            </w:r>
          </w:p>
        </w:tc>
      </w:tr>
      <w:tr>
        <w:trPr>
          <w:trHeight w:val="157"/>
        </w:trPr>
        <w:tc>
          <w:tcPr>
            <w:tcW w:w="5000" w:type="dxa"/>
            <w:vAlign w:val="bottom"/>
          </w:tcPr>
          <w:p>
            <w:pPr>
              <w:spacing w:after="0"/>
              <w:rPr>
                <w:sz w:val="20"/>
                <w:szCs w:val="20"/>
                <w:color w:val="auto"/>
              </w:rPr>
            </w:pPr>
            <w:r>
              <w:rPr>
                <w:rFonts w:ascii="Times New Roman" w:cs="Times New Roman" w:eastAsia="Times New Roman" w:hAnsi="Times New Roman"/>
                <w:sz w:val="13"/>
                <w:szCs w:val="13"/>
                <w:color w:val="auto"/>
              </w:rPr>
              <w:t>Ticor Title Insurance Co.</w:t>
            </w: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w:t>
            </w:r>
          </w:p>
        </w:tc>
        <w:tc>
          <w:tcPr>
            <w:tcW w:w="3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A3</w:t>
            </w:r>
          </w:p>
        </w:tc>
        <w:tc>
          <w:tcPr>
            <w:tcW w:w="3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A</w:t>
            </w:r>
          </w:p>
        </w:tc>
        <w:tc>
          <w:tcPr>
            <w:tcW w:w="2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w:t>
            </w:r>
          </w:p>
        </w:tc>
        <w:tc>
          <w:tcPr>
            <w:tcW w:w="3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A’</w:t>
            </w:r>
          </w:p>
        </w:tc>
        <w:tc>
          <w:tcPr>
            <w:tcW w:w="30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A</w:t>
            </w:r>
          </w:p>
        </w:tc>
      </w:tr>
      <w:tr>
        <w:trPr>
          <w:trHeight w:val="157"/>
        </w:trPr>
        <w:tc>
          <w:tcPr>
            <w:tcW w:w="5000" w:type="dxa"/>
            <w:vAlign w:val="bottom"/>
          </w:tcPr>
          <w:p>
            <w:pPr>
              <w:spacing w:after="0"/>
              <w:rPr>
                <w:sz w:val="20"/>
                <w:szCs w:val="20"/>
                <w:color w:val="auto"/>
              </w:rPr>
            </w:pPr>
            <w:r>
              <w:rPr>
                <w:rFonts w:ascii="Times New Roman" w:cs="Times New Roman" w:eastAsia="Times New Roman" w:hAnsi="Times New Roman"/>
                <w:sz w:val="13"/>
                <w:szCs w:val="13"/>
                <w:color w:val="auto"/>
              </w:rPr>
              <w:t>Security Union Title Insurance Co.</w:t>
            </w: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w:t>
            </w:r>
          </w:p>
        </w:tc>
        <w:tc>
          <w:tcPr>
            <w:tcW w:w="3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A3</w:t>
            </w:r>
          </w:p>
        </w:tc>
        <w:tc>
          <w:tcPr>
            <w:tcW w:w="3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A</w:t>
            </w:r>
          </w:p>
        </w:tc>
        <w:tc>
          <w:tcPr>
            <w:tcW w:w="2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w:t>
            </w:r>
          </w:p>
        </w:tc>
        <w:tc>
          <w:tcPr>
            <w:tcW w:w="3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A’</w:t>
            </w:r>
          </w:p>
        </w:tc>
        <w:tc>
          <w:tcPr>
            <w:tcW w:w="30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B</w:t>
            </w:r>
          </w:p>
        </w:tc>
      </w:tr>
      <w:tr>
        <w:trPr>
          <w:trHeight w:val="171"/>
        </w:trPr>
        <w:tc>
          <w:tcPr>
            <w:tcW w:w="5000" w:type="dxa"/>
            <w:vAlign w:val="bottom"/>
          </w:tcPr>
          <w:p>
            <w:pPr>
              <w:spacing w:after="0"/>
              <w:rPr>
                <w:sz w:val="20"/>
                <w:szCs w:val="20"/>
                <w:color w:val="auto"/>
              </w:rPr>
            </w:pPr>
            <w:r>
              <w:rPr>
                <w:rFonts w:ascii="Times New Roman" w:cs="Times New Roman" w:eastAsia="Times New Roman" w:hAnsi="Times New Roman"/>
                <w:sz w:val="13"/>
                <w:szCs w:val="13"/>
                <w:color w:val="auto"/>
              </w:rPr>
              <w:t>Ticor Title Insurance Co. of Florida</w:t>
            </w: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w:t>
            </w:r>
          </w:p>
        </w:tc>
        <w:tc>
          <w:tcPr>
            <w:tcW w:w="3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A3</w:t>
            </w:r>
          </w:p>
        </w:tc>
        <w:tc>
          <w:tcPr>
            <w:tcW w:w="30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A</w:t>
            </w:r>
          </w:p>
        </w:tc>
        <w:tc>
          <w:tcPr>
            <w:tcW w:w="2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w:t>
            </w:r>
          </w:p>
        </w:tc>
        <w:tc>
          <w:tcPr>
            <w:tcW w:w="3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A’</w:t>
            </w:r>
          </w:p>
        </w:tc>
        <w:tc>
          <w:tcPr>
            <w:tcW w:w="3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A</w:t>
            </w:r>
          </w:p>
        </w:tc>
      </w:tr>
    </w:tbl>
    <w:p>
      <w:pPr>
        <w:spacing w:after="0" w:line="75"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The ratings of Standard &amp; Poor’s (“S&amp;P”), Moody’s Investors Services (“Moody’s”), A.M. Best Company (“A.M. Best”), Fitch Ratings, Ltd. (“Fitch”), Demotech, and LACE Financial Corporation (“LACE”) described above are not designed to be, and do not serve as, measures of protection or valuation offered to investors. These financial strength ratings should not be relied on with respect to making an investment in our securities. In connection with the announcement of the Asset Contribution and the 2006 Distribution, A.M. Best revised its outlook on our ratings to positive from stable and Moody’s and Fitch affirmed financial strength ratings of A3 and A-, respectively. After the completion of the 2006 Distribution, Fitch upgraded its financial strength rating to A.</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Investment Policies and Investment Portfolio</w:t>
      </w:r>
    </w:p>
    <w:p>
      <w:pPr>
        <w:spacing w:after="0" w:line="98" w:lineRule="exact"/>
        <w:rPr>
          <w:sz w:val="20"/>
          <w:szCs w:val="20"/>
          <w:color w:val="auto"/>
        </w:rPr>
      </w:pPr>
    </w:p>
    <w:p>
      <w:pPr>
        <w:ind w:left="680" w:right="60" w:firstLine="399"/>
        <w:spacing w:after="0" w:line="269" w:lineRule="auto"/>
        <w:rPr>
          <w:sz w:val="20"/>
          <w:szCs w:val="20"/>
          <w:color w:val="auto"/>
        </w:rPr>
      </w:pPr>
      <w:r>
        <w:rPr>
          <w:rFonts w:ascii="Times New Roman" w:cs="Times New Roman" w:eastAsia="Times New Roman" w:hAnsi="Times New Roman"/>
          <w:sz w:val="13"/>
          <w:szCs w:val="13"/>
          <w:color w:val="auto"/>
        </w:rPr>
        <w:t>Our investment policy is designed to maintain a high quality portfolio, maximize income and minimize interest rate risk. We also make investments in certain equity securities in order to take advantage of perceived value and for strategic purposes. Various states regulate what types of assets qualify for purposes of capital and surplus and statutory unearned premium reserves. We manage our investment portfolio and do not utilize third party investment managers.</w:t>
      </w:r>
    </w:p>
    <w:p>
      <w:pPr>
        <w:spacing w:after="0" w:line="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As of December 31, 2006 and 2005, the carrying amount, which approximates the fair value, of total investments was $4.1 billion and $4.6 billion, respectively.</w:t>
      </w:r>
    </w:p>
    <w:p>
      <w:pPr>
        <w:spacing w:after="0" w:line="96" w:lineRule="exact"/>
        <w:rPr>
          <w:sz w:val="20"/>
          <w:szCs w:val="20"/>
          <w:color w:val="auto"/>
        </w:rPr>
      </w:pPr>
    </w:p>
    <w:p>
      <w:pPr>
        <w:ind w:left="680" w:right="240" w:firstLine="399"/>
        <w:spacing w:after="0" w:line="286" w:lineRule="auto"/>
        <w:rPr>
          <w:sz w:val="20"/>
          <w:szCs w:val="20"/>
          <w:color w:val="auto"/>
        </w:rPr>
      </w:pPr>
      <w:r>
        <w:rPr>
          <w:rFonts w:ascii="Times New Roman" w:cs="Times New Roman" w:eastAsia="Times New Roman" w:hAnsi="Times New Roman"/>
          <w:sz w:val="13"/>
          <w:szCs w:val="13"/>
          <w:color w:val="auto"/>
        </w:rPr>
        <w:t>We purchase investment grade fixed maturity securities, selected non-investment grade fixed maturity securities and equity securities. The securities in our portfolio are subject to economic conditions and normal market risks and uncertainties.</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presents certain information regarding the investment ratings of our fixed maturity portfolio at December 31, 2006 and 2005.</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2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6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jc w:val="right"/>
              <w:ind w:right="80"/>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jc w:val="right"/>
              <w:ind w:right="80"/>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5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Rating(1)</w:t>
            </w:r>
          </w:p>
        </w:tc>
        <w:tc>
          <w:tcPr>
            <w:tcW w:w="100" w:type="dxa"/>
            <w:vAlign w:val="bottom"/>
          </w:tcPr>
          <w:p>
            <w:pPr>
              <w:spacing w:after="0"/>
              <w:rPr>
                <w:sz w:val="7"/>
                <w:szCs w:val="7"/>
                <w:color w:val="auto"/>
              </w:rPr>
            </w:pPr>
          </w:p>
        </w:tc>
        <w:tc>
          <w:tcPr>
            <w:tcW w:w="1060" w:type="dxa"/>
            <w:vAlign w:val="bottom"/>
            <w:gridSpan w:val="2"/>
          </w:tcPr>
          <w:p>
            <w:pPr>
              <w:jc w:val="right"/>
              <w:ind w:right="540"/>
              <w:spacing w:after="0" w:line="89"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740" w:type="dxa"/>
            <w:vAlign w:val="bottom"/>
            <w:gridSpan w:val="2"/>
          </w:tcPr>
          <w:p>
            <w:pPr>
              <w:jc w:val="right"/>
              <w:ind w:right="440"/>
              <w:spacing w:after="0" w:line="89" w:lineRule="exact"/>
              <w:rPr>
                <w:sz w:val="20"/>
                <w:szCs w:val="20"/>
                <w:color w:val="auto"/>
              </w:rPr>
            </w:pPr>
            <w:r>
              <w:rPr>
                <w:rFonts w:ascii="Times New Roman" w:cs="Times New Roman" w:eastAsia="Times New Roman" w:hAnsi="Times New Roman"/>
                <w:sz w:val="10"/>
                <w:szCs w:val="10"/>
                <w:b w:val="1"/>
                <w:bCs w:val="1"/>
                <w:color w:val="auto"/>
              </w:rPr>
              <w:t>% of</w:t>
            </w: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ind w:left="80"/>
              <w:spacing w:after="0" w:line="89" w:lineRule="exact"/>
              <w:rPr>
                <w:sz w:val="20"/>
                <w:szCs w:val="20"/>
                <w:color w:val="auto"/>
              </w:rPr>
            </w:pPr>
            <w:r>
              <w:rPr>
                <w:rFonts w:ascii="Times New Roman" w:cs="Times New Roman" w:eastAsia="Times New Roman" w:hAnsi="Times New Roman"/>
                <w:sz w:val="10"/>
                <w:szCs w:val="10"/>
                <w:b w:val="1"/>
                <w:bCs w:val="1"/>
                <w:color w:val="auto"/>
              </w:rPr>
              <w:t>% of</w:t>
            </w: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2"/>
          </w:tcPr>
          <w:p>
            <w:pPr>
              <w:jc w:val="center"/>
              <w:ind w:right="540"/>
              <w:spacing w:after="0" w:line="89"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760" w:type="dxa"/>
            <w:vAlign w:val="bottom"/>
            <w:gridSpan w:val="2"/>
          </w:tcPr>
          <w:p>
            <w:pPr>
              <w:jc w:val="right"/>
              <w:ind w:right="460"/>
              <w:spacing w:after="0" w:line="89" w:lineRule="exact"/>
              <w:rPr>
                <w:sz w:val="20"/>
                <w:szCs w:val="20"/>
                <w:color w:val="auto"/>
              </w:rPr>
            </w:pPr>
            <w:r>
              <w:rPr>
                <w:rFonts w:ascii="Times New Roman" w:cs="Times New Roman" w:eastAsia="Times New Roman" w:hAnsi="Times New Roman"/>
                <w:sz w:val="10"/>
                <w:szCs w:val="10"/>
                <w:b w:val="1"/>
                <w:bCs w:val="1"/>
                <w:color w:val="auto"/>
              </w:rPr>
              <w:t>% of</w:t>
            </w: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ind w:left="80"/>
              <w:spacing w:after="0" w:line="89" w:lineRule="exact"/>
              <w:rPr>
                <w:sz w:val="20"/>
                <w:szCs w:val="20"/>
                <w:color w:val="auto"/>
              </w:rPr>
            </w:pPr>
            <w:r>
              <w:rPr>
                <w:rFonts w:ascii="Times New Roman" w:cs="Times New Roman" w:eastAsia="Times New Roman" w:hAnsi="Times New Roman"/>
                <w:sz w:val="10"/>
                <w:szCs w:val="10"/>
                <w:b w:val="1"/>
                <w:bCs w:val="1"/>
                <w:color w:val="auto"/>
              </w:rPr>
              <w:t>% of</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580" w:type="dxa"/>
            <w:vAlign w:val="bottom"/>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0"/>
                <w:szCs w:val="10"/>
                <w:b w:val="1"/>
                <w:bCs w:val="1"/>
                <w:color w:val="auto"/>
              </w:rPr>
              <w:t>Cost</w:t>
            </w:r>
          </w:p>
        </w:tc>
        <w:tc>
          <w:tcPr>
            <w:tcW w:w="380" w:type="dxa"/>
            <w:vAlign w:val="bottom"/>
          </w:tcPr>
          <w:p>
            <w:pPr>
              <w:spacing w:after="0"/>
              <w:rPr>
                <w:sz w:val="11"/>
                <w:szCs w:val="11"/>
                <w:color w:val="auto"/>
              </w:rPr>
            </w:pPr>
          </w:p>
        </w:tc>
        <w:tc>
          <w:tcPr>
            <w:tcW w:w="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0"/>
                <w:szCs w:val="10"/>
                <w:b w:val="1"/>
                <w:bCs w:val="1"/>
                <w:color w:val="auto"/>
              </w:rPr>
              <w:t>Total</w:t>
            </w: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380" w:type="dxa"/>
            <w:vAlign w:val="bottom"/>
          </w:tcPr>
          <w:p>
            <w:pPr>
              <w:spacing w:after="0"/>
              <w:rPr>
                <w:sz w:val="11"/>
                <w:szCs w:val="11"/>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0"/>
                <w:szCs w:val="10"/>
                <w:b w:val="1"/>
                <w:bCs w:val="1"/>
                <w:color w:val="auto"/>
              </w:rPr>
              <w:t>Cost</w:t>
            </w:r>
          </w:p>
        </w:tc>
        <w:tc>
          <w:tcPr>
            <w:tcW w:w="380" w:type="dxa"/>
            <w:vAlign w:val="bottom"/>
          </w:tcPr>
          <w:p>
            <w:pPr>
              <w:spacing w:after="0"/>
              <w:rPr>
                <w:sz w:val="11"/>
                <w:szCs w:val="11"/>
                <w:color w:val="auto"/>
              </w:rPr>
            </w:pPr>
          </w:p>
        </w:tc>
        <w:tc>
          <w:tcPr>
            <w:tcW w:w="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0"/>
                <w:szCs w:val="10"/>
                <w:b w:val="1"/>
                <w:bCs w:val="1"/>
                <w:color w:val="auto"/>
              </w:rPr>
              <w:t>Total</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400" w:type="dxa"/>
            <w:vAlign w:val="bottom"/>
          </w:tcPr>
          <w:p>
            <w:pPr>
              <w:spacing w:after="0"/>
              <w:rPr>
                <w:sz w:val="11"/>
                <w:szCs w:val="11"/>
                <w:color w:val="auto"/>
              </w:rPr>
            </w:pP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w w:val="75"/>
              </w:rPr>
              <w:t>(Dollars</w:t>
            </w:r>
          </w:p>
        </w:tc>
        <w:tc>
          <w:tcPr>
            <w:tcW w:w="1180" w:type="dxa"/>
            <w:vAlign w:val="bottom"/>
            <w:gridSpan w:val="3"/>
          </w:tcPr>
          <w:p>
            <w:pPr>
              <w:jc w:val="center"/>
              <w:ind w:right="322"/>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AAA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1,866,289</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63.8%</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1,851,185</w:t>
            </w:r>
          </w:p>
        </w:tc>
        <w:tc>
          <w:tcPr>
            <w:tcW w:w="74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2"/>
                <w:szCs w:val="12"/>
                <w:color w:val="auto"/>
              </w:rPr>
              <w:t>63.8%</w:t>
            </w:r>
          </w:p>
        </w:tc>
        <w:tc>
          <w:tcPr>
            <w:tcW w:w="160" w:type="dxa"/>
            <w:vAlign w:val="bottom"/>
            <w:shd w:val="clear" w:color="auto" w:fill="CCEEFF"/>
          </w:tcPr>
          <w:p>
            <w:pPr>
              <w:jc w:val="center"/>
              <w:ind w:right="41"/>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1,975,758</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63.4%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1,952,312</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63.5%</w:t>
            </w:r>
          </w:p>
        </w:tc>
        <w:tc>
          <w:tcPr>
            <w:tcW w:w="0" w:type="dxa"/>
            <w:vAlign w:val="bottom"/>
          </w:tcPr>
          <w:p>
            <w:pPr>
              <w:spacing w:after="0"/>
              <w:rPr>
                <w:sz w:val="1"/>
                <w:szCs w:val="1"/>
                <w:color w:val="auto"/>
              </w:rPr>
            </w:pPr>
          </w:p>
        </w:tc>
      </w:tr>
      <w:tr>
        <w:trPr>
          <w:trHeight w:val="147"/>
        </w:trPr>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AA</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550,073</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18.8</w:t>
            </w:r>
          </w:p>
        </w:tc>
        <w:tc>
          <w:tcPr>
            <w:tcW w:w="120" w:type="dxa"/>
            <w:vAlign w:val="bottom"/>
          </w:tcPr>
          <w:p>
            <w:pPr>
              <w:spacing w:after="0"/>
              <w:rPr>
                <w:sz w:val="12"/>
                <w:szCs w:val="12"/>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544,622</w:t>
            </w:r>
          </w:p>
        </w:tc>
        <w:tc>
          <w:tcPr>
            <w:tcW w:w="740" w:type="dxa"/>
            <w:vAlign w:val="bottom"/>
            <w:gridSpan w:val="2"/>
          </w:tcPr>
          <w:p>
            <w:pPr>
              <w:jc w:val="right"/>
              <w:ind w:right="328"/>
              <w:spacing w:after="0"/>
              <w:rPr>
                <w:sz w:val="20"/>
                <w:szCs w:val="20"/>
                <w:color w:val="auto"/>
              </w:rPr>
            </w:pPr>
            <w:r>
              <w:rPr>
                <w:rFonts w:ascii="Times New Roman" w:cs="Times New Roman" w:eastAsia="Times New Roman" w:hAnsi="Times New Roman"/>
                <w:sz w:val="12"/>
                <w:szCs w:val="12"/>
                <w:color w:val="auto"/>
              </w:rPr>
              <w:t>18.8</w:t>
            </w:r>
          </w:p>
        </w:tc>
        <w:tc>
          <w:tcPr>
            <w:tcW w:w="160" w:type="dxa"/>
            <w:vAlign w:val="bottom"/>
          </w:tcPr>
          <w:p>
            <w:pPr>
              <w:spacing w:after="0"/>
              <w:rPr>
                <w:sz w:val="12"/>
                <w:szCs w:val="12"/>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526,515</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16.9</w:t>
            </w:r>
          </w:p>
        </w:tc>
        <w:tc>
          <w:tcPr>
            <w:tcW w:w="100" w:type="dxa"/>
            <w:vAlign w:val="bottom"/>
          </w:tcPr>
          <w:p>
            <w:pPr>
              <w:spacing w:after="0"/>
              <w:rPr>
                <w:sz w:val="12"/>
                <w:szCs w:val="12"/>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519,770</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16.9</w:t>
            </w:r>
          </w:p>
        </w:tc>
        <w:tc>
          <w:tcPr>
            <w:tcW w:w="0" w:type="dxa"/>
            <w:vAlign w:val="bottom"/>
          </w:tcPr>
          <w:p>
            <w:pPr>
              <w:spacing w:after="0"/>
              <w:rPr>
                <w:sz w:val="1"/>
                <w:szCs w:val="1"/>
                <w:color w:val="auto"/>
              </w:rPr>
            </w:pPr>
          </w:p>
        </w:tc>
      </w:tr>
      <w:tr>
        <w:trPr>
          <w:trHeight w:val="147"/>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380,555</w:t>
            </w:r>
          </w:p>
        </w:tc>
        <w:tc>
          <w:tcPr>
            <w:tcW w:w="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13.0</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374,106</w:t>
            </w:r>
          </w:p>
        </w:tc>
        <w:tc>
          <w:tcPr>
            <w:tcW w:w="74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2"/>
                <w:szCs w:val="12"/>
                <w:color w:val="auto"/>
              </w:rPr>
              <w:t>12.9</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515,309</w:t>
            </w:r>
          </w:p>
        </w:tc>
        <w:tc>
          <w:tcPr>
            <w:tcW w:w="7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16.5</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505,883</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16.4</w:t>
            </w:r>
          </w:p>
        </w:tc>
        <w:tc>
          <w:tcPr>
            <w:tcW w:w="0" w:type="dxa"/>
            <w:vAlign w:val="bottom"/>
          </w:tcPr>
          <w:p>
            <w:pPr>
              <w:spacing w:after="0"/>
              <w:rPr>
                <w:sz w:val="1"/>
                <w:szCs w:val="1"/>
                <w:color w:val="auto"/>
              </w:rPr>
            </w:pPr>
          </w:p>
        </w:tc>
      </w:tr>
      <w:tr>
        <w:trPr>
          <w:trHeight w:val="147"/>
        </w:trPr>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BBB</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91,326</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3.1</w:t>
            </w:r>
          </w:p>
        </w:tc>
        <w:tc>
          <w:tcPr>
            <w:tcW w:w="120" w:type="dxa"/>
            <w:vAlign w:val="bottom"/>
          </w:tcPr>
          <w:p>
            <w:pPr>
              <w:spacing w:after="0"/>
              <w:rPr>
                <w:sz w:val="12"/>
                <w:szCs w:val="12"/>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88,999</w:t>
            </w:r>
          </w:p>
        </w:tc>
        <w:tc>
          <w:tcPr>
            <w:tcW w:w="740" w:type="dxa"/>
            <w:vAlign w:val="bottom"/>
            <w:gridSpan w:val="2"/>
          </w:tcPr>
          <w:p>
            <w:pPr>
              <w:jc w:val="right"/>
              <w:ind w:right="328"/>
              <w:spacing w:after="0"/>
              <w:rPr>
                <w:sz w:val="20"/>
                <w:szCs w:val="20"/>
                <w:color w:val="auto"/>
              </w:rPr>
            </w:pPr>
            <w:r>
              <w:rPr>
                <w:rFonts w:ascii="Times New Roman" w:cs="Times New Roman" w:eastAsia="Times New Roman" w:hAnsi="Times New Roman"/>
                <w:sz w:val="12"/>
                <w:szCs w:val="12"/>
                <w:color w:val="auto"/>
              </w:rPr>
              <w:t>3.0</w:t>
            </w:r>
          </w:p>
        </w:tc>
        <w:tc>
          <w:tcPr>
            <w:tcW w:w="160" w:type="dxa"/>
            <w:vAlign w:val="bottom"/>
          </w:tcPr>
          <w:p>
            <w:pPr>
              <w:spacing w:after="0"/>
              <w:rPr>
                <w:sz w:val="12"/>
                <w:szCs w:val="12"/>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96,784</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tcPr>
          <w:p>
            <w:pPr>
              <w:spacing w:after="0"/>
              <w:rPr>
                <w:sz w:val="12"/>
                <w:szCs w:val="12"/>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94,804</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7"/>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BB</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8,918</w:t>
            </w:r>
          </w:p>
        </w:tc>
        <w:tc>
          <w:tcPr>
            <w:tcW w:w="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0.3</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7,749</w:t>
            </w:r>
          </w:p>
        </w:tc>
        <w:tc>
          <w:tcPr>
            <w:tcW w:w="74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2"/>
                <w:szCs w:val="12"/>
                <w:color w:val="auto"/>
              </w:rPr>
              <w:t>0.3</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1,944</w:t>
            </w:r>
          </w:p>
        </w:tc>
        <w:tc>
          <w:tcPr>
            <w:tcW w:w="7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0.1</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1,848</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47"/>
        </w:trPr>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29,952</w:t>
            </w:r>
          </w:p>
        </w:tc>
        <w:tc>
          <w:tcPr>
            <w:tcW w:w="380" w:type="dxa"/>
            <w:vAlign w:val="bottom"/>
          </w:tcPr>
          <w:p>
            <w:pPr>
              <w:spacing w:after="0"/>
              <w:rPr>
                <w:sz w:val="12"/>
                <w:szCs w:val="12"/>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tcPr>
          <w:p>
            <w:pPr>
              <w:spacing w:after="0"/>
              <w:rPr>
                <w:sz w:val="12"/>
                <w:szCs w:val="12"/>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35,303</w:t>
            </w:r>
          </w:p>
        </w:tc>
        <w:tc>
          <w:tcPr>
            <w:tcW w:w="740" w:type="dxa"/>
            <w:vAlign w:val="bottom"/>
            <w:gridSpan w:val="2"/>
          </w:tcPr>
          <w:p>
            <w:pPr>
              <w:jc w:val="right"/>
              <w:ind w:right="328"/>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tcPr>
          <w:p>
            <w:pPr>
              <w:spacing w:after="0"/>
              <w:rPr>
                <w:sz w:val="12"/>
                <w:szCs w:val="12"/>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5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2,927,113</w:t>
            </w:r>
          </w:p>
        </w:tc>
        <w:tc>
          <w:tcPr>
            <w:tcW w:w="3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100.0%</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2,901,964</w:t>
            </w:r>
          </w:p>
        </w:tc>
        <w:tc>
          <w:tcPr>
            <w:tcW w:w="74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2"/>
                <w:szCs w:val="12"/>
                <w:color w:val="auto"/>
              </w:rPr>
              <w:t>100.0%</w:t>
            </w:r>
          </w:p>
        </w:tc>
        <w:tc>
          <w:tcPr>
            <w:tcW w:w="160" w:type="dxa"/>
            <w:vAlign w:val="bottom"/>
            <w:shd w:val="clear" w:color="auto" w:fill="CCEEFF"/>
          </w:tcPr>
          <w:p>
            <w:pPr>
              <w:jc w:val="center"/>
              <w:ind w:right="41"/>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3,116,310</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3,074,617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9"/>
        </w:trPr>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-785495</wp:posOffset>
            </wp:positionV>
            <wp:extent cx="1841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5" w:name="page16"/>
    <w:bookmarkEnd w:id="15"/>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157480</wp:posOffset>
            </wp:positionV>
            <wp:extent cx="82359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(1)  Ratings as assigned by Standard &amp; Poor’s Ratings Group and Moody’s Investors Service.</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presents certain information regarding contractual maturities of our fixed maturity securities at December 31, 2006:</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6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0"/>
                <w:szCs w:val="10"/>
                <w:b w:val="1"/>
                <w:bCs w:val="1"/>
                <w:color w:val="auto"/>
              </w:rPr>
              <w:t>December 31, 2006</w:t>
            </w:r>
          </w:p>
        </w:tc>
        <w:tc>
          <w:tcPr>
            <w:tcW w:w="5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61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u w:val="single" w:color="auto"/>
                <w:color w:val="auto"/>
              </w:rPr>
              <w:t>M</w:t>
            </w:r>
            <w:r>
              <w:rPr>
                <w:rFonts w:ascii="Times New Roman" w:cs="Times New Roman" w:eastAsia="Times New Roman" w:hAnsi="Times New Roman"/>
                <w:sz w:val="10"/>
                <w:szCs w:val="10"/>
                <w:b w:val="1"/>
                <w:bCs w:val="1"/>
                <w:color w:val="auto"/>
              </w:rPr>
              <w:t>aturity</w:t>
            </w:r>
          </w:p>
        </w:tc>
        <w:tc>
          <w:tcPr>
            <w:tcW w:w="120" w:type="dxa"/>
            <w:vAlign w:val="bottom"/>
          </w:tcPr>
          <w:p>
            <w:pPr>
              <w:spacing w:after="0"/>
              <w:rPr>
                <w:sz w:val="7"/>
                <w:szCs w:val="7"/>
                <w:color w:val="auto"/>
              </w:rPr>
            </w:pPr>
          </w:p>
        </w:tc>
        <w:tc>
          <w:tcPr>
            <w:tcW w:w="1160" w:type="dxa"/>
            <w:vAlign w:val="bottom"/>
            <w:gridSpan w:val="2"/>
          </w:tcPr>
          <w:p>
            <w:pPr>
              <w:ind w:left="80"/>
              <w:spacing w:after="0" w:line="89"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800" w:type="dxa"/>
            <w:vAlign w:val="bottom"/>
            <w:gridSpan w:val="2"/>
          </w:tcPr>
          <w:p>
            <w:pPr>
              <w:jc w:val="right"/>
              <w:ind w:right="448"/>
              <w:spacing w:after="0" w:line="89" w:lineRule="exact"/>
              <w:rPr>
                <w:sz w:val="20"/>
                <w:szCs w:val="20"/>
                <w:color w:val="auto"/>
              </w:rPr>
            </w:pPr>
            <w:r>
              <w:rPr>
                <w:rFonts w:ascii="Times New Roman" w:cs="Times New Roman" w:eastAsia="Times New Roman" w:hAnsi="Times New Roman"/>
                <w:sz w:val="10"/>
                <w:szCs w:val="10"/>
                <w:b w:val="1"/>
                <w:bCs w:val="1"/>
                <w:color w:val="auto"/>
              </w:rPr>
              <w:t>% of</w:t>
            </w: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ind w:left="80"/>
              <w:spacing w:after="0" w:line="89" w:lineRule="exact"/>
              <w:rPr>
                <w:sz w:val="20"/>
                <w:szCs w:val="20"/>
                <w:color w:val="auto"/>
              </w:rPr>
            </w:pPr>
            <w:r>
              <w:rPr>
                <w:rFonts w:ascii="Times New Roman" w:cs="Times New Roman" w:eastAsia="Times New Roman" w:hAnsi="Times New Roman"/>
                <w:sz w:val="10"/>
                <w:szCs w:val="10"/>
                <w:b w:val="1"/>
                <w:bCs w:val="1"/>
                <w:color w:val="auto"/>
              </w:rPr>
              <w:t>%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610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0"/>
                <w:szCs w:val="10"/>
                <w:b w:val="1"/>
                <w:bCs w:val="1"/>
                <w:color w:val="auto"/>
              </w:rPr>
              <w:t>Cost</w:t>
            </w:r>
          </w:p>
        </w:tc>
        <w:tc>
          <w:tcPr>
            <w:tcW w:w="400" w:type="dxa"/>
            <w:vAlign w:val="bottom"/>
          </w:tcPr>
          <w:p>
            <w:pPr>
              <w:spacing w:after="0"/>
              <w:rPr>
                <w:sz w:val="11"/>
                <w:szCs w:val="11"/>
                <w:color w:val="auto"/>
              </w:rPr>
            </w:pPr>
          </w:p>
        </w:tc>
        <w:tc>
          <w:tcPr>
            <w:tcW w:w="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400" w:type="dxa"/>
            <w:vAlign w:val="bottom"/>
          </w:tcPr>
          <w:p>
            <w:pPr>
              <w:spacing w:after="0"/>
              <w:rPr>
                <w:sz w:val="11"/>
                <w:szCs w:val="11"/>
                <w:color w:val="auto"/>
              </w:rPr>
            </w:pPr>
          </w:p>
        </w:tc>
        <w:tc>
          <w:tcPr>
            <w:tcW w:w="900" w:type="dxa"/>
            <w:vAlign w:val="bottom"/>
            <w:tcBorders>
              <w:bottom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400" w:type="dxa"/>
            <w:vAlign w:val="bottom"/>
          </w:tcPr>
          <w:p>
            <w:pPr>
              <w:spacing w:after="0"/>
              <w:rPr>
                <w:sz w:val="11"/>
                <w:szCs w:val="11"/>
                <w:color w:val="auto"/>
              </w:rPr>
            </w:pP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(Dollars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One year or less</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448,409</w:t>
            </w:r>
          </w:p>
        </w:tc>
        <w:tc>
          <w:tcPr>
            <w:tcW w:w="400" w:type="dxa"/>
            <w:vAlign w:val="bottom"/>
            <w:tcBorders>
              <w:left w:val="single" w:sz="8" w:color="CCEEFF"/>
            </w:tcBorders>
            <w:shd w:val="clear" w:color="auto" w:fill="CCEEFF"/>
          </w:tcPr>
          <w:p>
            <w:pPr>
              <w:spacing w:after="0"/>
              <w:rPr>
                <w:sz w:val="14"/>
                <w:szCs w:val="14"/>
                <w:color w:val="auto"/>
              </w:rPr>
            </w:pPr>
          </w:p>
        </w:tc>
        <w:tc>
          <w:tcPr>
            <w:tcW w:w="8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3"/>
                <w:szCs w:val="13"/>
                <w:color w:val="auto"/>
              </w:rPr>
              <w:t>15.3%</w:t>
            </w:r>
          </w:p>
        </w:tc>
        <w:tc>
          <w:tcPr>
            <w:tcW w:w="3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445,391</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After one year through five years</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1,176,741</w:t>
            </w:r>
          </w:p>
        </w:tc>
        <w:tc>
          <w:tcPr>
            <w:tcW w:w="40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40.2</w:t>
            </w:r>
          </w:p>
        </w:tc>
        <w:tc>
          <w:tcPr>
            <w:tcW w:w="34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1,161,353</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40.0</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After five years through ten years</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980,315</w:t>
            </w:r>
          </w:p>
        </w:tc>
        <w:tc>
          <w:tcPr>
            <w:tcW w:w="400" w:type="dxa"/>
            <w:vAlign w:val="bottom"/>
            <w:tcBorders>
              <w:lef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33.5</w:t>
            </w:r>
          </w:p>
        </w:tc>
        <w:tc>
          <w:tcPr>
            <w:tcW w:w="3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972,565</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33.5</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After ten years</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321,625</w:t>
            </w:r>
          </w:p>
        </w:tc>
        <w:tc>
          <w:tcPr>
            <w:tcW w:w="40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11.0</w:t>
            </w:r>
          </w:p>
        </w:tc>
        <w:tc>
          <w:tcPr>
            <w:tcW w:w="34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322,631</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400" w:type="dxa"/>
            <w:vAlign w:val="bottom"/>
            <w:tcBorders>
              <w:left w:val="single" w:sz="8" w:color="CCEEFF"/>
            </w:tcBorders>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24</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2,927,113</w:t>
            </w:r>
          </w:p>
        </w:tc>
        <w:tc>
          <w:tcPr>
            <w:tcW w:w="400" w:type="dxa"/>
            <w:vAlign w:val="bottom"/>
            <w:vMerge w:val="continue"/>
          </w:tcPr>
          <w:p>
            <w:pPr>
              <w:spacing w:after="0"/>
              <w:rPr>
                <w:sz w:val="13"/>
                <w:szCs w:val="13"/>
                <w:color w:val="auto"/>
              </w:rPr>
            </w:pPr>
          </w:p>
        </w:tc>
        <w:tc>
          <w:tcPr>
            <w:tcW w:w="800" w:type="dxa"/>
            <w:vAlign w:val="bottom"/>
            <w:gridSpan w:val="2"/>
          </w:tcPr>
          <w:p>
            <w:pPr>
              <w:jc w:val="right"/>
              <w:ind w:right="248"/>
              <w:spacing w:after="0"/>
              <w:rPr>
                <w:sz w:val="20"/>
                <w:szCs w:val="20"/>
                <w:color w:val="auto"/>
              </w:rPr>
            </w:pPr>
            <w:r>
              <w:rPr>
                <w:rFonts w:ascii="Times New Roman" w:cs="Times New Roman" w:eastAsia="Times New Roman" w:hAnsi="Times New Roman"/>
                <w:sz w:val="13"/>
                <w:szCs w:val="13"/>
                <w:color w:val="auto"/>
              </w:rPr>
              <w:t>100.0%</w:t>
            </w:r>
          </w:p>
        </w:tc>
        <w:tc>
          <w:tcPr>
            <w:tcW w:w="340" w:type="dxa"/>
            <w:vAlign w:val="bottom"/>
          </w:tcPr>
          <w:p>
            <w:pPr>
              <w:jc w:val="right"/>
              <w:ind w:right="19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2,901,964</w:t>
            </w:r>
          </w:p>
        </w:tc>
        <w:tc>
          <w:tcPr>
            <w:tcW w:w="400" w:type="dxa"/>
            <w:vAlign w:val="bottom"/>
            <w:vMerge w:val="continue"/>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120" w:firstLine="399"/>
        <w:spacing w:after="0" w:line="286" w:lineRule="auto"/>
        <w:rPr>
          <w:sz w:val="20"/>
          <w:szCs w:val="20"/>
          <w:color w:val="auto"/>
        </w:rPr>
      </w:pPr>
      <w:r>
        <w:rPr>
          <w:rFonts w:ascii="Times New Roman" w:cs="Times New Roman" w:eastAsia="Times New Roman" w:hAnsi="Times New Roman"/>
          <w:sz w:val="13"/>
          <w:szCs w:val="13"/>
          <w:color w:val="auto"/>
        </w:rPr>
        <w:t>Expected maturities may differ from contractual maturities because certain borrowers have the right to call or prepay obligations with or without call or prepayment penalties. Fixed maturity securities with an amortized cost of $402.5 million and a fair value of $402.6 million were callable at December 31, 2006.</w:t>
      </w:r>
    </w:p>
    <w:p>
      <w:pPr>
        <w:spacing w:after="0" w:line="47" w:lineRule="exact"/>
        <w:rPr>
          <w:sz w:val="20"/>
          <w:szCs w:val="20"/>
          <w:color w:val="auto"/>
        </w:rPr>
      </w:pPr>
    </w:p>
    <w:p>
      <w:pPr>
        <w:ind w:left="680" w:right="160" w:firstLine="399"/>
        <w:spacing w:after="0" w:line="286" w:lineRule="auto"/>
        <w:rPr>
          <w:sz w:val="20"/>
          <w:szCs w:val="20"/>
          <w:color w:val="auto"/>
        </w:rPr>
      </w:pPr>
      <w:r>
        <w:rPr>
          <w:rFonts w:ascii="Times New Roman" w:cs="Times New Roman" w:eastAsia="Times New Roman" w:hAnsi="Times New Roman"/>
          <w:sz w:val="13"/>
          <w:szCs w:val="13"/>
          <w:color w:val="auto"/>
        </w:rPr>
        <w:t>Our equity securities at December 31, 2006 and 2005 consisted of investments in various industry groups at a cost basis of $216.7 million and $222.5 million, respectively, and fair value of $207.3 million and $210.2 million, respectively. There were no significant investments in banks, trust and insurance companies at December 31, 2006 or 2005.</w:t>
      </w:r>
    </w:p>
    <w:p>
      <w:pPr>
        <w:spacing w:after="0" w:line="47" w:lineRule="exact"/>
        <w:rPr>
          <w:sz w:val="20"/>
          <w:szCs w:val="20"/>
          <w:color w:val="auto"/>
        </w:rPr>
      </w:pPr>
    </w:p>
    <w:p>
      <w:pPr>
        <w:ind w:left="680" w:right="40" w:firstLine="399"/>
        <w:spacing w:after="0" w:line="286" w:lineRule="auto"/>
        <w:rPr>
          <w:sz w:val="20"/>
          <w:szCs w:val="20"/>
          <w:color w:val="auto"/>
        </w:rPr>
      </w:pPr>
      <w:r>
        <w:rPr>
          <w:rFonts w:ascii="Times New Roman" w:cs="Times New Roman" w:eastAsia="Times New Roman" w:hAnsi="Times New Roman"/>
          <w:sz w:val="13"/>
          <w:szCs w:val="13"/>
          <w:color w:val="auto"/>
        </w:rPr>
        <w:t>Short-term investments, which consist primarily of securities purchased under agreements to resell, commercial paper and money market instruments which have an original maturity of one year or less, are carried at amortized cost, which approximates fair value. As of December 31, 2006, short-term investments amounted to $848.4 million.</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Our investment results for the years ended December 31, 2006, 2005 and 2004 were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130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98"/>
        </w:trPr>
        <w:tc>
          <w:tcPr>
            <w:tcW w:w="130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8"/>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280"/>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8"/>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20" w:type="dxa"/>
            <w:vAlign w:val="bottom"/>
          </w:tcPr>
          <w:p>
            <w:pPr>
              <w:spacing w:after="0"/>
              <w:rPr>
                <w:sz w:val="8"/>
                <w:szCs w:val="8"/>
                <w:color w:val="auto"/>
              </w:rPr>
            </w:pPr>
          </w:p>
        </w:tc>
      </w:tr>
      <w:tr>
        <w:trPr>
          <w:trHeight w:val="133"/>
        </w:trPr>
        <w:tc>
          <w:tcPr>
            <w:tcW w:w="130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3"/>
              </w:rPr>
              <w:t>(Dollars in thousands)</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investment income(1)</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244,185</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177,167</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92,862</w:t>
            </w:r>
          </w:p>
        </w:tc>
      </w:tr>
      <w:tr>
        <w:trPr>
          <w:trHeight w:val="157"/>
        </w:trPr>
        <w:tc>
          <w:tcPr>
            <w:tcW w:w="6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Average invested assets</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5,088,863</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4,711,418</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3,621,974</w:t>
            </w:r>
          </w:p>
        </w:tc>
      </w:tr>
      <w:tr>
        <w:trPr>
          <w:trHeight w:val="157"/>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Effective return on average invested assets</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4.8%</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3.8%</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88"/>
        </w:trPr>
        <w:tc>
          <w:tcPr>
            <w:tcW w:w="1300" w:type="dxa"/>
            <w:vAlign w:val="bottom"/>
            <w:tcBorders>
              <w:bottom w:val="single" w:sz="8" w:color="auto"/>
            </w:tcBorders>
          </w:tcPr>
          <w:p>
            <w:pPr>
              <w:spacing w:after="0"/>
              <w:rPr>
                <w:sz w:val="7"/>
                <w:szCs w:val="7"/>
                <w:color w:val="auto"/>
              </w:rPr>
            </w:pPr>
          </w:p>
        </w:tc>
        <w:tc>
          <w:tcPr>
            <w:tcW w:w="5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36" w:lineRule="exact"/>
        <w:rPr>
          <w:sz w:val="20"/>
          <w:szCs w:val="20"/>
          <w:color w:val="auto"/>
        </w:rPr>
      </w:pPr>
    </w:p>
    <w:p>
      <w:pPr>
        <w:ind w:left="1180" w:right="420" w:hanging="243"/>
        <w:spacing w:after="0" w:line="286" w:lineRule="auto"/>
        <w:tabs>
          <w:tab w:leader="none" w:pos="11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investment income as reported in our Consolidated Statements of Earnings has been adjusted in the presentation above to provide the tax equivalent yield on tax exempt investments.</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Employees</w:t>
      </w:r>
    </w:p>
    <w:p>
      <w:pPr>
        <w:spacing w:after="0" w:line="98" w:lineRule="exact"/>
        <w:rPr>
          <w:sz w:val="20"/>
          <w:szCs w:val="20"/>
          <w:color w:val="auto"/>
        </w:rPr>
      </w:pPr>
    </w:p>
    <w:p>
      <w:pPr>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As of December 31, 2006, we had approximately 17,800 full-time equivalent employees. We believe that our relations with employees are generally good. None of our employees are subject to collective bargaining agreements.</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Statement Regarding Forward-Looking Information</w:t>
      </w:r>
    </w:p>
    <w:p>
      <w:pPr>
        <w:spacing w:after="0" w:line="98"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The statements contained in this Form 10-K or in our other documents or in oral presentations or other statements made by our management that are not purely historical are forward-looking statements within the meaning of Section 27A of the Securities Act of 1933 and Section 21E of the Securities Exchange Act of 1934, including statements regarding our expectations, hopes, intentions, or strategies regarding the future. These statements relate to, among other things, future financial and operating results of Fidelity. In many cases, you can identify forward-looking statements by terminology such as “may,” “will,” “should,” “expect,” “plan,” “anticipate,”</w:t>
      </w:r>
    </w:p>
    <w:p>
      <w:pPr>
        <w:spacing w:after="0" w:line="2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6" w:name="page17"/>
    <w:bookmarkEnd w:id="16"/>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20"/>
        <w:spacing w:after="0" w:line="286" w:lineRule="auto"/>
        <w:rPr>
          <w:sz w:val="20"/>
          <w:szCs w:val="20"/>
          <w:color w:val="auto"/>
        </w:rPr>
      </w:pPr>
      <w:r>
        <w:rPr>
          <w:rFonts w:ascii="Times New Roman" w:cs="Times New Roman" w:eastAsia="Times New Roman" w:hAnsi="Times New Roman"/>
          <w:sz w:val="13"/>
          <w:szCs w:val="13"/>
          <w:color w:val="auto"/>
        </w:rPr>
        <w:t>“believe,” “estimate,” “predict,” “potential,” or “continue,” or the negative of these terms and other comparable terminology. Actual results could differ materially from those anticipated in these statements as a result of a number of factors, including, but not limited to:</w:t>
      </w:r>
    </w:p>
    <w:p>
      <w:pPr>
        <w:spacing w:after="0" w:line="47" w:lineRule="exact"/>
        <w:rPr>
          <w:sz w:val="20"/>
          <w:szCs w:val="20"/>
          <w:color w:val="auto"/>
        </w:rPr>
      </w:pPr>
    </w:p>
    <w:p>
      <w:pPr>
        <w:ind w:left="1280" w:hanging="190"/>
        <w:spacing w:after="0"/>
        <w:tabs>
          <w:tab w:leader="none" w:pos="12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general economic, business, and political conditions, including changes in the financial markets;</w:t>
      </w:r>
    </w:p>
    <w:p>
      <w:pPr>
        <w:spacing w:after="0" w:line="86" w:lineRule="exact"/>
        <w:rPr>
          <w:rFonts w:ascii="Times New Roman" w:cs="Times New Roman" w:eastAsia="Times New Roman" w:hAnsi="Times New Roman"/>
          <w:sz w:val="13"/>
          <w:szCs w:val="13"/>
          <w:color w:val="auto"/>
        </w:rPr>
      </w:pPr>
    </w:p>
    <w:p>
      <w:pPr>
        <w:ind w:left="1280" w:right="60" w:hanging="190"/>
        <w:spacing w:after="0" w:line="286" w:lineRule="auto"/>
        <w:tabs>
          <w:tab w:leader="none" w:pos="12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 changes in the level of real estate activity, which may be caused by, among other things, high or increasing interest rates, a limited supply of mortgage funding, or a weak U.S. economy;</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compliance with extensive government regulation of our operating subsidiaries, and adverse changes in applicable laws or regulations or the application of them by regulators;</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regulatory investigations of the title insurance industry;</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business concentration in the State of California, the source of over 17% of our title insurance premiums;</w:t>
      </w:r>
    </w:p>
    <w:p>
      <w:pPr>
        <w:spacing w:after="0" w:line="86" w:lineRule="exact"/>
        <w:rPr>
          <w:rFonts w:ascii="Times New Roman" w:cs="Times New Roman" w:eastAsia="Times New Roman" w:hAnsi="Times New Roman"/>
          <w:sz w:val="13"/>
          <w:szCs w:val="13"/>
          <w:color w:val="auto"/>
        </w:rPr>
      </w:pPr>
    </w:p>
    <w:p>
      <w:pPr>
        <w:ind w:left="1280" w:right="460" w:hanging="190"/>
        <w:spacing w:after="0" w:line="286" w:lineRule="auto"/>
        <w:tabs>
          <w:tab w:leader="none" w:pos="12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potential inability to find suitable acquisition candidates, as well as the risks associated with acquisitions in lines of business that will not necessarily be limited to our traditional areas of focus or difficulties in integrating acquisitions;</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dependence on distributions from our title insurance underwriters as our main source of cash flow;</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competition from other title insurance companies; and</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risks detailed elsewhere in this document and in our other filings with the SEC.</w:t>
      </w:r>
    </w:p>
    <w:p>
      <w:pPr>
        <w:spacing w:after="0" w:line="96"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We are not under any obligation (and expressly disclaim any such obligation) to update or alter our forward-looking statements, whether as a result of new information, future events or otherwise. You should carefully consider the possibility that actual results may differ materially from our forward-looking statements.</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Additional Information</w:t>
      </w:r>
    </w:p>
    <w:p>
      <w:pPr>
        <w:spacing w:after="0" w:line="98" w:lineRule="exact"/>
        <w:rPr>
          <w:sz w:val="20"/>
          <w:szCs w:val="20"/>
          <w:color w:val="auto"/>
        </w:rPr>
      </w:pPr>
    </w:p>
    <w:p>
      <w:pPr>
        <w:ind w:left="680" w:right="140" w:firstLine="399"/>
        <w:spacing w:after="0" w:line="263" w:lineRule="auto"/>
        <w:rPr>
          <w:sz w:val="20"/>
          <w:szCs w:val="20"/>
          <w:color w:val="auto"/>
        </w:rPr>
      </w:pPr>
      <w:r>
        <w:rPr>
          <w:rFonts w:ascii="Times New Roman" w:cs="Times New Roman" w:eastAsia="Times New Roman" w:hAnsi="Times New Roman"/>
          <w:sz w:val="13"/>
          <w:szCs w:val="13"/>
          <w:color w:val="auto"/>
        </w:rPr>
        <w:t>Our website address is www.fnf.com. We make available free of charge on or through our website our Annual Report on Form 10-K, Quarterly Reports on Form 10-Q, Current Reports on Form 8-K and all amendments to those reports filed or furnished pursuant to Section 13(a) or 15(d) of the Securities Exchange Act of 1934, as amended, as soon as reasonably practicable after such material is electronically filed with or furnished to the Securities and Exchange Commission. However, the information found on our website is not part of this or any other report.</w:t>
      </w:r>
    </w:p>
    <w:p>
      <w:pPr>
        <w:spacing w:after="0" w:line="137" w:lineRule="exact"/>
        <w:rPr>
          <w:sz w:val="20"/>
          <w:szCs w:val="20"/>
          <w:color w:val="auto"/>
        </w:rPr>
      </w:pPr>
    </w:p>
    <w:p>
      <w:pPr>
        <w:ind w:left="680"/>
        <w:spacing w:after="0"/>
        <w:tabs>
          <w:tab w:leader="none" w:pos="1580" w:val="left"/>
        </w:tabs>
        <w:rPr>
          <w:sz w:val="20"/>
          <w:szCs w:val="20"/>
          <w:color w:val="auto"/>
        </w:rPr>
      </w:pPr>
      <w:r>
        <w:rPr>
          <w:rFonts w:ascii="Times New Roman" w:cs="Times New Roman" w:eastAsia="Times New Roman" w:hAnsi="Times New Roman"/>
          <w:sz w:val="13"/>
          <w:szCs w:val="13"/>
          <w:b w:val="1"/>
          <w:bCs w:val="1"/>
          <w:color w:val="auto"/>
        </w:rPr>
        <w:t>Item 1A.</w:t>
      </w:r>
      <w:r>
        <w:rPr>
          <w:sz w:val="20"/>
          <w:szCs w:val="20"/>
          <w:color w:val="auto"/>
        </w:rPr>
        <w:tab/>
      </w:r>
      <w:r>
        <w:rPr>
          <w:rFonts w:ascii="Times New Roman" w:cs="Times New Roman" w:eastAsia="Times New Roman" w:hAnsi="Times New Roman"/>
          <w:sz w:val="12"/>
          <w:szCs w:val="12"/>
          <w:b w:val="1"/>
          <w:bCs w:val="1"/>
          <w:i w:val="1"/>
          <w:iCs w:val="1"/>
          <w:color w:val="auto"/>
        </w:rPr>
        <w:t>Risk Factors</w:t>
      </w:r>
    </w:p>
    <w:p>
      <w:pPr>
        <w:spacing w:after="0" w:line="100"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In addition to the normal risks of business, we are subject to significant risks and uncertainties, including those listed below and others described elsewhere in this Annual Report on Form 10-K. Any of the risks described herein could result in a significant or material adverse effect on our results of operations or financial condition.</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Adverse developments arising from a pending investigation could materially adversely affect our results of operations</w:t>
      </w:r>
    </w:p>
    <w:p>
      <w:pPr>
        <w:spacing w:after="0" w:line="100"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On February 16, 2007, Chicago Title Insurance Company (“CTIC”) received a letter from the United States Attorney’s Office in the Southern District of Texas advising the company that it is the target of a federal grand jury investigation in Houston, Texas concerning possible violations of law involving loans made by three banks in Texas. CTIC believes that the investigation relates to certain mortgage loan transactions that were closed in 2000 and 2001 by a branch office of CTIC located in the Houston Metropolitan area. As previously disclosed, in February 2005, without any admission of fault or liability, CTIC entered into a Stipulation and Consent Order (“Order”) with the U.S. Office of the Comptroller of the Currency and certain other regulators including the Office of Thrift Supervision and the Texas Department of Insurance in connection with their investigations of matters relating to these loans. Under the Order, the Company agreed to, among other things, pay a civil money penalty, provide training to current and prospective employees, and audit branch offices at least every two years to ensure compliance with applicable rules and regulations. In addition, without admitting any liability, CTIC concurrently</w:t>
      </w: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7" w:name="page18"/>
    <w:bookmarkEnd w:id="17"/>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40"/>
        <w:spacing w:after="0" w:line="261" w:lineRule="auto"/>
        <w:rPr>
          <w:sz w:val="20"/>
          <w:szCs w:val="20"/>
          <w:color w:val="auto"/>
        </w:rPr>
      </w:pPr>
      <w:r>
        <w:rPr>
          <w:rFonts w:ascii="Times New Roman" w:cs="Times New Roman" w:eastAsia="Times New Roman" w:hAnsi="Times New Roman"/>
          <w:sz w:val="13"/>
          <w:szCs w:val="13"/>
          <w:color w:val="auto"/>
        </w:rPr>
        <w:t>entered into a settlement agreement with the U.S. Department of Housing and Urban Development (“HUD”) with respect to any violations of the Real Estate Settlement Procedures Act in connection with these loans following HUD’s investigation of the matter. The U.S. Attorney’s Office now is investigating possible violations of the bank fraud laws in connection with the same loans. CTIC is fully cooperating with the U.S. Attorney’s investigation. To date, we are not aware of any violations of the bank fraud laws on the part of CTIC or any of its employees. CTIC has agreed to launch an internal investigation, and to report thereon to the U.S. Attorney’s office. In the event that CTIC were to be indicted, the consequences to us could materially adversely affect our business.</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If adverse changes in the levels of real estate activity occur, our revenues may decline.</w:t>
      </w:r>
    </w:p>
    <w:p>
      <w:pPr>
        <w:spacing w:after="0" w:line="100"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 Both the volume and the average price of residential real estate transactions have recently experienced declines in many parts of the country, and these trends appear likely to continue. Further, interest rates have risen from record low levels in 2003, resulting in reductions in the level of mortgage refinancings and total mortgage originations in 2004 and again in 2005 and 2006.</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We have found that residential real estate activity generally decreases in the following situations:</w:t>
      </w:r>
    </w:p>
    <w:p>
      <w:pPr>
        <w:spacing w:after="0" w:line="96" w:lineRule="exact"/>
        <w:rPr>
          <w:sz w:val="20"/>
          <w:szCs w:val="20"/>
          <w:color w:val="auto"/>
        </w:rPr>
      </w:pPr>
    </w:p>
    <w:p>
      <w:pPr>
        <w:ind w:left="1280" w:hanging="190"/>
        <w:spacing w:after="0"/>
        <w:tabs>
          <w:tab w:leader="none" w:pos="12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mortgage interest rates are high or increasing;</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the mortgage funding supply is limited; and</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the United States economy is weak.</w:t>
      </w:r>
    </w:p>
    <w:p>
      <w:pPr>
        <w:spacing w:after="0" w:line="96"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Declines in the level of real estate activity or the average price of real estate sales are likely to adversely affect our title insurance revenues. The Mortgage Bankers Association currently projects residential mortgage production in 2007 to be $2.39 trillion, which would represent a 5.0% decline relative to 2006. The MBA further projects that the 5.0% decrease will result from purchase transactions declining from $1.40 billion in 2006 to $1.33 billion in 2007 or 4.8% and refinance transactions dropping from $1.11 billion in 2005 to $1.06 billion in 2006, or 5.2%.</w:t>
      </w:r>
    </w:p>
    <w:p>
      <w:pPr>
        <w:spacing w:after="0" w:line="137" w:lineRule="exact"/>
        <w:rPr>
          <w:sz w:val="20"/>
          <w:szCs w:val="20"/>
          <w:color w:val="auto"/>
        </w:rPr>
      </w:pPr>
    </w:p>
    <w:p>
      <w:pPr>
        <w:ind w:left="880"/>
        <w:spacing w:after="0" w:line="293" w:lineRule="auto"/>
        <w:rPr>
          <w:sz w:val="20"/>
          <w:szCs w:val="20"/>
          <w:color w:val="auto"/>
        </w:rPr>
      </w:pPr>
      <w:r>
        <w:rPr>
          <w:rFonts w:ascii="Times New Roman" w:cs="Times New Roman" w:eastAsia="Times New Roman" w:hAnsi="Times New Roman"/>
          <w:sz w:val="13"/>
          <w:szCs w:val="13"/>
          <w:b w:val="1"/>
          <w:bCs w:val="1"/>
          <w:i w:val="1"/>
          <w:iCs w:val="1"/>
          <w:color w:val="auto"/>
        </w:rPr>
        <w:t>Our insurance subsidiaries must comply with extensive regulations. These regulations may increase our costs or impede, or impose burdensome conditions on, actions that we might seek to take to increase the revenues of those subsidiaries.</w:t>
      </w:r>
    </w:p>
    <w:p>
      <w:pPr>
        <w:spacing w:after="0" w:line="42" w:lineRule="exact"/>
        <w:rPr>
          <w:sz w:val="20"/>
          <w:szCs w:val="20"/>
          <w:color w:val="auto"/>
        </w:rPr>
      </w:pPr>
    </w:p>
    <w:p>
      <w:pPr>
        <w:ind w:left="680" w:right="500" w:firstLine="399"/>
        <w:spacing w:after="0" w:line="286" w:lineRule="auto"/>
        <w:rPr>
          <w:sz w:val="20"/>
          <w:szCs w:val="20"/>
          <w:color w:val="auto"/>
        </w:rPr>
      </w:pPr>
      <w:r>
        <w:rPr>
          <w:rFonts w:ascii="Times New Roman" w:cs="Times New Roman" w:eastAsia="Times New Roman" w:hAnsi="Times New Roman"/>
          <w:sz w:val="13"/>
          <w:szCs w:val="13"/>
          <w:color w:val="auto"/>
        </w:rPr>
        <w:t>Our insurance businesses are subject to extensive regulation by state insurance authorities in each state in which they operate. These agencies have broad administrative and supervisory power relating to the following, among other matters:</w:t>
      </w:r>
    </w:p>
    <w:p>
      <w:pPr>
        <w:spacing w:after="0" w:line="47" w:lineRule="exact"/>
        <w:rPr>
          <w:sz w:val="20"/>
          <w:szCs w:val="20"/>
          <w:color w:val="auto"/>
        </w:rPr>
      </w:pPr>
    </w:p>
    <w:p>
      <w:pPr>
        <w:ind w:left="1280" w:hanging="190"/>
        <w:spacing w:after="0"/>
        <w:tabs>
          <w:tab w:leader="none" w:pos="12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licensing requirements;</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trade and marketing practices;</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accounting and financing practices;</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and surplus requirements;</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dividends and other payments made by insurance subsidiaries;</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 practices;</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rate schedules;</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deposits of securities for the benefit of policyholders;</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establishing reserves; and</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regulation of reinsurance.</w:t>
      </w:r>
    </w:p>
    <w:p>
      <w:pPr>
        <w:spacing w:after="0" w:line="96"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Most states also regulate insurance holding companies like us with respect to acquisitions, changes of control and the terms of transactions with our affiliates. State regulations may impede or impose burdensome conditions on</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18" w:name="page19"/>
    <w:bookmarkEnd w:id="18"/>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80"/>
        <w:spacing w:after="0" w:line="286" w:lineRule="auto"/>
        <w:rPr>
          <w:sz w:val="20"/>
          <w:szCs w:val="20"/>
          <w:color w:val="auto"/>
        </w:rPr>
      </w:pPr>
      <w:r>
        <w:rPr>
          <w:rFonts w:ascii="Times New Roman" w:cs="Times New Roman" w:eastAsia="Times New Roman" w:hAnsi="Times New Roman"/>
          <w:sz w:val="13"/>
          <w:szCs w:val="13"/>
          <w:color w:val="auto"/>
        </w:rPr>
        <w:t>our ability to increase or maintain rate levels or on other actions that we may want to take to enhance our operating results. In addition, we may incur significant costs in the course of complying with regulatory requirements. We cannot assure you that future legislative or regulatory changes will not adversely affect our business operations. See “Business — Regulation.”</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State regulation of the rates we charge for title insurance could adversely affect our results of operations.</w:t>
      </w:r>
    </w:p>
    <w:p>
      <w:pPr>
        <w:spacing w:after="0" w:line="100" w:lineRule="exact"/>
        <w:rPr>
          <w:sz w:val="20"/>
          <w:szCs w:val="20"/>
          <w:color w:val="auto"/>
        </w:rPr>
      </w:pPr>
    </w:p>
    <w:p>
      <w:pPr>
        <w:ind w:left="680" w:right="180" w:firstLine="399"/>
        <w:spacing w:after="0" w:line="269" w:lineRule="auto"/>
        <w:rPr>
          <w:sz w:val="20"/>
          <w:szCs w:val="20"/>
          <w:color w:val="auto"/>
        </w:rPr>
      </w:pPr>
      <w:r>
        <w:rPr>
          <w:rFonts w:ascii="Times New Roman" w:cs="Times New Roman" w:eastAsia="Times New Roman" w:hAnsi="Times New Roman"/>
          <w:sz w:val="13"/>
          <w:szCs w:val="13"/>
          <w:color w:val="auto"/>
        </w:rPr>
        <w:t>Our title insurance subsidiaries are subject to extensive rate regulation by the applicable state agencies in the jurisdictions in which they operate. Title insurance rates are regulated differently in the various states, with some states requiring the subsidiaries to file rates before such rates become effective and some states promulgating the rates that can be charged. In almost all states in which our title subsidiaries operate, our rates must not be excessive, inadequate or unfairly discriminatory.</w:t>
      </w:r>
    </w:p>
    <w:p>
      <w:pPr>
        <w:spacing w:after="0" w:line="58" w:lineRule="exact"/>
        <w:rPr>
          <w:sz w:val="20"/>
          <w:szCs w:val="20"/>
          <w:color w:val="auto"/>
        </w:rPr>
      </w:pPr>
    </w:p>
    <w:p>
      <w:pPr>
        <w:ind w:left="680" w:firstLine="399"/>
        <w:spacing w:after="0" w:line="254" w:lineRule="auto"/>
        <w:rPr>
          <w:sz w:val="20"/>
          <w:szCs w:val="20"/>
          <w:color w:val="auto"/>
        </w:rPr>
      </w:pPr>
      <w:r>
        <w:rPr>
          <w:rFonts w:ascii="Times New Roman" w:cs="Times New Roman" w:eastAsia="Times New Roman" w:hAnsi="Times New Roman"/>
          <w:sz w:val="13"/>
          <w:szCs w:val="13"/>
          <w:color w:val="auto"/>
        </w:rPr>
        <w:t>In January 2007, the California Insurance Commissioner submitted to the California Office of Administrative Law (“OAL”) proposed regulations that would have significant effects on the title insurance industry in California. Among other things, these regulations would set “maximum” rates, effective as of October 1, 2009, for title and escrow using industry data to be reported through the statistical plan described below and published by the California Department of Insurance (the “CDI”). In addition, the new regulations would establish an interim reduction of all title and escrow rates effective October 1, 2009 if the CDI is unable to publish the data necessary for the calculation of the maximum rates by August 1, 2009. These interim rate reductions are intended to roll rates back so that in effect, premiums are charged on the basis of real property values from the year 2000. Title insurers would be required to reduce their rates to a level below their 2000 rates, with the amount of the reduction determined by a formula adjusting for real estate appreciation and inflation. Although FNF is continuing to evaluate the effect that these regulations would have on its business and its financial results, FNF is concerned that the reduced rates and maximum rate caps set by the California Regulations will significantly reduce the title and escrow rates that are charged in California, while precluding title insurers from seeking relief from those reduced or maximum rates. In addition, the proposed California regulations contemplate the creation of a detailed statistical plan, requiring data to be collected by each title insurer, underwritten title company, and controlled escrow company at the individual transaction level beginning on January 1, 2008. The statistical plan would also require that all expenses be allocated among 18 “activities,” such as title search/examination, preliminary report issuance, general management, customer support, sales, recording of documents, and escrow document production. The data collected under the statistical plan would be submitted annually to the CDI beginning on April 30, 2009. Compliance with the data collection and reporting requirements of the California Regulations, if adopted, would necessitate a significant revision and augmentation of our existing data collection and accounting systems before January 1, 2008, and would require a significant expenditure to comply with the April 30, 2009 deadline. The proposed required rate reductions and maximum rates would significantly reduce the title insurance rates that our subsidiaries can charge, and would likely have a significant negative impact on our California revenues. In addition, the increased cost of compliance with the statistical data collection and reporting requirements would negatively impact our cost of doing business in California. California is the largest source of revenue for the title insurance industry, including for us. On February 21, 2007, the OAL disapproved the proposed California Regulations and requested certain clarifications from the CDI. On February 22, 2007, the CDI announced its intention to move forward expeditiously to satisfy the OAL’s request in consultation with consumer groups and the title industry and resubmit the regulations for approval.</w:t>
      </w:r>
    </w:p>
    <w:p>
      <w:pPr>
        <w:spacing w:after="0" w:line="72" w:lineRule="exact"/>
        <w:rPr>
          <w:sz w:val="20"/>
          <w:szCs w:val="20"/>
          <w:color w:val="auto"/>
        </w:rPr>
      </w:pPr>
    </w:p>
    <w:p>
      <w:pPr>
        <w:jc w:val="both"/>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In addition, the Florida Office of Insurance Regulation (the “OIR”) has recently released three studies of the title insurance industry which purport to demonstrate that title insurance rates in Florida are too high and that the Florida title insurance industry is overwhelmingly dominated by five firms, which includes us. The studies recommend tying premium rates to loss ratios thereby making the rates a reflection of the actual risks born by the insurer. The OIR is presently developing a rule to establish and govern the annual collection of statistical data and has said that it will use the information gathered to begin a full review of the title insurance rates charged in Florida.</w:t>
      </w:r>
    </w:p>
    <w:p>
      <w:pPr>
        <w:spacing w:after="0" w:line="62" w:lineRule="exact"/>
        <w:rPr>
          <w:sz w:val="20"/>
          <w:szCs w:val="20"/>
          <w:color w:val="auto"/>
        </w:rPr>
      </w:pPr>
    </w:p>
    <w:p>
      <w:pPr>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The Washington Insurance Commissioner has issued a report concluding that the title insurance industry has engaged in illegal referral fees. The Commissioner has appointed a panel to recommend title industry reforms.</w:t>
      </w:r>
    </w:p>
    <w:p>
      <w:pPr>
        <w:spacing w:after="0" w:line="47" w:lineRule="exact"/>
        <w:rPr>
          <w:sz w:val="20"/>
          <w:szCs w:val="20"/>
          <w:color w:val="auto"/>
        </w:rPr>
      </w:pPr>
    </w:p>
    <w:p>
      <w:pPr>
        <w:ind w:left="680" w:right="40" w:firstLine="399"/>
        <w:spacing w:after="0" w:line="286" w:lineRule="auto"/>
        <w:rPr>
          <w:sz w:val="20"/>
          <w:szCs w:val="20"/>
          <w:color w:val="auto"/>
        </w:rPr>
      </w:pPr>
      <w:r>
        <w:rPr>
          <w:rFonts w:ascii="Times New Roman" w:cs="Times New Roman" w:eastAsia="Times New Roman" w:hAnsi="Times New Roman"/>
          <w:sz w:val="13"/>
          <w:szCs w:val="13"/>
          <w:color w:val="auto"/>
        </w:rPr>
        <w:t>In 2006, we and our subsidiaries settled all allegations of wrongdoing arising from a wide-ranging review of the title insurance industry by the New York State Attorney General (the “NYAG”). Under the terms of the</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9" w:name="page20"/>
    <w:bookmarkEnd w:id="19"/>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line="259" w:lineRule="auto"/>
        <w:rPr>
          <w:sz w:val="20"/>
          <w:szCs w:val="20"/>
          <w:color w:val="auto"/>
        </w:rPr>
      </w:pPr>
      <w:r>
        <w:rPr>
          <w:rFonts w:ascii="Times New Roman" w:cs="Times New Roman" w:eastAsia="Times New Roman" w:hAnsi="Times New Roman"/>
          <w:sz w:val="13"/>
          <w:szCs w:val="13"/>
          <w:color w:val="auto"/>
        </w:rPr>
        <w:t>settlement, we paid a $2 million fine and were required to reduce premiums by 15% on owner’s policies under $1 million. Rate hearings will be conducted by the New York State Insurance Department (the “NYSID”) in 2007 where all rates will be considered industry-wide. The settlement clarifies practices considered wrongful under New York law by the NYAG and the NYSID, and we have agreed not to engage in those practices. We will take steps to assure that consumers are aware of the filed rates for premiums on title insurance products and that the products are correctly rated. The settlement also resolves all issues raised by the market conduct investigation of us and our subsidiaries by the NYSID except the issues of rating errors found by the NYSID. As part of the settlement, we and our subsidiaries denied any wrongdoing. Neither the fines nor the 15% rate reduction are expected to have a material impact on our earnings. We cooperated fully with the NYAG and NYSID inquiries into these matters and will continue to cooperate with the NYSID.</w:t>
      </w:r>
    </w:p>
    <w:p>
      <w:pPr>
        <w:spacing w:after="0" w:line="64"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Further, in 2006, U.S. Representative Oxley, the Chairman of the House Financial Services Committee, asked the Government Accountability Office (the GAO) to investigate the title insurance industry. Representative Oxley stated that the Committee is concerned about payments that certain title insurers have made to developers, lenders and real estate agents for referrals of title insurance business. Representative Oxley asked the GAO to examine, among other things, the foregoing relationships and the levels of pricing and competition in the title insurance industry. A congressional hearing was held regarding title insurance practices on April 27, 2006. The GAO’s report is expected in the spring of 2007. We are unable to predict the outcome of this inquiry or whether it will adversely affect our business or results of operations.</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Regulatory investigations of the insurance industry may lead to fines, settlements, new regulation or legal uncertainty, which could negatively affect our results of operations.</w:t>
      </w:r>
    </w:p>
    <w:p>
      <w:pPr>
        <w:spacing w:after="0" w:line="100"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We get inquiries and requests for information from state insurance departments, attorneys general and other regulatory agencies from time to time about various matters relating to our business. Sometimes these take the form of civil investigative subpoenas. We attempt to cooperate with all such inquiries. From time to time, we are assessed fines for violations of regulations or other matters or enter into settlements with such authorities which require us to pay money or take other actions. These fines may be significant and actions we are required to take may adversely affect our business. For a discussion of certain pending items, see “Item 3 — Legal Proceedings.”</w:t>
      </w:r>
    </w:p>
    <w:p>
      <w:pPr>
        <w:spacing w:after="0" w:line="137" w:lineRule="exact"/>
        <w:rPr>
          <w:sz w:val="20"/>
          <w:szCs w:val="20"/>
          <w:color w:val="auto"/>
        </w:rPr>
      </w:pPr>
    </w:p>
    <w:p>
      <w:pPr>
        <w:ind w:left="880" w:right="480"/>
        <w:spacing w:after="0" w:line="293" w:lineRule="auto"/>
        <w:rPr>
          <w:sz w:val="20"/>
          <w:szCs w:val="20"/>
          <w:color w:val="auto"/>
        </w:rPr>
      </w:pPr>
      <w:r>
        <w:rPr>
          <w:rFonts w:ascii="Times New Roman" w:cs="Times New Roman" w:eastAsia="Times New Roman" w:hAnsi="Times New Roman"/>
          <w:sz w:val="13"/>
          <w:szCs w:val="13"/>
          <w:b w:val="1"/>
          <w:bCs w:val="1"/>
          <w:i w:val="1"/>
          <w:iCs w:val="1"/>
          <w:color w:val="auto"/>
        </w:rPr>
        <w:t>Because we are dependent upon California for approximately 18 percent of our title insurance premiums, our business may be adversely affected by regulatory conditions in California.</w:t>
      </w:r>
    </w:p>
    <w:p>
      <w:pPr>
        <w:spacing w:after="0" w:line="42" w:lineRule="exact"/>
        <w:rPr>
          <w:sz w:val="20"/>
          <w:szCs w:val="20"/>
          <w:color w:val="auto"/>
        </w:rPr>
      </w:pPr>
    </w:p>
    <w:p>
      <w:pPr>
        <w:ind w:left="680" w:right="120" w:firstLine="399"/>
        <w:spacing w:after="0" w:line="261" w:lineRule="auto"/>
        <w:rPr>
          <w:sz w:val="20"/>
          <w:szCs w:val="20"/>
          <w:color w:val="auto"/>
        </w:rPr>
      </w:pPr>
      <w:r>
        <w:rPr>
          <w:rFonts w:ascii="Times New Roman" w:cs="Times New Roman" w:eastAsia="Times New Roman" w:hAnsi="Times New Roman"/>
          <w:sz w:val="13"/>
          <w:szCs w:val="13"/>
          <w:color w:val="auto"/>
        </w:rPr>
        <w:t>California is the largest source of revenue for the title insurance industry and, in 2006, California-based premiums accounted for 38.7% of premiums earned by our direct operations and 2.1% of our agency premium revenues. In the aggregate, California accounted for approximately 18% of our total title insurance premiums for 2006. A significant part of our revenues and profitability are therefore subject to our operations in California and to the prevailing regulatory conditions in California. Adverse regulatory developments in California, which could include reductions in the maximum rates permitted to be charged, inadequate rate increases or more fundamental changes in the design or implementation of the California title insurance regulatory framework, could have a material adverse effect on our results of operations and financial condition.</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If the rating agencies downgrade our company our results of operations and competitive position in the title insurance industry may suffer.</w:t>
      </w:r>
    </w:p>
    <w:p>
      <w:pPr>
        <w:spacing w:after="0" w:line="100"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Ratings have always been an important factor in establishing the competitive position of insurance companies. Our title insurance subsidiaries are rated by S&amp;P, Moody’s, Fitch, A.M. Best, Demotech and LACE. Ratings reflect the opinion of a rating agency with regard to an insurance company’s or insurance holding company’s financial strength, operating performance and ability to meet its obligations to policyholders and are not evaluations directed to investors. In connection with the announcement of the Asset Contribution and the 2006 Distribution, A.M. Best revised their outlook on our ratings to positive from stable and Moody’s and Fitch affirmed financial strength ratings of A3 and A-, respectively. After the completion of the 2006 Distribution, Fitch upgraded its financial strength rating to A. Our ratings are subject to continued periodic review by those entities and the continued retention of those ratings cannot be assured. If our ratings are reduced from their current levels by those entities, our results of operations could be adversely affected.</w:t>
      </w: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0" w:name="page21"/>
    <w:bookmarkEnd w:id="20"/>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Our rate of growth could be adversely affected if we are unable to acquire suitable acquisition candidates.</w:t>
      </w:r>
    </w:p>
    <w:p>
      <w:pPr>
        <w:spacing w:after="0" w:line="100"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As part of our growth strategy, we have made numerous acquisitions and we plan to continue to acquire complementary businesses, products and services. This strategy depends on our ability to identify suitable acquisition candidates and, assuming we find them, to finance such acquisitions on acceptable terms. We have historically used, and in the future may continue to use, a variety of sources of financing to fund our acquisitions, including cash from operations, debt and equity. Our ability to finance our acquisitions is subject to a number of risks, including the availability of adequate cash reserves from operations or of acceptable financing terms and variability in our stock price. These factors may inhibit our ability to pursue attractive acquisition targets. If we are unable to acquire suitable acquisition candidates, we may experience slower growth.</w:t>
      </w:r>
    </w:p>
    <w:p>
      <w:pPr>
        <w:spacing w:after="0" w:line="137" w:lineRule="exact"/>
        <w:rPr>
          <w:sz w:val="20"/>
          <w:szCs w:val="20"/>
          <w:color w:val="auto"/>
        </w:rPr>
      </w:pPr>
    </w:p>
    <w:p>
      <w:pPr>
        <w:ind w:left="880" w:right="60"/>
        <w:spacing w:after="0" w:line="272" w:lineRule="auto"/>
        <w:rPr>
          <w:sz w:val="20"/>
          <w:szCs w:val="20"/>
          <w:color w:val="auto"/>
        </w:rPr>
      </w:pPr>
      <w:r>
        <w:rPr>
          <w:rFonts w:ascii="Times New Roman" w:cs="Times New Roman" w:eastAsia="Times New Roman" w:hAnsi="Times New Roman"/>
          <w:sz w:val="13"/>
          <w:szCs w:val="13"/>
          <w:b w:val="1"/>
          <w:bCs w:val="1"/>
          <w:i w:val="1"/>
          <w:iCs w:val="1"/>
          <w:color w:val="auto"/>
        </w:rPr>
        <w:t>Our management has articulated an ongoing strategy to seek growth through acquisitions in lines of business that will not necessarily be limited to our traditional areas of focus or geographic areas. This expansion of our business subjects us to associated risks, such as the diversion of management’s attention and lack of experience in operating such businesses, and may affect our credit and ability to repay our debt.</w:t>
      </w:r>
    </w:p>
    <w:p>
      <w:pPr>
        <w:spacing w:after="0" w:line="56" w:lineRule="exact"/>
        <w:rPr>
          <w:sz w:val="20"/>
          <w:szCs w:val="20"/>
          <w:color w:val="auto"/>
        </w:rPr>
      </w:pPr>
    </w:p>
    <w:p>
      <w:pPr>
        <w:ind w:left="680" w:right="120" w:firstLine="399"/>
        <w:spacing w:after="0" w:line="261" w:lineRule="auto"/>
        <w:rPr>
          <w:sz w:val="20"/>
          <w:szCs w:val="20"/>
          <w:color w:val="auto"/>
        </w:rPr>
      </w:pPr>
      <w:r>
        <w:rPr>
          <w:rFonts w:ascii="Times New Roman" w:cs="Times New Roman" w:eastAsia="Times New Roman" w:hAnsi="Times New Roman"/>
          <w:sz w:val="13"/>
          <w:szCs w:val="13"/>
          <w:color w:val="auto"/>
        </w:rPr>
        <w:t>Our management has stated that we may make acquisitions in lines of business that are not directly tied to or synergistic with our core operating segments. Accordingly, we have in the past year acquired, and may in the future acquire, businesses in industries or geographic areas with which management is less familiar than we are with our core businesses. These activities involve risks that could adversely affect our operating results, such as diversion of management’s attention and lack of substantial experience in operating such businesses. There can be no guarantee that we will not enter into transactions or make acquisitions that will cause us to incur additional debt, increase our exposure to market and other risks and cause our credit or financial strength ratings to decline.</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We may encounter difficulties managing our growth and successfully integrating new businesses, which could adversely affect our results of operations.</w:t>
      </w:r>
    </w:p>
    <w:p>
      <w:pPr>
        <w:spacing w:after="0" w:line="100" w:lineRule="exact"/>
        <w:rPr>
          <w:sz w:val="20"/>
          <w:szCs w:val="20"/>
          <w:color w:val="auto"/>
        </w:rPr>
      </w:pPr>
    </w:p>
    <w:p>
      <w:pPr>
        <w:ind w:left="680" w:right="40" w:firstLine="399"/>
        <w:spacing w:after="0" w:line="286" w:lineRule="auto"/>
        <w:rPr>
          <w:sz w:val="20"/>
          <w:szCs w:val="20"/>
          <w:color w:val="auto"/>
        </w:rPr>
      </w:pPr>
      <w:r>
        <w:rPr>
          <w:rFonts w:ascii="Times New Roman" w:cs="Times New Roman" w:eastAsia="Times New Roman" w:hAnsi="Times New Roman"/>
          <w:sz w:val="13"/>
          <w:szCs w:val="13"/>
          <w:color w:val="auto"/>
        </w:rPr>
        <w:t>We have historically achieved growth through a combination of developing new products and services and increasing our market share for existing products and acquisitions. Part of our strategy is to pursue opportunities to diversify and expand our operations by acquiring or making investments in other companies. The success of each acquisition will depend upon:</w:t>
      </w:r>
    </w:p>
    <w:p>
      <w:pPr>
        <w:spacing w:after="0" w:line="47" w:lineRule="exact"/>
        <w:rPr>
          <w:sz w:val="20"/>
          <w:szCs w:val="20"/>
          <w:color w:val="auto"/>
        </w:rPr>
      </w:pPr>
    </w:p>
    <w:p>
      <w:pPr>
        <w:ind w:left="1280" w:hanging="190"/>
        <w:spacing w:after="0"/>
        <w:tabs>
          <w:tab w:leader="none" w:pos="12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integrate the acquired business’ operations, products and personnel;</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retain key personnel of the acquired business;</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expand our financial and management controls and reporting systems and procedures;</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maintain the customers and goodwill of the acquired business; and</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unexpected costs or unforeseen liabilities associated with the acquired business.</w:t>
      </w:r>
    </w:p>
    <w:p>
      <w:pPr>
        <w:spacing w:after="0" w:line="96" w:lineRule="exact"/>
        <w:rPr>
          <w:sz w:val="20"/>
          <w:szCs w:val="20"/>
          <w:color w:val="auto"/>
        </w:rPr>
      </w:pPr>
    </w:p>
    <w:p>
      <w:pPr>
        <w:ind w:left="680" w:right="140" w:firstLine="399"/>
        <w:spacing w:after="0" w:line="263" w:lineRule="auto"/>
        <w:rPr>
          <w:sz w:val="20"/>
          <w:szCs w:val="20"/>
          <w:color w:val="auto"/>
        </w:rPr>
      </w:pPr>
      <w:r>
        <w:rPr>
          <w:rFonts w:ascii="Times New Roman" w:cs="Times New Roman" w:eastAsia="Times New Roman" w:hAnsi="Times New Roman"/>
          <w:sz w:val="13"/>
          <w:szCs w:val="13"/>
          <w:color w:val="auto"/>
        </w:rPr>
        <w:t>The integration of two previously separate companies is a challenging, time-consuming and costly process. It is possible that the integration process could result in the loss of key employees, the disruption of each company’s ongoing businesses or inconsistencies in standards, controls, procedures and policies that adversely affect each company’s ability to maintain relationships with suppliers, customers and employees or to achieve the anticipated benefits of the combination. In addition, any successful integration of companies will require the dedication of significant management resources, which will temporarily detract attention from our day-to-day businesses.</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We are a holding company and depend on distributions from our subsidiaries for cash.</w:t>
      </w:r>
    </w:p>
    <w:p>
      <w:pPr>
        <w:spacing w:after="0" w:line="100" w:lineRule="exact"/>
        <w:rPr>
          <w:sz w:val="20"/>
          <w:szCs w:val="20"/>
          <w:color w:val="auto"/>
        </w:rPr>
      </w:pPr>
    </w:p>
    <w:p>
      <w:pPr>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We are a holding company whose primary assets are the securities of our operating subsidiaries. Our ability to pay interest on our outstanding debt and our other obligations and to pay dividends is dependent on the ability of our subsidiaries to pay dividends or make other distributions or payments to us. Our subsidiaries are not obligated to make funds available to us. If our operating subsidiaries are not able to pay dividends to us, we may not be able to meet our obligations or pay dividends on our common stock.</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21" w:name="page22"/>
    <w:bookmarkEnd w:id="21"/>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jc w:val="both"/>
        <w:ind w:left="680" w:firstLine="399"/>
        <w:spacing w:after="0" w:line="269" w:lineRule="auto"/>
        <w:rPr>
          <w:sz w:val="20"/>
          <w:szCs w:val="20"/>
          <w:color w:val="auto"/>
        </w:rPr>
      </w:pPr>
      <w:r>
        <w:rPr>
          <w:rFonts w:ascii="Times New Roman" w:cs="Times New Roman" w:eastAsia="Times New Roman" w:hAnsi="Times New Roman"/>
          <w:sz w:val="13"/>
          <w:szCs w:val="13"/>
          <w:color w:val="auto"/>
        </w:rPr>
        <w:t>Our title insurance and specialty insurance subsidiaries must comply with state laws which require them to maintain minimum amounts of working capital, surplus and reserves, and place restrictions on the amount of dividends that they can distribute to us. Compliance with these laws will limit the amounts our regulated subsidiaries can dividend to us. During 2007, our title insurers will be able to pay dividends or make distributions to us without prior regulatory approval of approximately $264.8 million.</w:t>
      </w:r>
    </w:p>
    <w:p>
      <w:pPr>
        <w:spacing w:after="0" w:line="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Our specialty insurance segment is a smaller, growing operation and, as a result, it will likely be difficult under current circumstances for it to be a significant source of cash to us.</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We could have conflicts with FIS, and our chief executive officer and chairman of our board of directors is also the chairman of the board of directors of FIS.</w:t>
      </w:r>
    </w:p>
    <w:p>
      <w:pPr>
        <w:spacing w:after="0" w:line="100"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Conflicts may arise between FIS and us as a result of our ongoing agreements and the nature of our respective businesses. We will seek to manage any potential conflicts through our agreements with FIS and through oversight by independent members of our board of directors. However, there can be no assurances that such measures will be effective or that we will be able to resolve all potential conflicts.</w:t>
      </w:r>
    </w:p>
    <w:p>
      <w:pPr>
        <w:spacing w:after="0" w:line="58"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Some of our executive officers and directors own substantial amounts of FIS stock and stock options. Such ownership could create or appear to create potential conflicts of interest when our directors and officers are faced with decisions that involve FIS.</w:t>
      </w:r>
    </w:p>
    <w:p>
      <w:pPr>
        <w:spacing w:after="0" w:line="47"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William P. Foley, II, is our chief executive officer and the chairman of our board of directors and the executive chairman of the board of FIS. As a result of his roles, he has obligations to us and to FIS and may have conflicts of interest with respect to matters potentially or actually involving or affecting our and FIS’s respective businesses. In addition, Mr. Foley may also have conflicts of time with respect to his multiple responsibilities. If his duties to either of these companies require more time than Mr. Foley is able to allot, then his oversight of that company’s activities could be diminished. Finally, five of our directors, including Mr. Foley, are also directors of FIS.</w:t>
      </w:r>
    </w:p>
    <w:p>
      <w:pPr>
        <w:spacing w:after="0" w:line="137" w:lineRule="exact"/>
        <w:rPr>
          <w:sz w:val="20"/>
          <w:szCs w:val="20"/>
          <w:color w:val="auto"/>
        </w:rPr>
      </w:pPr>
    </w:p>
    <w:p>
      <w:pPr>
        <w:ind w:left="880" w:right="440"/>
        <w:spacing w:after="0" w:line="293" w:lineRule="auto"/>
        <w:rPr>
          <w:sz w:val="20"/>
          <w:szCs w:val="20"/>
          <w:color w:val="auto"/>
        </w:rPr>
      </w:pPr>
      <w:r>
        <w:rPr>
          <w:rFonts w:ascii="Times New Roman" w:cs="Times New Roman" w:eastAsia="Times New Roman" w:hAnsi="Times New Roman"/>
          <w:sz w:val="13"/>
          <w:szCs w:val="13"/>
          <w:b w:val="1"/>
          <w:bCs w:val="1"/>
          <w:i w:val="1"/>
          <w:iCs w:val="1"/>
          <w:color w:val="auto"/>
        </w:rPr>
        <w:t>If the 2006 Distribution does not constitute a tax free distribution under Section 355 of the Internal Revenue Code or the Old FNF-FIS merger does not constitute a tax free reorganization under Section 368(a) of the code, then we may have to indemnify FIS or Old FNF for payment of taxes and tax-related losses.</w:t>
      </w:r>
    </w:p>
    <w:p>
      <w:pPr>
        <w:spacing w:after="0" w:line="42" w:lineRule="exact"/>
        <w:rPr>
          <w:sz w:val="20"/>
          <w:szCs w:val="20"/>
          <w:color w:val="auto"/>
        </w:rPr>
      </w:pPr>
    </w:p>
    <w:p>
      <w:pPr>
        <w:ind w:left="680" w:right="60" w:firstLine="399"/>
        <w:spacing w:after="0" w:line="257" w:lineRule="auto"/>
        <w:rPr>
          <w:sz w:val="20"/>
          <w:szCs w:val="20"/>
          <w:color w:val="auto"/>
        </w:rPr>
      </w:pPr>
      <w:r>
        <w:rPr>
          <w:rFonts w:ascii="Times New Roman" w:cs="Times New Roman" w:eastAsia="Times New Roman" w:hAnsi="Times New Roman"/>
          <w:sz w:val="13"/>
          <w:szCs w:val="13"/>
          <w:color w:val="auto"/>
        </w:rPr>
        <w:t>Under a tax disaffiliation agreement, which we were required to enter into with Old FNF and FIS as a condition to the closing under the SEDA, we are required to indemnify Old FNF and FIS for taxes and tax-related losses (including stockholder suits) if the 2006 Distribution were determined to be taxable either to Old FNF or the Old FNF stockholders or both, unless such adverse determination were the result of a breach by FIS of its agreement not to take any action within its control that would cause the 2006 Distribution to be taxable or the result of an acquisition of FIS stock within the control of FIS or an FIS subsidiary. Old FNF estimated that the amount of our indemnification obligation for the amount of tax on Old FNF’s transfer of our stock in the distribution could be in the range of $150 million and possibly greater depending on, among other things, the value of our stock at the time of the 2006 Distribution. In addition, we are required under the tax disaffiliation agreement to indemnify Old FNF and FIS for taxes and tax-related losses (including stockholder suits) in the event the Old FNF-FIS merger were determined to be taxable. Old FNF estimated that the amount of our indemnification obligation for the amount of tax on Old FNF’s transfer and retirement of its FIS stock in the merger could be in the range of $1 billion and possibly greater depending on, among other things, the value of FIS’s stock at the time of the merger.</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FNF may be affected by significant restrictions following the merger with respect to certain actions that could jeopardize the tax free status of the distribution or the merger.</w:t>
      </w:r>
    </w:p>
    <w:p>
      <w:pPr>
        <w:spacing w:after="0" w:line="100" w:lineRule="exact"/>
        <w:rPr>
          <w:sz w:val="20"/>
          <w:szCs w:val="20"/>
          <w:color w:val="auto"/>
        </w:rPr>
      </w:pPr>
    </w:p>
    <w:p>
      <w:pPr>
        <w:jc w:val="both"/>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Even if the 2006 Distribution otherwise qualifies as a spin-off under Section 355 of the Internal Revenue Code of 1986, as amended, which we refer to as the Internal Revenue Code, the distribution of our common stock to the Old FNF stockholders may not qualify as tax free to Old FNF (or its successor upon the consummation of the merger, FIS) under Section 355(e) of the Internal Revenue Code, if 50% or more of our stock is acquired as part of a plan or series of related transactions that includes the 2006 Distribution.</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22" w:name="page23"/>
    <w:bookmarkEnd w:id="22"/>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In order to help preserve the tax free treatment of the 2006 Distribution, we have agreed not to take certain actions without first obtaining the consent of certain officers of FIS or obtaining an opinion from a nationally recognized law firm or accounting firm that such transaction will not cause the 2006 Distribution to be taxable under Section 355(e). In general, such actions would include, for a period of two years after the 2006 Distribution, engaging in certain transactions involving (i) the acquisition of our stock or (ii) the issuance of shares of our stock.</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Provisions of our certificate of incorporation may prevent us from receiving the benefit of certain corporate opportunities.</w:t>
      </w:r>
    </w:p>
    <w:p>
      <w:pPr>
        <w:spacing w:after="0" w:line="100" w:lineRule="exact"/>
        <w:rPr>
          <w:sz w:val="20"/>
          <w:szCs w:val="20"/>
          <w:color w:val="auto"/>
        </w:rPr>
      </w:pPr>
    </w:p>
    <w:p>
      <w:pPr>
        <w:ind w:left="680" w:right="140" w:firstLine="399"/>
        <w:spacing w:after="0" w:line="263" w:lineRule="auto"/>
        <w:rPr>
          <w:sz w:val="20"/>
          <w:szCs w:val="20"/>
          <w:color w:val="auto"/>
        </w:rPr>
      </w:pPr>
      <w:r>
        <w:rPr>
          <w:rFonts w:ascii="Times New Roman" w:cs="Times New Roman" w:eastAsia="Times New Roman" w:hAnsi="Times New Roman"/>
          <w:sz w:val="13"/>
          <w:szCs w:val="13"/>
          <w:color w:val="auto"/>
        </w:rPr>
        <w:t>Because FIS may engage in some of the same activities in which we engage, there is a risk that we may be in direct competition with FIS over business activities and corporate opportunities. To address these potential conflicts, a corporate opportunity policy is incorporated into our certificate of incorporation. Among other things, this policy provides that FIS has no duty not to compete with us. The policy also limits the situations in which one of our directors or officers, if also a director or officer of FIS, must offer corporate opportunities to us of which such individual becomes aware. These provisions may limit the corporate opportunities of which we are made aware or which are offered to us.</w:t>
      </w:r>
    </w:p>
    <w:p>
      <w:pPr>
        <w:spacing w:after="0" w:line="137" w:lineRule="exact"/>
        <w:rPr>
          <w:sz w:val="20"/>
          <w:szCs w:val="20"/>
          <w:color w:val="auto"/>
        </w:rPr>
      </w:pPr>
    </w:p>
    <w:p>
      <w:pPr>
        <w:ind w:left="880" w:right="240"/>
        <w:spacing w:after="0" w:line="293" w:lineRule="auto"/>
        <w:rPr>
          <w:sz w:val="20"/>
          <w:szCs w:val="20"/>
          <w:color w:val="auto"/>
        </w:rPr>
      </w:pPr>
      <w:r>
        <w:rPr>
          <w:rFonts w:ascii="Times New Roman" w:cs="Times New Roman" w:eastAsia="Times New Roman" w:hAnsi="Times New Roman"/>
          <w:sz w:val="13"/>
          <w:szCs w:val="13"/>
          <w:b w:val="1"/>
          <w:bCs w:val="1"/>
          <w:i w:val="1"/>
          <w:iCs w:val="1"/>
          <w:color w:val="auto"/>
        </w:rPr>
        <w:t>The markets in which our principal operating subsidiaries operate are highly competitive. Some of our competitors have greater resources than us, and we may face competition from new entrants with alternative products or services.</w:t>
      </w:r>
    </w:p>
    <w:p>
      <w:pPr>
        <w:spacing w:after="0" w:line="42" w:lineRule="exact"/>
        <w:rPr>
          <w:sz w:val="20"/>
          <w:szCs w:val="20"/>
          <w:color w:val="auto"/>
        </w:rPr>
      </w:pPr>
    </w:p>
    <w:p>
      <w:pPr>
        <w:ind w:left="680" w:right="180" w:firstLine="399"/>
        <w:spacing w:after="0" w:line="261" w:lineRule="auto"/>
        <w:rPr>
          <w:sz w:val="20"/>
          <w:szCs w:val="20"/>
          <w:color w:val="auto"/>
        </w:rPr>
      </w:pPr>
      <w:r>
        <w:rPr>
          <w:rFonts w:ascii="Times New Roman" w:cs="Times New Roman" w:eastAsia="Times New Roman" w:hAnsi="Times New Roman"/>
          <w:sz w:val="13"/>
          <w:szCs w:val="13"/>
          <w:color w:val="auto"/>
        </w:rPr>
        <w:t>The title insurance industry is highly competitive. According to Demotech, the top five title insurance companies accounted for 91.8% of net premiums collected in 2005. Over 40 independent title insurance companies accounted for the remaining 8.2% of the market. The number and size of competing companies varies in the different geographic areas in which we conduct our title insurance business. In our principal markets, competitors include other major title underwriters such as The First American Corporation, LandAmerica Financial Group, Inc., Old Republic International Corporation and Stewart Information Services Corporation, as well as numerous smaller title insurance companies, underwritten title companies, and independent agency operations at the regional and local level. These smaller companies may expand into other markets in which we compete.</w:t>
      </w:r>
    </w:p>
    <w:p>
      <w:pPr>
        <w:spacing w:after="0" w:line="62" w:lineRule="exact"/>
        <w:rPr>
          <w:sz w:val="20"/>
          <w:szCs w:val="20"/>
          <w:color w:val="auto"/>
        </w:rPr>
      </w:pPr>
    </w:p>
    <w:p>
      <w:pPr>
        <w:jc w:val="both"/>
        <w:ind w:left="680" w:right="220" w:firstLine="399"/>
        <w:spacing w:after="0" w:line="269" w:lineRule="auto"/>
        <w:rPr>
          <w:sz w:val="20"/>
          <w:szCs w:val="20"/>
          <w:color w:val="auto"/>
        </w:rPr>
      </w:pPr>
      <w:r>
        <w:rPr>
          <w:rFonts w:ascii="Times New Roman" w:cs="Times New Roman" w:eastAsia="Times New Roman" w:hAnsi="Times New Roman"/>
          <w:sz w:val="13"/>
          <w:szCs w:val="13"/>
          <w:color w:val="auto"/>
        </w:rPr>
        <w:t>Also, the removal of regulatory barriers might result in new competitors entering the title insurance business, and those new competitors may include companies that have greater financial resources than we do and possess other competitive advantages. Competition among the major title insurance companies, expansion by smaller regional companies and any new entrants with alternative products could affect our business operations and financial condition.</w:t>
      </w:r>
    </w:p>
    <w:p>
      <w:pPr>
        <w:spacing w:after="0" w:line="58"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From time to time, we adjust the title insurance rates we charge in a particular state as a result of competitive conditions in that state. For example, in response to recent rate reductions by certain of our title insurance competitors, in 2006 we adjusted certain title insurance premium and escrow fees in California for refinancings and sale transactions. This change could have an adverse impact on our results of operations, although its ultimate impact will depend, among other things, on the volume and mix of our future business in that state and within various portions of the state.</w:t>
      </w:r>
    </w:p>
    <w:p>
      <w:pPr>
        <w:spacing w:after="0" w:line="62" w:lineRule="exact"/>
        <w:rPr>
          <w:sz w:val="20"/>
          <w:szCs w:val="20"/>
          <w:color w:val="auto"/>
        </w:rPr>
      </w:pPr>
    </w:p>
    <w:p>
      <w:pPr>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The markets for our other products and services are also very competitive, and we expect the markets for all of our products and services to remain highly competitive. Our failure to remain competitive may have a material adverse effect on our business, financial condition and results of operations.</w:t>
      </w:r>
    </w:p>
    <w:p>
      <w:pPr>
        <w:spacing w:after="0" w:line="121" w:lineRule="exact"/>
        <w:rPr>
          <w:sz w:val="20"/>
          <w:szCs w:val="20"/>
          <w:color w:val="auto"/>
        </w:rPr>
      </w:pPr>
    </w:p>
    <w:p>
      <w:pPr>
        <w:ind w:left="680"/>
        <w:spacing w:after="0"/>
        <w:tabs>
          <w:tab w:leader="none" w:pos="1580" w:val="left"/>
        </w:tabs>
        <w:rPr>
          <w:sz w:val="20"/>
          <w:szCs w:val="20"/>
          <w:color w:val="auto"/>
        </w:rPr>
      </w:pPr>
      <w:r>
        <w:rPr>
          <w:rFonts w:ascii="Times New Roman" w:cs="Times New Roman" w:eastAsia="Times New Roman" w:hAnsi="Times New Roman"/>
          <w:sz w:val="13"/>
          <w:szCs w:val="13"/>
          <w:b w:val="1"/>
          <w:bCs w:val="1"/>
          <w:color w:val="auto"/>
        </w:rPr>
        <w:t>Item 1B.</w:t>
      </w:r>
      <w:r>
        <w:rPr>
          <w:sz w:val="20"/>
          <w:szCs w:val="20"/>
          <w:color w:val="auto"/>
        </w:rPr>
        <w:tab/>
      </w:r>
      <w:r>
        <w:rPr>
          <w:rFonts w:ascii="Times New Roman" w:cs="Times New Roman" w:eastAsia="Times New Roman" w:hAnsi="Times New Roman"/>
          <w:sz w:val="12"/>
          <w:szCs w:val="12"/>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None.</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23" w:name="page24"/>
    <w:bookmarkEnd w:id="23"/>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31" w:lineRule="exact"/>
        <w:rPr>
          <w:sz w:val="20"/>
          <w:szCs w:val="20"/>
          <w:color w:val="auto"/>
        </w:rPr>
      </w:pPr>
    </w:p>
    <w:p>
      <w:pPr>
        <w:ind w:left="680"/>
        <w:spacing w:after="0"/>
        <w:tabs>
          <w:tab w:leader="none" w:pos="1480" w:val="left"/>
        </w:tabs>
        <w:rPr>
          <w:sz w:val="20"/>
          <w:szCs w:val="20"/>
          <w:color w:val="auto"/>
        </w:rPr>
      </w:pPr>
      <w:r>
        <w:rPr>
          <w:rFonts w:ascii="Times New Roman" w:cs="Times New Roman" w:eastAsia="Times New Roman" w:hAnsi="Times New Roman"/>
          <w:sz w:val="13"/>
          <w:szCs w:val="13"/>
          <w:b w:val="1"/>
          <w:bCs w:val="1"/>
          <w:color w:val="auto"/>
        </w:rPr>
        <w:t>Item 2.</w:t>
      </w:r>
      <w:r>
        <w:rPr>
          <w:sz w:val="20"/>
          <w:szCs w:val="20"/>
          <w:color w:val="auto"/>
        </w:rPr>
        <w:tab/>
      </w:r>
      <w:r>
        <w:rPr>
          <w:rFonts w:ascii="Times New Roman" w:cs="Times New Roman" w:eastAsia="Times New Roman" w:hAnsi="Times New Roman"/>
          <w:sz w:val="12"/>
          <w:szCs w:val="12"/>
          <w:b w:val="1"/>
          <w:bCs w:val="1"/>
          <w:i w:val="1"/>
          <w:iCs w:val="1"/>
          <w:color w:val="auto"/>
        </w:rPr>
        <w:t>Properties</w:t>
      </w:r>
    </w:p>
    <w:p>
      <w:pPr>
        <w:spacing w:after="0" w:line="100" w:lineRule="exact"/>
        <w:rPr>
          <w:sz w:val="20"/>
          <w:szCs w:val="20"/>
          <w:color w:val="auto"/>
        </w:rPr>
      </w:pPr>
    </w:p>
    <w:p>
      <w:pPr>
        <w:ind w:left="680" w:right="120" w:firstLine="399"/>
        <w:spacing w:after="0" w:line="286" w:lineRule="auto"/>
        <w:rPr>
          <w:sz w:val="20"/>
          <w:szCs w:val="20"/>
          <w:color w:val="auto"/>
        </w:rPr>
      </w:pPr>
      <w:r>
        <w:rPr>
          <w:rFonts w:ascii="Times New Roman" w:cs="Times New Roman" w:eastAsia="Times New Roman" w:hAnsi="Times New Roman"/>
          <w:sz w:val="13"/>
          <w:szCs w:val="13"/>
          <w:color w:val="auto"/>
        </w:rPr>
        <w:t>The Company has its Corporate headquarters on its campus in Jacksonville, Florida, which it leases from its former affiliate, FIS. The majority of our branch offices are leased from third parties. See Note K to Notes to Consolidated Financial Statements.</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As of December 31, 2006, we leased office and storage space as follows: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9000" w:type="dxa"/>
            <w:vAlign w:val="bottom"/>
          </w:tcPr>
          <w:p>
            <w:pPr>
              <w:spacing w:after="0"/>
              <w:rPr>
                <w:sz w:val="10"/>
                <w:szCs w:val="10"/>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Number of</w:t>
            </w:r>
          </w:p>
        </w:tc>
      </w:tr>
      <w:tr>
        <w:trPr>
          <w:trHeight w:val="127"/>
        </w:trPr>
        <w:tc>
          <w:tcPr>
            <w:tcW w:w="9000" w:type="dxa"/>
            <w:vAlign w:val="bottom"/>
          </w:tcPr>
          <w:p>
            <w:pPr>
              <w:spacing w:after="0"/>
              <w:rPr>
                <w:sz w:val="11"/>
                <w:szCs w:val="1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Locations(1)</w:t>
            </w:r>
          </w:p>
        </w:tc>
      </w:tr>
      <w:tr>
        <w:trPr>
          <w:trHeight w:val="29"/>
        </w:trPr>
        <w:tc>
          <w:tcPr>
            <w:tcW w:w="90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California</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506</w:t>
            </w:r>
          </w:p>
        </w:tc>
      </w:tr>
      <w:tr>
        <w:trPr>
          <w:trHeight w:val="157"/>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Arizona</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151</w:t>
            </w:r>
          </w:p>
        </w:tc>
      </w:tr>
      <w:tr>
        <w:trPr>
          <w:trHeight w:val="15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Texas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142</w:t>
            </w:r>
          </w:p>
        </w:tc>
      </w:tr>
      <w:tr>
        <w:trPr>
          <w:trHeight w:val="157"/>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Illinois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104</w:t>
            </w:r>
          </w:p>
        </w:tc>
      </w:tr>
      <w:tr>
        <w:trPr>
          <w:trHeight w:val="15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Florida</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89</w:t>
            </w:r>
          </w:p>
        </w:tc>
      </w:tr>
      <w:tr>
        <w:trPr>
          <w:trHeight w:val="157"/>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Oregon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80</w:t>
            </w:r>
          </w:p>
        </w:tc>
      </w:tr>
      <w:tr>
        <w:trPr>
          <w:trHeight w:val="15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Washington</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68</w:t>
            </w:r>
          </w:p>
        </w:tc>
      </w:tr>
      <w:tr>
        <w:trPr>
          <w:trHeight w:val="157"/>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Nevada</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36</w:t>
            </w:r>
          </w:p>
        </w:tc>
      </w:tr>
      <w:tr>
        <w:trPr>
          <w:trHeight w:val="15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New York</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34</w:t>
            </w:r>
          </w:p>
        </w:tc>
      </w:tr>
      <w:tr>
        <w:trPr>
          <w:trHeight w:val="157"/>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Indiana</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w:t>
            </w:r>
          </w:p>
        </w:tc>
      </w:tr>
      <w:tr>
        <w:trPr>
          <w:trHeight w:val="15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Ohio</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29</w:t>
            </w:r>
          </w:p>
        </w:tc>
      </w:tr>
      <w:tr>
        <w:trPr>
          <w:trHeight w:val="157"/>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North Carolina</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w:t>
            </w:r>
          </w:p>
        </w:tc>
      </w:tr>
      <w:tr>
        <w:trPr>
          <w:trHeight w:val="15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Michigan</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w:t>
            </w:r>
          </w:p>
        </w:tc>
      </w:tr>
      <w:tr>
        <w:trPr>
          <w:trHeight w:val="157"/>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Colorado</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w:t>
            </w:r>
          </w:p>
        </w:tc>
      </w:tr>
      <w:tr>
        <w:trPr>
          <w:trHeight w:val="15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Pennsylvania</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w:t>
            </w:r>
          </w:p>
        </w:tc>
      </w:tr>
      <w:tr>
        <w:trPr>
          <w:trHeight w:val="157"/>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Hawaii and New Jersey(1)</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w:t>
            </w:r>
          </w:p>
        </w:tc>
      </w:tr>
      <w:tr>
        <w:trPr>
          <w:trHeight w:val="15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Minnesota and Wisconsin(1)</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w:t>
            </w:r>
          </w:p>
        </w:tc>
      </w:tr>
      <w:tr>
        <w:trPr>
          <w:trHeight w:val="157"/>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Virginia</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w:t>
            </w:r>
          </w:p>
        </w:tc>
      </w:tr>
      <w:tr>
        <w:trPr>
          <w:trHeight w:val="15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Kansas and Tennessee(1)</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w:t>
            </w:r>
          </w:p>
        </w:tc>
      </w:tr>
      <w:tr>
        <w:trPr>
          <w:trHeight w:val="157"/>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Oklahoma</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w:t>
            </w:r>
          </w:p>
        </w:tc>
      </w:tr>
      <w:tr>
        <w:trPr>
          <w:trHeight w:val="15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Missouri</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w:t>
            </w:r>
          </w:p>
        </w:tc>
      </w:tr>
      <w:tr>
        <w:trPr>
          <w:trHeight w:val="157"/>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Louisiana and Massachusetts(1)</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w:t>
            </w:r>
          </w:p>
        </w:tc>
      </w:tr>
      <w:tr>
        <w:trPr>
          <w:trHeight w:val="15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Connecticut and Montana(1)</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w:t>
            </w:r>
          </w:p>
        </w:tc>
      </w:tr>
      <w:tr>
        <w:trPr>
          <w:trHeight w:val="157"/>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Georgia, Maryland and New Mexico(1)</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w:t>
            </w:r>
          </w:p>
        </w:tc>
      </w:tr>
      <w:tr>
        <w:trPr>
          <w:trHeight w:val="15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Alabama</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w:t>
            </w:r>
          </w:p>
        </w:tc>
      </w:tr>
      <w:tr>
        <w:trPr>
          <w:trHeight w:val="157"/>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South Carolina</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w:t>
            </w:r>
          </w:p>
        </w:tc>
      </w:tr>
      <w:tr>
        <w:trPr>
          <w:trHeight w:val="15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Maine</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w:t>
            </w:r>
          </w:p>
        </w:tc>
      </w:tr>
      <w:tr>
        <w:trPr>
          <w:trHeight w:val="171"/>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Washington D.C., Delaware, Idaho, Kentucky, Mississippi, Nebraska, New Hampshire, Rhode Island, Utah, and Vermont(1)</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53975</wp:posOffset>
            </wp:positionV>
            <wp:extent cx="82359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(1)  Represents the number of locations in each state listed.</w:t>
      </w:r>
    </w:p>
    <w:p>
      <w:pPr>
        <w:spacing w:after="0" w:line="171" w:lineRule="exact"/>
        <w:rPr>
          <w:sz w:val="20"/>
          <w:szCs w:val="20"/>
          <w:color w:val="auto"/>
        </w:rPr>
      </w:pPr>
    </w:p>
    <w:p>
      <w:pPr>
        <w:ind w:left="680"/>
        <w:spacing w:after="0"/>
        <w:tabs>
          <w:tab w:leader="none" w:pos="1480" w:val="left"/>
        </w:tabs>
        <w:rPr>
          <w:sz w:val="20"/>
          <w:szCs w:val="20"/>
          <w:color w:val="auto"/>
        </w:rPr>
      </w:pPr>
      <w:r>
        <w:rPr>
          <w:rFonts w:ascii="Times New Roman" w:cs="Times New Roman" w:eastAsia="Times New Roman" w:hAnsi="Times New Roman"/>
          <w:sz w:val="13"/>
          <w:szCs w:val="13"/>
          <w:b w:val="1"/>
          <w:bCs w:val="1"/>
          <w:color w:val="auto"/>
        </w:rPr>
        <w:t>Item 3.</w:t>
      </w:r>
      <w:r>
        <w:rPr>
          <w:sz w:val="20"/>
          <w:szCs w:val="20"/>
          <w:color w:val="auto"/>
        </w:rPr>
        <w:tab/>
      </w:r>
      <w:r>
        <w:rPr>
          <w:rFonts w:ascii="Times New Roman" w:cs="Times New Roman" w:eastAsia="Times New Roman" w:hAnsi="Times New Roman"/>
          <w:sz w:val="13"/>
          <w:szCs w:val="13"/>
          <w:b w:val="1"/>
          <w:bCs w:val="1"/>
          <w:i w:val="1"/>
          <w:iCs w:val="1"/>
          <w:color w:val="auto"/>
        </w:rPr>
        <w:t>Legal Proceedings</w:t>
      </w:r>
    </w:p>
    <w:p>
      <w:pPr>
        <w:spacing w:after="0" w:line="100" w:lineRule="exact"/>
        <w:rPr>
          <w:sz w:val="20"/>
          <w:szCs w:val="20"/>
          <w:color w:val="auto"/>
        </w:rPr>
      </w:pPr>
    </w:p>
    <w:p>
      <w:pPr>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In the ordinary course of business, we are involved in various pending and threatened litigation matters related to our operations, some of which include claims for punitive or exemplary damages. We believe that no actions, other than those listed below, depart from customary litigation incidental to our business. As background to the disclosure below, please note the following:</w:t>
      </w:r>
    </w:p>
    <w:p>
      <w:pPr>
        <w:spacing w:after="0" w:line="58" w:lineRule="exact"/>
        <w:rPr>
          <w:sz w:val="20"/>
          <w:szCs w:val="20"/>
          <w:color w:val="auto"/>
        </w:rPr>
      </w:pPr>
    </w:p>
    <w:p>
      <w:pPr>
        <w:ind w:left="1280" w:right="160" w:hanging="190"/>
        <w:spacing w:after="0" w:line="286" w:lineRule="auto"/>
        <w:tabs>
          <w:tab w:leader="none" w:pos="12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matters raise difficult and complicated factual and legal issues and are subject to many uncertainties and complexities, including but not limited to the underlying facts of each matter, novel legal issues,</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4" w:name="page25"/>
    <w:bookmarkEnd w:id="24"/>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280" w:right="20"/>
        <w:spacing w:after="0" w:line="261" w:lineRule="auto"/>
        <w:rPr>
          <w:sz w:val="20"/>
          <w:szCs w:val="20"/>
          <w:color w:val="auto"/>
        </w:rPr>
      </w:pPr>
      <w:r>
        <w:rPr>
          <w:rFonts w:ascii="Times New Roman" w:cs="Times New Roman" w:eastAsia="Times New Roman" w:hAnsi="Times New Roman"/>
          <w:sz w:val="13"/>
          <w:szCs w:val="13"/>
          <w:color w:val="auto"/>
        </w:rPr>
        <w:t>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62" w:lineRule="exact"/>
        <w:rPr>
          <w:sz w:val="20"/>
          <w:szCs w:val="20"/>
          <w:color w:val="auto"/>
        </w:rPr>
      </w:pPr>
    </w:p>
    <w:p>
      <w:pPr>
        <w:ind w:left="1280" w:right="80" w:hanging="190"/>
        <w:spacing w:after="0" w:line="259" w:lineRule="auto"/>
        <w:tabs>
          <w:tab w:leader="none" w:pos="12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general, the dollar amount of damages sought is not specified. In those cases where plaintiffs have made a specific statement with regard to monetary damages, they often specify damages just below a jurisdictional limit regardless of the facts of the case. This represents the maximum they can seek without risking removal from state court to federal court. In our experience, monetary demands in plaintiffs’ court pleadings bear little relation to the ultimate loss, if any, we may experience.</w:t>
      </w:r>
    </w:p>
    <w:p>
      <w:pPr>
        <w:spacing w:after="0" w:line="54" w:lineRule="exact"/>
        <w:rPr>
          <w:rFonts w:ascii="Times New Roman" w:cs="Times New Roman" w:eastAsia="Times New Roman" w:hAnsi="Times New Roman"/>
          <w:sz w:val="13"/>
          <w:szCs w:val="13"/>
          <w:color w:val="auto"/>
        </w:rPr>
      </w:pPr>
    </w:p>
    <w:p>
      <w:pPr>
        <w:jc w:val="both"/>
        <w:ind w:left="1280" w:right="160" w:hanging="190"/>
        <w:spacing w:after="0" w:line="269" w:lineRule="auto"/>
        <w:tabs>
          <w:tab w:leader="none" w:pos="12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reasons specified above, it is not possible to make meaningful estimates of the amount or range of loss that could result from these matters at this time. We review these matters on an on-going basis and follow the provisions of Statement of Financial Accounting Standards (“SFAS”) No. 5, “Accounting for Contingencies” when making accrual and disclosure decisions. When assessing reasonably possible and probable outcomes, we base our decision on our assessment of the ultimate outcome following all appeals.</w:t>
      </w:r>
    </w:p>
    <w:p>
      <w:pPr>
        <w:spacing w:after="0" w:line="47" w:lineRule="exact"/>
        <w:rPr>
          <w:rFonts w:ascii="Times New Roman" w:cs="Times New Roman" w:eastAsia="Times New Roman" w:hAnsi="Times New Roman"/>
          <w:sz w:val="13"/>
          <w:szCs w:val="13"/>
          <w:color w:val="auto"/>
        </w:rPr>
      </w:pPr>
    </w:p>
    <w:p>
      <w:pPr>
        <w:ind w:left="1280" w:hanging="190"/>
        <w:spacing w:after="0" w:line="286" w:lineRule="auto"/>
        <w:tabs>
          <w:tab w:leader="none" w:pos="12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opinion of our management, while some of these matters may be material to our operating results for any particular period if an unfavorable outcome results, none will have a material adverse effect on our overall financial condition.</w:t>
      </w:r>
    </w:p>
    <w:p>
      <w:pPr>
        <w:spacing w:after="0" w:line="47" w:lineRule="exact"/>
        <w:rPr>
          <w:sz w:val="20"/>
          <w:szCs w:val="20"/>
          <w:color w:val="auto"/>
        </w:rPr>
      </w:pPr>
    </w:p>
    <w:p>
      <w:pPr>
        <w:ind w:left="680" w:right="20" w:firstLine="399"/>
        <w:spacing w:after="0" w:line="255" w:lineRule="auto"/>
        <w:rPr>
          <w:sz w:val="20"/>
          <w:szCs w:val="20"/>
          <w:color w:val="auto"/>
        </w:rPr>
      </w:pPr>
      <w:r>
        <w:rPr>
          <w:rFonts w:ascii="Times New Roman" w:cs="Times New Roman" w:eastAsia="Times New Roman" w:hAnsi="Times New Roman"/>
          <w:sz w:val="13"/>
          <w:szCs w:val="13"/>
          <w:color w:val="auto"/>
        </w:rPr>
        <w:t>Several class actions are pending in Alabama (Wooley v Fidelity National Title Insurance Company and Williams v Ticor Title Insurance Company of Florida, filed on November 28, 2006 and December 19, 2006, respectively, in the U.S. District Court for the Southern District of Alabama, Southern Division), Connecticut (Lentini v. Fidelity National Title Insurance Company of New York, filed on April 13, 2006 in the U.S. District Court for the District of Connecticut), Florida (Turner v. Chicago Title Insurance Company, filed September 20, 2004 in the Circuit Court, Fourth Judicial District, in and for Nassau County, Florida), Ohio (Randleman v. Fidelity National Title Insurance Company, filed on February 15, 2006 in the U.S. District Court for the Northern District of Ohio, Western Division and Dubin v. Security Union Title Insurance Company, filed on March 12, 2003, in the Court of Common Pleas, Cuyahoga County, Ohio), New Mexico (Woodard v. Fidelity National Financial, Inc., filed on December 6, 2006 in the U.S. District Court for the District of New Mexico), New Hampshire (Anderson v. Fidelity National Title Insurance Company, filed on September 25, 2006, in New Hampshire State Court, County of Hillsborough, Northern District), Pennsylvania, (Patterson v. Fidelity National Title Insurance Company of New York, filed on October 27, 2003 in the Court of Common Pleas of Allegheny County, Pennsylvania; O’Day v. Ticor Title Insurance Company of Florida, filed on October 18, 2006 in the U.S. District Court for the Eastern District of Pennsylvania; Cohen v. Chicago Title Insurance Company, filed on January 27, 2006 in the Court of Common Pleas of Philadelphia County, Pennsylvania; and Guizarri v. Ticor Title Insurance Company, filed on October 17, 2006 in the U.S. District Court for the Eastern District of Pennsylvania) and Washington (Jepson v. Ticor Title Insurance Company, filed on November 29, 2006 in the U.S. District Court for the Western District of Washington and Braunstein v. Chicago Title Insurance Company, filed on November 22, 2006 in the U.S. District Court for the Western District of Washington at Seattle) alleging improper premiums were charged for title insurance. The cases allege that the named defendant companies failed to provide notice of premium discounts to consumers refinancing their mortgages, and failed to give discounts in refinancing transactions in violation of the filed rates. The actions seek refunds of the premiums charged and punitive damages. The Company intends to vigorously defend these actions.</w:t>
      </w:r>
    </w:p>
    <w:p>
      <w:pPr>
        <w:spacing w:after="0" w:line="67"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A class action in California (Lane v. Chicago Title Insurance Company, filed on November 4, 1999 in the Superior Court of the State of California, County of San Francisco) alleges that the Company violated the Real</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5" w:name="page26"/>
    <w:bookmarkEnd w:id="25"/>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300"/>
        <w:spacing w:after="0" w:line="286" w:lineRule="auto"/>
        <w:rPr>
          <w:sz w:val="20"/>
          <w:szCs w:val="20"/>
          <w:color w:val="auto"/>
        </w:rPr>
      </w:pPr>
      <w:r>
        <w:rPr>
          <w:rFonts w:ascii="Times New Roman" w:cs="Times New Roman" w:eastAsia="Times New Roman" w:hAnsi="Times New Roman"/>
          <w:sz w:val="13"/>
          <w:szCs w:val="13"/>
          <w:color w:val="auto"/>
        </w:rPr>
        <w:t>Estate Settlement Procedures Act and state law by giving favorable discounts or rates to builders and developers for escrow fees and requiring purchasers to use Chicago Title Insurance Company for escrow services. The action seeks refunds of the premiums charged and additional damages. The Company intends to vigorously defend this action.</w:t>
      </w:r>
    </w:p>
    <w:p>
      <w:pPr>
        <w:spacing w:after="0" w:line="47"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A class action in Texas (Alevaro v. Chicago Title Insurance Company and Ticor Title Insurance Company, filed on March 24, 2006 in the U.S. District Court for the Western District of Texas, San Antonio Division) alleges that the Company overcharged for recording fees in Arizona, California, Colorado, Oklahoma and Texas. The suit seeks to recover the recording fees for the class that was overcharged, interest and attorney’s fees. Similar suits are pending in Indiana (Roark v. Ticor Title Insurance Company and Gresh v. Chicago Title Insurance Company, each filed on April 29, 2003 in the Superior Court of Indiana, Lake County), Kansas (Doll v. Chicago Title Insurance Company, filed on September 28, 2006 in the U.S. District Court for the District of Kansas) and Missouri (Krause v. Chicago Title Insurance Company, filed on September 2, 2005 in the Circuit Court of Jackson County, Missouri). The Company intends to vigorously defend these actions.</w:t>
      </w:r>
    </w:p>
    <w:p>
      <w:pPr>
        <w:spacing w:after="0" w:line="64" w:lineRule="exact"/>
        <w:rPr>
          <w:sz w:val="20"/>
          <w:szCs w:val="20"/>
          <w:color w:val="auto"/>
        </w:rPr>
      </w:pPr>
    </w:p>
    <w:p>
      <w:pPr>
        <w:jc w:val="both"/>
        <w:ind w:left="680" w:right="200" w:firstLine="399"/>
        <w:spacing w:after="0" w:line="263" w:lineRule="auto"/>
        <w:rPr>
          <w:sz w:val="20"/>
          <w:szCs w:val="20"/>
          <w:color w:val="auto"/>
        </w:rPr>
      </w:pPr>
      <w:r>
        <w:rPr>
          <w:rFonts w:ascii="Times New Roman" w:cs="Times New Roman" w:eastAsia="Times New Roman" w:hAnsi="Times New Roman"/>
          <w:sz w:val="13"/>
          <w:szCs w:val="13"/>
          <w:color w:val="auto"/>
        </w:rPr>
        <w:t>A class action in New Mexico (Murphy v. Chicago Title Insurance Company and Fidelity National Title Insurance Company, filed on April 27, 2005 in the First Judicial District Court, County of Santa Fe, State of New Mexico) alleges the Company has engaged in anti-competitive price fixing in New Mexico. The suit seeks an injunction against price fixing and writs issued to the State regulators mandating the law be interpreted to provide a competitive market, compensatory damages, punitive damages, statutory damages, interest and attorney’s fees for the injured class. The Company intends to vigorously defend this action.</w:t>
      </w:r>
    </w:p>
    <w:p>
      <w:pPr>
        <w:spacing w:after="0" w:line="62"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Two class actions filed in Illinois (Chultum v. Fidelity National Financial, Inc., Chicago Title and Trust Company and Ticor Title Insurance Company and Collella v. Fidelity National Financial, Inc., Chicago Title and Trust Company and Ticor Title Insurance Company, each filed on May 11, 2006 in the Circuit Court of Cook County, Illinois, County Department, Chancery Division) allege the Company has paid attorneys to refer business to the Company by paying them for core title services in conjunction with orders when the attorneys, in fact, did not perform any core title services and the payments were to steer business to the Company. The suits seek compensatory damages, attorney’s fees and injunctive relief to terminate the practice. The Company intends to vigorously defend these actions.</w:t>
      </w:r>
    </w:p>
    <w:p>
      <w:pPr>
        <w:spacing w:after="0" w:line="62" w:lineRule="exact"/>
        <w:rPr>
          <w:sz w:val="20"/>
          <w:szCs w:val="20"/>
          <w:color w:val="auto"/>
        </w:rPr>
      </w:pPr>
    </w:p>
    <w:p>
      <w:pPr>
        <w:ind w:left="680" w:right="220" w:firstLine="399"/>
        <w:spacing w:after="0" w:line="269" w:lineRule="auto"/>
        <w:rPr>
          <w:sz w:val="20"/>
          <w:szCs w:val="20"/>
          <w:color w:val="auto"/>
        </w:rPr>
      </w:pPr>
      <w:r>
        <w:rPr>
          <w:rFonts w:ascii="Times New Roman" w:cs="Times New Roman" w:eastAsia="Times New Roman" w:hAnsi="Times New Roman"/>
          <w:sz w:val="13"/>
          <w:szCs w:val="13"/>
          <w:color w:val="auto"/>
        </w:rPr>
        <w:t>A class action in Connecticut (Gale v. Chicago Title Insurance Company, filed on October 16, 2006 in the U.S. District Court for the District of Connecticut) alleges that the Company uses unauthorized agents in violation of state law. The suit seeks compensatory damages, attorney’s fees and injunctive relief to terminate the practice. The Company intends to vigorously defend this action.</w:t>
      </w:r>
    </w:p>
    <w:p>
      <w:pPr>
        <w:spacing w:after="0" w:line="58" w:lineRule="exact"/>
        <w:rPr>
          <w:sz w:val="20"/>
          <w:szCs w:val="20"/>
          <w:color w:val="auto"/>
        </w:rPr>
      </w:pPr>
    </w:p>
    <w:p>
      <w:pPr>
        <w:jc w:val="both"/>
        <w:ind w:left="680" w:right="200" w:firstLine="399"/>
        <w:spacing w:after="0" w:line="269" w:lineRule="auto"/>
        <w:rPr>
          <w:sz w:val="20"/>
          <w:szCs w:val="20"/>
          <w:color w:val="auto"/>
        </w:rPr>
      </w:pPr>
      <w:r>
        <w:rPr>
          <w:rFonts w:ascii="Times New Roman" w:cs="Times New Roman" w:eastAsia="Times New Roman" w:hAnsi="Times New Roman"/>
          <w:sz w:val="13"/>
          <w:szCs w:val="13"/>
          <w:color w:val="auto"/>
        </w:rPr>
        <w:t>A class action in California (Garcia v. Ticor Title Insurance Company, filed on October 31, 2006 in the Superior Court of the State of California in and for the County of Alameda) alleges that the Company participated in a fraudulent loan scheme with mortgage brokers. The suit seeks compensatory damages, and attorney’s fees. The Company intends to vigorously defend this action.</w:t>
      </w:r>
    </w:p>
    <w:p>
      <w:pPr>
        <w:spacing w:after="0" w:line="58"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Two class actions, one in Michigan (Egerer v. Woodland Title Agency LLC, filed on September 29, 2006 in the Circuit Court for the County of Muskegon, Michigan) and one in Ohio (Carter v. Chicago Title Insurance Company, filed on November 9, 2005 in the U.S. District Court for the Northern District of Ohio, Western Division) allege the Company has violated RESPA by engaging in affiliated business arrangements in violation of RESPA. The suits seek to recover three times the title charges, interest and attorney’s fees. The Company intends to vigorously defend these actions.</w:t>
      </w:r>
    </w:p>
    <w:p>
      <w:pPr>
        <w:spacing w:after="0" w:line="62" w:lineRule="exact"/>
        <w:rPr>
          <w:sz w:val="20"/>
          <w:szCs w:val="20"/>
          <w:color w:val="auto"/>
        </w:rPr>
      </w:pPr>
    </w:p>
    <w:p>
      <w:pPr>
        <w:ind w:left="680" w:right="380" w:firstLine="399"/>
        <w:spacing w:after="0" w:line="269" w:lineRule="auto"/>
        <w:rPr>
          <w:sz w:val="20"/>
          <w:szCs w:val="20"/>
          <w:color w:val="auto"/>
        </w:rPr>
      </w:pPr>
      <w:r>
        <w:rPr>
          <w:rFonts w:ascii="Times New Roman" w:cs="Times New Roman" w:eastAsia="Times New Roman" w:hAnsi="Times New Roman"/>
          <w:sz w:val="13"/>
          <w:szCs w:val="13"/>
          <w:color w:val="auto"/>
        </w:rPr>
        <w:t>A class action in Washington (Braunstein v. Chicago Title Insurance Company, filed on November 22, 2006 in the U.S. District Court for the Western District of Washington at Seattle) alleges that the Company has violated state law by making prohibited payments for the referral of business increasing the cost of title insurance to consumers. The suit seeks compensatory damages, and attorney’s fees. The Company intends to vigorously defend this action.</w:t>
      </w:r>
    </w:p>
    <w:p>
      <w:pPr>
        <w:spacing w:after="0" w:line="58" w:lineRule="exact"/>
        <w:rPr>
          <w:sz w:val="20"/>
          <w:szCs w:val="20"/>
          <w:color w:val="auto"/>
        </w:rPr>
      </w:pPr>
    </w:p>
    <w:p>
      <w:pPr>
        <w:ind w:left="680" w:right="200" w:firstLine="399"/>
        <w:spacing w:after="0" w:line="263" w:lineRule="auto"/>
        <w:rPr>
          <w:sz w:val="20"/>
          <w:szCs w:val="20"/>
          <w:color w:val="auto"/>
        </w:rPr>
      </w:pPr>
      <w:r>
        <w:rPr>
          <w:rFonts w:ascii="Times New Roman" w:cs="Times New Roman" w:eastAsia="Times New Roman" w:hAnsi="Times New Roman"/>
          <w:sz w:val="13"/>
          <w:szCs w:val="13"/>
          <w:color w:val="auto"/>
        </w:rPr>
        <w:t>Canadian lawyers who have traditionally played a role in real property transactions in Canada allege that the Company’s practices in processing residential mortgages are the unauthorized practice of law. Their Law Societies have demanded an end to the practice, and have begun investigations into those practices. In several provinces, bills have been filed that ostensibly would affect the way we do business. The Company is unable to predict the outcome of this inquiry or whether it will adversely affect the Company’s business or results of operations. In Missouri, a</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6" w:name="page27"/>
    <w:bookmarkEnd w:id="26"/>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0"/>
        <w:spacing w:after="0" w:line="286" w:lineRule="auto"/>
        <w:rPr>
          <w:sz w:val="20"/>
          <w:szCs w:val="20"/>
          <w:color w:val="auto"/>
        </w:rPr>
      </w:pPr>
      <w:r>
        <w:rPr>
          <w:rFonts w:ascii="Times New Roman" w:cs="Times New Roman" w:eastAsia="Times New Roman" w:hAnsi="Times New Roman"/>
          <w:sz w:val="13"/>
          <w:szCs w:val="13"/>
          <w:color w:val="auto"/>
        </w:rPr>
        <w:t>class action is pending alleging that certain acts performed by the Company in closing real estate transactions are the unlawful practice of law. The Company intends to vigorously defend this action.</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None of the cases described above includes a statement as to the dollar amount of damages demanded. Instead, each of the cases includes a demand in an amount to be proved at trial.</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Two of the Ohio cases state that the damages per class member are less than the jurisdictional limit for removal to federal court.</w:t>
      </w:r>
    </w:p>
    <w:p>
      <w:pPr>
        <w:spacing w:after="0" w:line="83" w:lineRule="exact"/>
        <w:rPr>
          <w:sz w:val="20"/>
          <w:szCs w:val="20"/>
          <w:color w:val="auto"/>
        </w:rPr>
      </w:pPr>
    </w:p>
    <w:p>
      <w:pPr>
        <w:ind w:left="680" w:right="60" w:firstLine="399"/>
        <w:spacing w:after="0" w:line="269" w:lineRule="auto"/>
        <w:rPr>
          <w:sz w:val="20"/>
          <w:szCs w:val="20"/>
          <w:color w:val="auto"/>
        </w:rPr>
      </w:pPr>
      <w:r>
        <w:rPr>
          <w:rFonts w:ascii="Times New Roman" w:cs="Times New Roman" w:eastAsia="Times New Roman" w:hAnsi="Times New Roman"/>
          <w:sz w:val="13"/>
          <w:szCs w:val="13"/>
          <w:color w:val="auto"/>
        </w:rPr>
        <w:t>The Company receives inquiries and requests for information from state insurance departments, attorneys general and other regulatory agencies from time to time about various matters relating to its business. Sometimes these take the form of civil investigative subpoenas. The Company attempts to cooperate with all such inquiries. From time to time, the Company is assessed fines for violations of regulations or other matters or enters into settlements with such authorities which require the Company to pay money or take other actions.</w:t>
      </w:r>
    </w:p>
    <w:p>
      <w:pPr>
        <w:spacing w:after="0" w:line="58" w:lineRule="exact"/>
        <w:rPr>
          <w:sz w:val="20"/>
          <w:szCs w:val="20"/>
          <w:color w:val="auto"/>
        </w:rPr>
      </w:pPr>
    </w:p>
    <w:p>
      <w:pPr>
        <w:ind w:left="680" w:firstLine="399"/>
        <w:spacing w:after="0" w:line="255" w:lineRule="auto"/>
        <w:rPr>
          <w:sz w:val="20"/>
          <w:szCs w:val="20"/>
          <w:color w:val="auto"/>
        </w:rPr>
      </w:pPr>
      <w:r>
        <w:rPr>
          <w:rFonts w:ascii="Times New Roman" w:cs="Times New Roman" w:eastAsia="Times New Roman" w:hAnsi="Times New Roman"/>
          <w:sz w:val="13"/>
          <w:szCs w:val="13"/>
          <w:color w:val="auto"/>
        </w:rPr>
        <w:t>On February 16, 2007, CTIC received a letter from the United States Attorney’s Office in the Southern District of Texas advising the company that it is the target of a federal grand jury investigation in Houston, Texas concerning possible violations of law involving loans made by three banks in Texas. CTIC believes that the investigation relates to certain mortgage loan transactions that were closed in 2000 and 2001 by a branch office of CTIC located in the Houston Metropolitan area. As previously disclosed, in February 2005, without any admission of fault or liability, CTIC entered into an Order with the U.S. Office of the Comptroller of the Currency and certain other regulators including the Office of Thrift Supervision and the Texas Department of Insurance in connection with their investigations of matters relating to these loans. Under the Order, the Company agreed to, among other things, pay a civil money penalty, provide training to current and prospective employees, and audit branch offices at least every two years to ensure compliance with applicable rules and regulations. In addition, without admitting any liability, CTIC concurrently entered into a settlement agreement with the U.S. Department of Housing and Urban Development with respect to any violations of the Real Estate Settlement Procedures Act in connection with these loans following HUD’s investigation of the matter. The U.S. Attorney’s Office now is investigating possible violations of the bank fraud laws in connection with the same loans. CTIC is fully cooperating with the U.S. Attorney’s investigation. To date, we are not aware of any violations of the bank fraud laws on the part of CTIC or any of its employees. CTIC has agreed to launch an internal investigation, and to report thereon to the U.S. Attorney’s office. In the event that CTIC were to be indicted, the consequences to us could materially adversely affect our business.</w:t>
      </w:r>
    </w:p>
    <w:p>
      <w:pPr>
        <w:spacing w:after="0" w:line="71"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The National Association of Insurance Commissioners and various state insurance regulators have been investigating so called “captive reinsurance” agreements since 2004. The investigations have focused on arrangements in which title insurers would write title insurance generated by realtors, developers and lenders and cede a portion of the premiums to a reinsurance company affiliate of the entity that generated the business. The U.S. Department of Housing and Urban Development (“HUD”) also has made formal or informal inquiries of the Company regarding these matters. The Company has been cooperating and intends to continue to cooperate with all ongoing investigations. The Company has discontinued all captive reinsurance arrangements. The total amount of premiums the Company ceded to reinsurers was approximately $10 million over the existence of these agreements. The Company has settled most of the accusations of wrongdoing that arose from these investigations by discontinuing the practice and paying fines. Some investigations are continuing. The Company anticipates they will be settled in a similar manner.</w:t>
      </w:r>
    </w:p>
    <w:p>
      <w:pPr>
        <w:spacing w:after="0" w:line="64"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Additionally, the Company has received inquiries from regulators about its business involvement with title insurance agencies affiliated with builders, realtors and other traditional sources of title insurance business, some of which the Company participated in forming as joint ventures with its subsidiaries. These inquiries have focused on whether the placement of title insurance with the Company through these affiliated agencies is proper or an improper form of referral payment. Like most other title insurers, the Company participates in these affiliated business arrangements in a number of states. The Company has settled the accusations of wrongdoing that arose from some of these investigations by discontinuing the practice and paying fines. Other investigations are continuing. The Company anticipates they will be settled in a similar manner.</w:t>
      </w:r>
    </w:p>
    <w:p>
      <w:pPr>
        <w:spacing w:after="0" w:line="62" w:lineRule="exact"/>
        <w:rPr>
          <w:sz w:val="20"/>
          <w:szCs w:val="20"/>
          <w:color w:val="auto"/>
        </w:rPr>
      </w:pPr>
    </w:p>
    <w:p>
      <w:pPr>
        <w:ind w:left="680" w:right="40" w:firstLine="399"/>
        <w:spacing w:after="0" w:line="286" w:lineRule="auto"/>
        <w:rPr>
          <w:sz w:val="20"/>
          <w:szCs w:val="20"/>
          <w:color w:val="auto"/>
        </w:rPr>
      </w:pPr>
      <w:r>
        <w:rPr>
          <w:rFonts w:ascii="Times New Roman" w:cs="Times New Roman" w:eastAsia="Times New Roman" w:hAnsi="Times New Roman"/>
          <w:sz w:val="13"/>
          <w:szCs w:val="13"/>
          <w:color w:val="auto"/>
        </w:rPr>
        <w:t>In 2006, we and our subsidiaries settled all allegations of wrongdoing arising from a wide-ranging review of the title insurance industry by the New York State Attorney General (the “NYAG”). Under the terms of the settlement, we paid a $2 million fine and were required to reduce premiums by 15% on owner’s policies under</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27" w:name="page28"/>
    <w:bookmarkEnd w:id="27"/>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
        <w:spacing w:after="0" w:line="259" w:lineRule="auto"/>
        <w:rPr>
          <w:sz w:val="20"/>
          <w:szCs w:val="20"/>
          <w:color w:val="auto"/>
        </w:rPr>
      </w:pPr>
      <w:r>
        <w:rPr>
          <w:rFonts w:ascii="Times New Roman" w:cs="Times New Roman" w:eastAsia="Times New Roman" w:hAnsi="Times New Roman"/>
          <w:sz w:val="13"/>
          <w:szCs w:val="13"/>
          <w:color w:val="auto"/>
        </w:rPr>
        <w:t>$1 million. Rate hearings will be conducted by the New York State Insurance Department (the “NYSID”) in 2007 where all rates will be considered industry-wide. The settlement clarifies practices considered wrongful under New York law by the NYAG and the NYSID, and we have agreed not to engage in those practices. We will take steps to assure that consumers are aware of the filed rates for premiums on title insurance products and that the products are correctly rated. The settlement also resolves all issues raised by the market conduct investigation of us and our subsidiaries by the NYSID except the issues of rating errors found by the NYSID. As part of the settlement, we and our subsidiaries denied any wrongdoing. Neither the fines nor the 15% rate reduction are expected to have a material impact on our earnings. We cooperated fully with the NYAG and NYSID inquiries into these matters and will continue to cooperate with the NYSID.</w:t>
      </w:r>
    </w:p>
    <w:p>
      <w:pPr>
        <w:spacing w:after="0" w:line="64"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Further, in 2006, U.S. Representative Oxley, the Chairman of the House Financial Services Committee, asked the Government Accountability Office (the GAO) to investigate the title insurance industry. Representative Oxley stated that the Committee is concerned about payments that certain title insurers have made to developers, lenders and real estate agents for referrals of title insurance business. Representative Oxley asked the GAO to examine, among other things, the foregoing relationships and the levels of pricing and competition in the title insurance industry. A congressional hearing was held regarding title insurance practices on April 27, 2006. The GAO’s report is expected in the spring of 2007. We are unable to predict the outcome of this inquiry or whether it will adversely affect our business or results of operations.</w:t>
      </w:r>
    </w:p>
    <w:p>
      <w:pPr>
        <w:spacing w:after="0" w:line="62" w:lineRule="exact"/>
        <w:rPr>
          <w:sz w:val="20"/>
          <w:szCs w:val="20"/>
          <w:color w:val="auto"/>
        </w:rPr>
      </w:pPr>
    </w:p>
    <w:p>
      <w:pPr>
        <w:ind w:left="680" w:right="20" w:firstLine="399"/>
        <w:spacing w:after="0" w:line="254" w:lineRule="auto"/>
        <w:rPr>
          <w:sz w:val="20"/>
          <w:szCs w:val="20"/>
          <w:color w:val="auto"/>
        </w:rPr>
      </w:pPr>
      <w:r>
        <w:rPr>
          <w:rFonts w:ascii="Times New Roman" w:cs="Times New Roman" w:eastAsia="Times New Roman" w:hAnsi="Times New Roman"/>
          <w:sz w:val="13"/>
          <w:szCs w:val="13"/>
          <w:color w:val="auto"/>
        </w:rPr>
        <w:t>In January 2007, the California Insurance Commissioner submitted to the California Office of Administrative Law (“OAL”) proposed regulations that would have significant effects on the title insurance industry in California. Among other things, these regulations would set “maximum” rates, effective as of October 1, 2009, for title and escrow using industry data to be reported through the statistical plan described below and published by the California Department of Insurance (the “CDI”). In addition, the new regulations would establish an interim reduction of all title and escrow rates effective October 1, 2009 if the CDI is unable to publish the data necessary for the calculation of the maximum rates by August 1, 2009. These interim rate reductions are intended to roll rates back so that in effect, premiums are charged on the basis of real property values from the year 2000. Title insurers would be required to reduce their rates to a level below their 2000 rates, with the amount of the reduction determined by a formula adjusting for real estate appreciation and inflation. Although FNF is continuing to evaluate the effect that these regulations would have on its business and its financial results, FNF is concerned that the reduced rates and maximum rate caps set by the California Regulations will significantly reduce the title and escrow rates that are charged in California, while precluding title insurers from seeking relief from those reduced or maximum rates. In addition, the proposed California regulations contemplate the creation of a detailed statistical plan, requiring data to be collected by each title insurer, underwritten title company, and controlled escrow company at the individual transaction level beginning on January 1, 2008. The statistical plan would also require that all expenses be allocated among 18 “activities,” such as title search/examination, preliminary report issuance, general management, customer support, sales, recording of documents, and escrow document production. The data collected under the statistical plan would be submitted annually to the CDI beginning on April 30, 2009. Compliance with the data collection and reporting requirements of the California Regulations, if adopted, would necessitate a significant revision and augmentation of our existing data collection and accounting systems before January 1, 2008, and would require a significant expenditure to comply with the April 30, 2009 deadline. The proposed required rate reductions and maximum rates would significantly reduce the title insurance rates that our subsidiaries can charge, and would likely have a significant negative impact on our California revenues. In addition, the increased cost of compliance with the statistical data collection and reporting requirements would negatively impact our cost of doing business in California. California is the largest source of revenue for the title insurance industry, including for us. On February 21, 2007, the OAL disapproved the proposed California Regulations and requested certain clarifications from the CDI. On February 22, 2007, the CDI announced its intention to move forward expeditiously to satisfy the OAL’s request in consultation with consumer groups and the title industry and resubmit the regulations for approval.</w:t>
      </w:r>
    </w:p>
    <w:p>
      <w:pPr>
        <w:spacing w:after="0" w:line="72" w:lineRule="exact"/>
        <w:rPr>
          <w:sz w:val="20"/>
          <w:szCs w:val="20"/>
          <w:color w:val="auto"/>
        </w:rPr>
      </w:pPr>
    </w:p>
    <w:p>
      <w:pPr>
        <w:jc w:val="both"/>
        <w:ind w:left="680" w:right="100" w:firstLine="399"/>
        <w:spacing w:after="0" w:line="269" w:lineRule="auto"/>
        <w:rPr>
          <w:sz w:val="20"/>
          <w:szCs w:val="20"/>
          <w:color w:val="auto"/>
        </w:rPr>
      </w:pPr>
      <w:r>
        <w:rPr>
          <w:rFonts w:ascii="Times New Roman" w:cs="Times New Roman" w:eastAsia="Times New Roman" w:hAnsi="Times New Roman"/>
          <w:sz w:val="13"/>
          <w:szCs w:val="13"/>
          <w:color w:val="auto"/>
        </w:rPr>
        <w:t>In addition, the Florida Office of Insurance Regulation (the “OIR”) has recently released three studies of the title insurance industry which purport to demonstrate that title insurance rates in Florida are too high and that the Florida title insurance industry is overwhelmingly dominated by five firms, which includes us. The studies recommend tying premium rates to loss ratios thereby making the rates a reflection of the actual risks born by the</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8" w:name="page29"/>
    <w:bookmarkEnd w:id="28"/>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960"/>
        <w:spacing w:after="0" w:line="286" w:lineRule="auto"/>
        <w:rPr>
          <w:sz w:val="20"/>
          <w:szCs w:val="20"/>
          <w:color w:val="auto"/>
        </w:rPr>
      </w:pPr>
      <w:r>
        <w:rPr>
          <w:rFonts w:ascii="Times New Roman" w:cs="Times New Roman" w:eastAsia="Times New Roman" w:hAnsi="Times New Roman"/>
          <w:sz w:val="13"/>
          <w:szCs w:val="13"/>
          <w:color w:val="auto"/>
        </w:rPr>
        <w:t>insurer. The OIR is presently developing a rule to establish and govern the annual collection of statistical data and has said that it will use the information gathered to begin a full review of the title insurance rates charged in Florida.</w:t>
      </w:r>
    </w:p>
    <w:p>
      <w:pPr>
        <w:spacing w:after="0" w:line="47" w:lineRule="exact"/>
        <w:rPr>
          <w:sz w:val="20"/>
          <w:szCs w:val="20"/>
          <w:color w:val="auto"/>
        </w:rPr>
      </w:pPr>
    </w:p>
    <w:p>
      <w:pPr>
        <w:ind w:left="680" w:right="840" w:firstLine="399"/>
        <w:spacing w:after="0" w:line="286" w:lineRule="auto"/>
        <w:rPr>
          <w:sz w:val="20"/>
          <w:szCs w:val="20"/>
          <w:color w:val="auto"/>
        </w:rPr>
      </w:pPr>
      <w:r>
        <w:rPr>
          <w:rFonts w:ascii="Times New Roman" w:cs="Times New Roman" w:eastAsia="Times New Roman" w:hAnsi="Times New Roman"/>
          <w:sz w:val="13"/>
          <w:szCs w:val="13"/>
          <w:color w:val="auto"/>
        </w:rPr>
        <w:t>The Washington Insurance Commissioner has issued a report concluding that the title insurance industry has engaged in illegal referral fees. The Commissioner has appointed a panel to recommend title industry reforms.</w:t>
      </w:r>
    </w:p>
    <w:p>
      <w:pPr>
        <w:spacing w:after="0" w:line="121" w:lineRule="exact"/>
        <w:rPr>
          <w:sz w:val="20"/>
          <w:szCs w:val="20"/>
          <w:color w:val="auto"/>
        </w:rPr>
      </w:pPr>
    </w:p>
    <w:p>
      <w:pPr>
        <w:ind w:left="680"/>
        <w:spacing w:after="0"/>
        <w:tabs>
          <w:tab w:leader="none" w:pos="1480" w:val="left"/>
        </w:tabs>
        <w:rPr>
          <w:sz w:val="20"/>
          <w:szCs w:val="20"/>
          <w:color w:val="auto"/>
        </w:rPr>
      </w:pPr>
      <w:r>
        <w:rPr>
          <w:rFonts w:ascii="Times New Roman" w:cs="Times New Roman" w:eastAsia="Times New Roman" w:hAnsi="Times New Roman"/>
          <w:sz w:val="13"/>
          <w:szCs w:val="13"/>
          <w:b w:val="1"/>
          <w:bCs w:val="1"/>
          <w:color w:val="auto"/>
        </w:rPr>
        <w:t>Item 4.</w:t>
      </w:r>
      <w:r>
        <w:rPr>
          <w:sz w:val="20"/>
          <w:szCs w:val="20"/>
          <w:color w:val="auto"/>
        </w:rPr>
        <w:tab/>
      </w:r>
      <w:r>
        <w:rPr>
          <w:rFonts w:ascii="Times New Roman" w:cs="Times New Roman" w:eastAsia="Times New Roman" w:hAnsi="Times New Roman"/>
          <w:sz w:val="12"/>
          <w:szCs w:val="12"/>
          <w:b w:val="1"/>
          <w:bCs w:val="1"/>
          <w:i w:val="1"/>
          <w:iCs w:val="1"/>
          <w:color w:val="auto"/>
        </w:rPr>
        <w:t>Submission of Matters to a Vote of Security Holders</w:t>
      </w:r>
    </w:p>
    <w:p>
      <w:pPr>
        <w:spacing w:after="0" w:line="100" w:lineRule="exact"/>
        <w:rPr>
          <w:sz w:val="20"/>
          <w:szCs w:val="20"/>
          <w:color w:val="auto"/>
        </w:rPr>
      </w:pPr>
    </w:p>
    <w:p>
      <w:pPr>
        <w:ind w:left="680" w:right="820" w:firstLine="399"/>
        <w:spacing w:after="0" w:line="263" w:lineRule="auto"/>
        <w:rPr>
          <w:sz w:val="20"/>
          <w:szCs w:val="20"/>
          <w:color w:val="auto"/>
        </w:rPr>
      </w:pPr>
      <w:r>
        <w:rPr>
          <w:rFonts w:ascii="Times New Roman" w:cs="Times New Roman" w:eastAsia="Times New Roman" w:hAnsi="Times New Roman"/>
          <w:sz w:val="13"/>
          <w:szCs w:val="13"/>
          <w:color w:val="auto"/>
        </w:rPr>
        <w:t>Our Annual Meeting of Stockholders was held on October 23, 2006 for the purpose of approving the following: the issuance of additional shares of our Class A common stock pursuant to the SEDA between us and Old FNF, the adoption of an amendment to the Fidelity National Title Group, Inc. 2005 Omnibus Incentive Plan, the adoption of the Fidelity National Title Group, Inc. Annual Incentive Plan, the adoption of our amended and restated certificate of incorporation, the election of certain members of the board of directors, and ratification of the appointment of KPMG LLP as our independent registered public accounting firm for 2006.</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Nominees for directors were elected by the following vote:</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100" w:type="dxa"/>
            <w:vAlign w:val="bottom"/>
          </w:tcPr>
          <w:p>
            <w:pPr>
              <w:spacing w:after="0"/>
              <w:rPr>
                <w:sz w:val="10"/>
                <w:szCs w:val="10"/>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0"/>
                <w:szCs w:val="10"/>
                <w:b w:val="1"/>
                <w:bCs w:val="1"/>
                <w:color w:val="auto"/>
              </w:rPr>
              <w:t>Shares Voted</w:t>
            </w: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0"/>
                <w:szCs w:val="10"/>
                <w:b w:val="1"/>
                <w:bCs w:val="1"/>
                <w:color w:val="auto"/>
              </w:rPr>
              <w:t>Authority to Vote</w:t>
            </w:r>
          </w:p>
        </w:tc>
      </w:tr>
      <w:tr>
        <w:trPr>
          <w:trHeight w:val="127"/>
        </w:trPr>
        <w:tc>
          <w:tcPr>
            <w:tcW w:w="7100" w:type="dxa"/>
            <w:vAlign w:val="bottom"/>
          </w:tcPr>
          <w:p>
            <w:pPr>
              <w:spacing w:after="0"/>
              <w:rPr>
                <w:sz w:val="11"/>
                <w:szCs w:val="11"/>
                <w:color w:val="auto"/>
              </w:rPr>
            </w:pPr>
          </w:p>
        </w:tc>
        <w:tc>
          <w:tcPr>
            <w:tcW w:w="1500" w:type="dxa"/>
            <w:vAlign w:val="bottom"/>
            <w:gridSpan w:val="2"/>
          </w:tcPr>
          <w:p>
            <w:pPr>
              <w:jc w:val="right"/>
              <w:ind w:right="820"/>
              <w:spacing w:after="0"/>
              <w:rPr>
                <w:sz w:val="20"/>
                <w:szCs w:val="20"/>
                <w:color w:val="auto"/>
              </w:rPr>
            </w:pPr>
            <w:r>
              <w:rPr>
                <w:rFonts w:ascii="Times New Roman" w:cs="Times New Roman" w:eastAsia="Times New Roman" w:hAnsi="Times New Roman"/>
                <w:sz w:val="10"/>
                <w:szCs w:val="10"/>
                <w:b w:val="1"/>
                <w:bCs w:val="1"/>
                <w:color w:val="auto"/>
              </w:rPr>
              <w:t>“For”</w:t>
            </w: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0"/>
                <w:szCs w:val="10"/>
                <w:b w:val="1"/>
                <w:bCs w:val="1"/>
                <w:color w:val="auto"/>
              </w:rPr>
              <w:t>“Withheld”</w:t>
            </w:r>
          </w:p>
        </w:tc>
      </w:tr>
      <w:tr>
        <w:trPr>
          <w:trHeight w:val="29"/>
        </w:trPr>
        <w:tc>
          <w:tcPr>
            <w:tcW w:w="71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John F. Farrell, Jr.</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143,176,041</w:t>
            </w:r>
          </w:p>
        </w:tc>
        <w:tc>
          <w:tcPr>
            <w:tcW w:w="13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100" w:type="dxa"/>
            <w:vAlign w:val="bottom"/>
          </w:tcPr>
          <w:p>
            <w:pPr>
              <w:spacing w:after="0"/>
              <w:rPr>
                <w:sz w:val="20"/>
                <w:szCs w:val="20"/>
                <w:color w:val="auto"/>
              </w:rPr>
            </w:pPr>
            <w:r>
              <w:rPr>
                <w:rFonts w:ascii="Times New Roman" w:cs="Times New Roman" w:eastAsia="Times New Roman" w:hAnsi="Times New Roman"/>
                <w:sz w:val="13"/>
                <w:szCs w:val="13"/>
                <w:color w:val="auto"/>
              </w:rPr>
              <w:t>Frank P. Willey</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143,176,041</w:t>
            </w:r>
          </w:p>
        </w:tc>
        <w:tc>
          <w:tcPr>
            <w:tcW w:w="1380" w:type="dxa"/>
            <w:vAlign w:val="bottom"/>
            <w:gridSpan w:val="2"/>
          </w:tcPr>
          <w:p>
            <w:pPr>
              <w:ind w:left="116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Willie D. Davis</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143,176,041</w:t>
            </w:r>
          </w:p>
        </w:tc>
        <w:tc>
          <w:tcPr>
            <w:tcW w:w="13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w:t>
            </w:r>
          </w:p>
        </w:tc>
      </w:tr>
      <w:tr>
        <w:trPr>
          <w:trHeight w:val="171"/>
        </w:trPr>
        <w:tc>
          <w:tcPr>
            <w:tcW w:w="7100" w:type="dxa"/>
            <w:vAlign w:val="bottom"/>
          </w:tcPr>
          <w:p>
            <w:pPr>
              <w:spacing w:after="0"/>
              <w:rPr>
                <w:sz w:val="20"/>
                <w:szCs w:val="20"/>
                <w:color w:val="auto"/>
              </w:rPr>
            </w:pPr>
            <w:r>
              <w:rPr>
                <w:rFonts w:ascii="Times New Roman" w:cs="Times New Roman" w:eastAsia="Times New Roman" w:hAnsi="Times New Roman"/>
                <w:sz w:val="13"/>
                <w:szCs w:val="13"/>
                <w:color w:val="auto"/>
              </w:rPr>
              <w:t>Philip G. Heasley</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143,176,041</w:t>
            </w:r>
          </w:p>
        </w:tc>
        <w:tc>
          <w:tcPr>
            <w:tcW w:w="1380" w:type="dxa"/>
            <w:vAlign w:val="bottom"/>
            <w:gridSpan w:val="2"/>
          </w:tcPr>
          <w:p>
            <w:pPr>
              <w:ind w:left="1160"/>
              <w:spacing w:after="0"/>
              <w:rPr>
                <w:sz w:val="20"/>
                <w:szCs w:val="20"/>
                <w:color w:val="auto"/>
              </w:rPr>
            </w:pPr>
            <w:r>
              <w:rPr>
                <w:rFonts w:ascii="Times New Roman" w:cs="Times New Roman" w:eastAsia="Times New Roman" w:hAnsi="Times New Roman"/>
                <w:sz w:val="13"/>
                <w:szCs w:val="13"/>
                <w:color w:val="auto"/>
              </w:rPr>
              <w:t>—</w:t>
            </w:r>
          </w:p>
        </w:tc>
      </w:tr>
    </w:tbl>
    <w:p>
      <w:pPr>
        <w:spacing w:after="0" w:line="62" w:lineRule="exact"/>
        <w:rPr>
          <w:sz w:val="20"/>
          <w:szCs w:val="20"/>
          <w:color w:val="auto"/>
        </w:rPr>
      </w:pPr>
    </w:p>
    <w:p>
      <w:pPr>
        <w:ind w:left="680" w:right="820" w:firstLine="399"/>
        <w:spacing w:after="0" w:line="269" w:lineRule="auto"/>
        <w:rPr>
          <w:sz w:val="20"/>
          <w:szCs w:val="20"/>
          <w:color w:val="auto"/>
        </w:rPr>
      </w:pPr>
      <w:r>
        <w:rPr>
          <w:rFonts w:ascii="Times New Roman" w:cs="Times New Roman" w:eastAsia="Times New Roman" w:hAnsi="Times New Roman"/>
          <w:sz w:val="13"/>
          <w:szCs w:val="13"/>
          <w:color w:val="auto"/>
        </w:rPr>
        <w:t>Directors, whose term of office as a director continued after the meeting, are as follows: William P. Foley, II; General William Lyon; William G. Bone; William A. Imparato; and Peter O. Shea. Upon the closing under the SEDA, Messrs. Bone and Imparato resigned and Douglas K. Ammerman, Thomas M. Hagerty, Daniel D. Lane, Cary H. Thompson and Richard N. Massey became directors of our company.</w:t>
      </w:r>
    </w:p>
    <w:p>
      <w:pPr>
        <w:spacing w:after="0" w:line="58" w:lineRule="exact"/>
        <w:rPr>
          <w:sz w:val="20"/>
          <w:szCs w:val="20"/>
          <w:color w:val="auto"/>
        </w:rPr>
      </w:pPr>
    </w:p>
    <w:p>
      <w:pPr>
        <w:ind w:left="680" w:right="900" w:firstLine="399"/>
        <w:spacing w:after="0" w:line="286" w:lineRule="auto"/>
        <w:rPr>
          <w:sz w:val="20"/>
          <w:szCs w:val="20"/>
          <w:color w:val="auto"/>
        </w:rPr>
      </w:pPr>
      <w:r>
        <w:rPr>
          <w:rFonts w:ascii="Times New Roman" w:cs="Times New Roman" w:eastAsia="Times New Roman" w:hAnsi="Times New Roman"/>
          <w:sz w:val="13"/>
          <w:szCs w:val="13"/>
          <w:color w:val="auto"/>
        </w:rPr>
        <w:t>The proposal to approve the issuance of additional shares of Fidelity National Title Group, Inc. Class A common stock pursuant to the SEDA between Fidelity National Title Group, Inc. and us and Old FNF received the following votes: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7700" w:type="dxa"/>
            <w:vAlign w:val="bottom"/>
          </w:tcPr>
          <w:p>
            <w:pPr>
              <w:spacing w:after="0"/>
              <w:rPr>
                <w:sz w:val="11"/>
                <w:szCs w:val="11"/>
                <w:color w:val="auto"/>
              </w:rPr>
            </w:pPr>
          </w:p>
        </w:tc>
        <w:tc>
          <w:tcPr>
            <w:tcW w:w="1480" w:type="dxa"/>
            <w:vAlign w:val="bottom"/>
            <w:gridSpan w:val="2"/>
          </w:tcPr>
          <w:p>
            <w:pPr>
              <w:jc w:val="right"/>
              <w:ind w:right="820"/>
              <w:spacing w:after="0"/>
              <w:rPr>
                <w:sz w:val="20"/>
                <w:szCs w:val="20"/>
                <w:color w:val="auto"/>
              </w:rPr>
            </w:pPr>
            <w:r>
              <w:rPr>
                <w:rFonts w:ascii="Times New Roman" w:cs="Times New Roman" w:eastAsia="Times New Roman" w:hAnsi="Times New Roman"/>
                <w:sz w:val="10"/>
                <w:szCs w:val="10"/>
                <w:b w:val="1"/>
                <w:bCs w:val="1"/>
                <w:color w:val="auto"/>
              </w:rPr>
              <w:t>Votes</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Percentage</w:t>
            </w:r>
          </w:p>
        </w:tc>
        <w:tc>
          <w:tcPr>
            <w:tcW w:w="800" w:type="dxa"/>
            <w:vAlign w:val="bottom"/>
          </w:tcPr>
          <w:p>
            <w:pPr>
              <w:spacing w:after="0"/>
              <w:rPr>
                <w:sz w:val="11"/>
                <w:szCs w:val="11"/>
                <w:color w:val="auto"/>
              </w:rPr>
            </w:pPr>
          </w:p>
        </w:tc>
      </w:tr>
      <w:tr>
        <w:trPr>
          <w:trHeight w:val="29"/>
        </w:trPr>
        <w:tc>
          <w:tcPr>
            <w:tcW w:w="68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Shares Voted “For”</w:t>
            </w:r>
          </w:p>
        </w:tc>
        <w:tc>
          <w:tcPr>
            <w:tcW w:w="14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143,176,041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3"/>
                <w:szCs w:val="13"/>
                <w:color w:val="auto"/>
              </w:rPr>
              <w:t>Shares Voted “Against”</w:t>
            </w: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Shares Voted “Abstain”</w:t>
            </w:r>
          </w:p>
        </w:tc>
        <w:tc>
          <w:tcPr>
            <w:tcW w:w="14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r>
      <w:tr>
        <w:trPr>
          <w:trHeight w:val="246"/>
        </w:trPr>
        <w:tc>
          <w:tcPr>
            <w:tcW w:w="680" w:type="dxa"/>
            <w:vAlign w:val="bottom"/>
          </w:tcPr>
          <w:p>
            <w:pPr>
              <w:spacing w:after="0"/>
              <w:rPr>
                <w:sz w:val="21"/>
                <w:szCs w:val="21"/>
                <w:color w:val="auto"/>
              </w:rPr>
            </w:pPr>
          </w:p>
        </w:tc>
        <w:tc>
          <w:tcPr>
            <w:tcW w:w="9180" w:type="dxa"/>
            <w:vAlign w:val="bottom"/>
            <w:gridSpan w:val="3"/>
          </w:tcPr>
          <w:p>
            <w:pPr>
              <w:ind w:left="400"/>
              <w:spacing w:after="0"/>
              <w:rPr>
                <w:sz w:val="20"/>
                <w:szCs w:val="20"/>
                <w:color w:val="auto"/>
              </w:rPr>
            </w:pPr>
            <w:r>
              <w:rPr>
                <w:rFonts w:ascii="Times New Roman" w:cs="Times New Roman" w:eastAsia="Times New Roman" w:hAnsi="Times New Roman"/>
                <w:sz w:val="13"/>
                <w:szCs w:val="13"/>
                <w:color w:val="auto"/>
              </w:rPr>
              <w:t>The proposal to approve the adoption of an amendment to the Fidelity National Title Group, Inc. 2005 Omnibus Incentive Plan received the following votes: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6"/>
        </w:trPr>
        <w:tc>
          <w:tcPr>
            <w:tcW w:w="68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480" w:type="dxa"/>
            <w:vAlign w:val="bottom"/>
            <w:gridSpan w:val="2"/>
          </w:tcPr>
          <w:p>
            <w:pPr>
              <w:jc w:val="right"/>
              <w:ind w:right="820"/>
              <w:spacing w:after="0"/>
              <w:rPr>
                <w:sz w:val="20"/>
                <w:szCs w:val="20"/>
                <w:color w:val="auto"/>
              </w:rPr>
            </w:pPr>
            <w:r>
              <w:rPr>
                <w:rFonts w:ascii="Times New Roman" w:cs="Times New Roman" w:eastAsia="Times New Roman" w:hAnsi="Times New Roman"/>
                <w:sz w:val="10"/>
                <w:szCs w:val="10"/>
                <w:b w:val="1"/>
                <w:bCs w:val="1"/>
                <w:color w:val="auto"/>
              </w:rPr>
              <w:t>Votes</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Percentage</w:t>
            </w:r>
          </w:p>
        </w:tc>
        <w:tc>
          <w:tcPr>
            <w:tcW w:w="800" w:type="dxa"/>
            <w:vAlign w:val="bottom"/>
          </w:tcPr>
          <w:p>
            <w:pPr>
              <w:spacing w:after="0"/>
              <w:rPr>
                <w:sz w:val="17"/>
                <w:szCs w:val="17"/>
                <w:color w:val="auto"/>
              </w:rPr>
            </w:pPr>
          </w:p>
        </w:tc>
      </w:tr>
      <w:tr>
        <w:trPr>
          <w:trHeight w:val="29"/>
        </w:trPr>
        <w:tc>
          <w:tcPr>
            <w:tcW w:w="68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Shares Voted “For”</w:t>
            </w:r>
          </w:p>
        </w:tc>
        <w:tc>
          <w:tcPr>
            <w:tcW w:w="14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143,176,041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3"/>
                <w:szCs w:val="13"/>
                <w:color w:val="auto"/>
              </w:rPr>
              <w:t>Shares Voted “Against”</w:t>
            </w: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Shares Voted “Abstain”</w:t>
            </w:r>
          </w:p>
        </w:tc>
        <w:tc>
          <w:tcPr>
            <w:tcW w:w="14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r>
      <w:tr>
        <w:trPr>
          <w:trHeight w:val="246"/>
        </w:trPr>
        <w:tc>
          <w:tcPr>
            <w:tcW w:w="680" w:type="dxa"/>
            <w:vAlign w:val="bottom"/>
          </w:tcPr>
          <w:p>
            <w:pPr>
              <w:spacing w:after="0"/>
              <w:rPr>
                <w:sz w:val="21"/>
                <w:szCs w:val="21"/>
                <w:color w:val="auto"/>
              </w:rPr>
            </w:pPr>
          </w:p>
        </w:tc>
        <w:tc>
          <w:tcPr>
            <w:tcW w:w="77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The proposal to approve the adoption of the Fidelity National Title Group, Inc. Annual Incentive Plan received the following votes:</w:t>
            </w: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6"/>
        </w:trPr>
        <w:tc>
          <w:tcPr>
            <w:tcW w:w="68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480" w:type="dxa"/>
            <w:vAlign w:val="bottom"/>
            <w:gridSpan w:val="2"/>
          </w:tcPr>
          <w:p>
            <w:pPr>
              <w:jc w:val="right"/>
              <w:ind w:right="820"/>
              <w:spacing w:after="0"/>
              <w:rPr>
                <w:sz w:val="20"/>
                <w:szCs w:val="20"/>
                <w:color w:val="auto"/>
              </w:rPr>
            </w:pPr>
            <w:r>
              <w:rPr>
                <w:rFonts w:ascii="Times New Roman" w:cs="Times New Roman" w:eastAsia="Times New Roman" w:hAnsi="Times New Roman"/>
                <w:sz w:val="10"/>
                <w:szCs w:val="10"/>
                <w:b w:val="1"/>
                <w:bCs w:val="1"/>
                <w:color w:val="auto"/>
              </w:rPr>
              <w:t>Votes</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Percentage</w:t>
            </w:r>
          </w:p>
        </w:tc>
        <w:tc>
          <w:tcPr>
            <w:tcW w:w="800" w:type="dxa"/>
            <w:vAlign w:val="bottom"/>
          </w:tcPr>
          <w:p>
            <w:pPr>
              <w:spacing w:after="0"/>
              <w:rPr>
                <w:sz w:val="17"/>
                <w:szCs w:val="17"/>
                <w:color w:val="auto"/>
              </w:rPr>
            </w:pPr>
          </w:p>
        </w:tc>
      </w:tr>
      <w:tr>
        <w:trPr>
          <w:trHeight w:val="29"/>
        </w:trPr>
        <w:tc>
          <w:tcPr>
            <w:tcW w:w="68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Shares Voted “For”</w:t>
            </w:r>
          </w:p>
        </w:tc>
        <w:tc>
          <w:tcPr>
            <w:tcW w:w="14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143,176,041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3"/>
                <w:szCs w:val="13"/>
                <w:color w:val="auto"/>
              </w:rPr>
              <w:t>Shares Voted “Against”</w:t>
            </w: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Shares Voted “Abstain”</w:t>
            </w:r>
          </w:p>
        </w:tc>
        <w:tc>
          <w:tcPr>
            <w:tcW w:w="14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r>
      <w:tr>
        <w:trPr>
          <w:trHeight w:val="453"/>
        </w:trPr>
        <w:tc>
          <w:tcPr>
            <w:tcW w:w="680" w:type="dxa"/>
            <w:vAlign w:val="bottom"/>
          </w:tcPr>
          <w:p>
            <w:pPr>
              <w:spacing w:after="0"/>
              <w:rPr>
                <w:sz w:val="24"/>
                <w:szCs w:val="24"/>
                <w:color w:val="auto"/>
              </w:rPr>
            </w:pPr>
          </w:p>
        </w:tc>
        <w:tc>
          <w:tcPr>
            <w:tcW w:w="7700" w:type="dxa"/>
            <w:vAlign w:val="bottom"/>
          </w:tcPr>
          <w:p>
            <w:pPr>
              <w:ind w:left="4940"/>
              <w:spacing w:after="0"/>
              <w:rPr>
                <w:sz w:val="20"/>
                <w:szCs w:val="20"/>
                <w:color w:val="auto"/>
              </w:rPr>
            </w:pPr>
            <w:r>
              <w:rPr>
                <w:rFonts w:ascii="Times New Roman" w:cs="Times New Roman" w:eastAsia="Times New Roman" w:hAnsi="Times New Roman"/>
                <w:sz w:val="13"/>
                <w:szCs w:val="13"/>
                <w:color w:val="auto"/>
              </w:rPr>
              <w:t>26</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770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29" w:name="page30"/>
    <w:bookmarkEnd w:id="29"/>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proposal to approve the adoption of our amended and restated certificate of incorporation received the following votes: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700" w:type="dxa"/>
            <w:vAlign w:val="bottom"/>
          </w:tcPr>
          <w:p>
            <w:pPr>
              <w:spacing w:after="0"/>
              <w:rPr>
                <w:sz w:val="11"/>
                <w:szCs w:val="11"/>
                <w:color w:val="auto"/>
              </w:rPr>
            </w:pPr>
          </w:p>
        </w:tc>
        <w:tc>
          <w:tcPr>
            <w:tcW w:w="1480" w:type="dxa"/>
            <w:vAlign w:val="bottom"/>
            <w:gridSpan w:val="2"/>
          </w:tcPr>
          <w:p>
            <w:pPr>
              <w:jc w:val="right"/>
              <w:ind w:right="820"/>
              <w:spacing w:after="0"/>
              <w:rPr>
                <w:sz w:val="20"/>
                <w:szCs w:val="20"/>
                <w:color w:val="auto"/>
              </w:rPr>
            </w:pPr>
            <w:r>
              <w:rPr>
                <w:rFonts w:ascii="Times New Roman" w:cs="Times New Roman" w:eastAsia="Times New Roman" w:hAnsi="Times New Roman"/>
                <w:sz w:val="10"/>
                <w:szCs w:val="10"/>
                <w:b w:val="1"/>
                <w:bCs w:val="1"/>
                <w:color w:val="auto"/>
              </w:rPr>
              <w:t>Votes</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Percentage</w:t>
            </w:r>
          </w:p>
        </w:tc>
      </w:tr>
      <w:tr>
        <w:trPr>
          <w:trHeight w:val="29"/>
        </w:trPr>
        <w:tc>
          <w:tcPr>
            <w:tcW w:w="770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Shares Voted “For”</w:t>
            </w:r>
          </w:p>
        </w:tc>
        <w:tc>
          <w:tcPr>
            <w:tcW w:w="14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143,176,041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57"/>
        </w:trPr>
        <w:tc>
          <w:tcPr>
            <w:tcW w:w="7700" w:type="dxa"/>
            <w:vAlign w:val="bottom"/>
          </w:tcPr>
          <w:p>
            <w:pPr>
              <w:spacing w:after="0"/>
              <w:rPr>
                <w:sz w:val="20"/>
                <w:szCs w:val="20"/>
                <w:color w:val="auto"/>
              </w:rPr>
            </w:pPr>
            <w:r>
              <w:rPr>
                <w:rFonts w:ascii="Times New Roman" w:cs="Times New Roman" w:eastAsia="Times New Roman" w:hAnsi="Times New Roman"/>
                <w:sz w:val="13"/>
                <w:szCs w:val="13"/>
                <w:color w:val="auto"/>
              </w:rPr>
              <w:t>Shares Voted “Against”</w:t>
            </w: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Shares Voted “Abstain”</w:t>
            </w:r>
          </w:p>
        </w:tc>
        <w:tc>
          <w:tcPr>
            <w:tcW w:w="14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bl>
    <w:p>
      <w:pPr>
        <w:spacing w:after="0" w:line="7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proposal to approve the ratification of the appointment of KPMG LLP as our independent registered public accounting firm for 2006 received the following votes: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700" w:type="dxa"/>
            <w:vAlign w:val="bottom"/>
          </w:tcPr>
          <w:p>
            <w:pPr>
              <w:spacing w:after="0"/>
              <w:rPr>
                <w:sz w:val="11"/>
                <w:szCs w:val="11"/>
                <w:color w:val="auto"/>
              </w:rPr>
            </w:pPr>
          </w:p>
        </w:tc>
        <w:tc>
          <w:tcPr>
            <w:tcW w:w="1480" w:type="dxa"/>
            <w:vAlign w:val="bottom"/>
            <w:gridSpan w:val="2"/>
          </w:tcPr>
          <w:p>
            <w:pPr>
              <w:jc w:val="right"/>
              <w:ind w:right="820"/>
              <w:spacing w:after="0"/>
              <w:rPr>
                <w:sz w:val="20"/>
                <w:szCs w:val="20"/>
                <w:color w:val="auto"/>
              </w:rPr>
            </w:pPr>
            <w:r>
              <w:rPr>
                <w:rFonts w:ascii="Times New Roman" w:cs="Times New Roman" w:eastAsia="Times New Roman" w:hAnsi="Times New Roman"/>
                <w:sz w:val="10"/>
                <w:szCs w:val="10"/>
                <w:b w:val="1"/>
                <w:bCs w:val="1"/>
                <w:color w:val="auto"/>
              </w:rPr>
              <w:t>Votes</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Percentage</w:t>
            </w:r>
          </w:p>
        </w:tc>
      </w:tr>
      <w:tr>
        <w:trPr>
          <w:trHeight w:val="29"/>
        </w:trPr>
        <w:tc>
          <w:tcPr>
            <w:tcW w:w="770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Shares Voted “For”</w:t>
            </w:r>
          </w:p>
        </w:tc>
        <w:tc>
          <w:tcPr>
            <w:tcW w:w="14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143,176,041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57"/>
        </w:trPr>
        <w:tc>
          <w:tcPr>
            <w:tcW w:w="7700" w:type="dxa"/>
            <w:vAlign w:val="bottom"/>
          </w:tcPr>
          <w:p>
            <w:pPr>
              <w:spacing w:after="0"/>
              <w:rPr>
                <w:sz w:val="20"/>
                <w:szCs w:val="20"/>
                <w:color w:val="auto"/>
              </w:rPr>
            </w:pPr>
            <w:r>
              <w:rPr>
                <w:rFonts w:ascii="Times New Roman" w:cs="Times New Roman" w:eastAsia="Times New Roman" w:hAnsi="Times New Roman"/>
                <w:sz w:val="13"/>
                <w:szCs w:val="13"/>
                <w:color w:val="auto"/>
              </w:rPr>
              <w:t>Shares Voted “Against”</w:t>
            </w: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Shares Voted “Abstain”</w:t>
            </w:r>
          </w:p>
        </w:tc>
        <w:tc>
          <w:tcPr>
            <w:tcW w:w="14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bl>
    <w:p>
      <w:pPr>
        <w:spacing w:after="0" w:line="23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173" w:lineRule="exact"/>
        <w:rPr>
          <w:sz w:val="20"/>
          <w:szCs w:val="20"/>
          <w:color w:val="auto"/>
        </w:rPr>
      </w:pPr>
    </w:p>
    <w:p>
      <w:pPr>
        <w:ind w:left="680"/>
        <w:spacing w:after="0"/>
        <w:tabs>
          <w:tab w:leader="none" w:pos="1480" w:val="left"/>
        </w:tabs>
        <w:rPr>
          <w:sz w:val="20"/>
          <w:szCs w:val="20"/>
          <w:color w:val="auto"/>
        </w:rPr>
      </w:pPr>
      <w:r>
        <w:rPr>
          <w:rFonts w:ascii="Times New Roman" w:cs="Times New Roman" w:eastAsia="Times New Roman" w:hAnsi="Times New Roman"/>
          <w:sz w:val="13"/>
          <w:szCs w:val="13"/>
          <w:b w:val="1"/>
          <w:bCs w:val="1"/>
          <w:color w:val="auto"/>
        </w:rPr>
        <w:t>Item 5.</w:t>
      </w:r>
      <w:r>
        <w:rPr>
          <w:sz w:val="20"/>
          <w:szCs w:val="20"/>
          <w:color w:val="auto"/>
        </w:rPr>
        <w:tab/>
      </w:r>
      <w:r>
        <w:rPr>
          <w:rFonts w:ascii="Times New Roman" w:cs="Times New Roman" w:eastAsia="Times New Roman" w:hAnsi="Times New Roman"/>
          <w:sz w:val="13"/>
          <w:szCs w:val="13"/>
          <w:b w:val="1"/>
          <w:bCs w:val="1"/>
          <w:i w:val="1"/>
          <w:iCs w:val="1"/>
          <w:color w:val="auto"/>
        </w:rPr>
        <w:t>Market for Registrant’s Common Equity and Related Stockholder Matters and Issuer Purchases of Equity Securities</w:t>
      </w:r>
    </w:p>
    <w:p>
      <w:pPr>
        <w:spacing w:after="0" w:line="100" w:lineRule="exact"/>
        <w:rPr>
          <w:sz w:val="20"/>
          <w:szCs w:val="20"/>
          <w:color w:val="auto"/>
        </w:rPr>
      </w:pPr>
    </w:p>
    <w:p>
      <w:pPr>
        <w:ind w:left="680" w:right="220" w:firstLine="399"/>
        <w:spacing w:after="0" w:line="286" w:lineRule="auto"/>
        <w:rPr>
          <w:sz w:val="20"/>
          <w:szCs w:val="20"/>
          <w:color w:val="auto"/>
        </w:rPr>
      </w:pPr>
      <w:r>
        <w:rPr>
          <w:rFonts w:ascii="Times New Roman" w:cs="Times New Roman" w:eastAsia="Times New Roman" w:hAnsi="Times New Roman"/>
          <w:sz w:val="13"/>
          <w:szCs w:val="13"/>
          <w:color w:val="auto"/>
        </w:rPr>
        <w:t>Our common stock is traded on the New York Stock Exchange under the symbol “FNF”. The following table shows, for the periods indicated, the high and low sales prices of our common stock, as reported by the New York Stock Exchange, and the amounts of dividends per share declared on our common stock.</w:t>
      </w:r>
    </w:p>
    <w:p>
      <w:pPr>
        <w:spacing w:after="0" w:line="4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High</w:t>
            </w:r>
          </w:p>
        </w:tc>
        <w:tc>
          <w:tcPr>
            <w:tcW w:w="120" w:type="dxa"/>
            <w:vAlign w:val="bottom"/>
          </w:tcPr>
          <w:p>
            <w:pPr>
              <w:spacing w:after="0"/>
              <w:rPr>
                <w:sz w:val="10"/>
                <w:szCs w:val="10"/>
                <w:color w:val="auto"/>
              </w:rPr>
            </w:pPr>
          </w:p>
        </w:tc>
        <w:tc>
          <w:tcPr>
            <w:tcW w:w="7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Low</w:t>
            </w:r>
          </w:p>
        </w:tc>
        <w:tc>
          <w:tcPr>
            <w:tcW w:w="120" w:type="dxa"/>
            <w:vAlign w:val="bottom"/>
          </w:tcPr>
          <w:p>
            <w:pPr>
              <w:spacing w:after="0"/>
              <w:rPr>
                <w:sz w:val="10"/>
                <w:szCs w:val="1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Cash Dividends</w:t>
            </w:r>
          </w:p>
        </w:tc>
        <w:tc>
          <w:tcPr>
            <w:tcW w:w="0" w:type="dxa"/>
            <w:vAlign w:val="bottom"/>
          </w:tcPr>
          <w:p>
            <w:pPr>
              <w:spacing w:after="0"/>
              <w:rPr>
                <w:sz w:val="1"/>
                <w:szCs w:val="1"/>
                <w:color w:val="auto"/>
              </w:rPr>
            </w:pPr>
          </w:p>
        </w:tc>
      </w:tr>
      <w:tr>
        <w:trPr>
          <w:trHeight w:val="127"/>
        </w:trPr>
        <w:tc>
          <w:tcPr>
            <w:tcW w:w="13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Declared</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Year ended December 31, 2006</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First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25.73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21.72</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0.29</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Second quarter</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23.88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18.88</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0.29</w:t>
            </w:r>
          </w:p>
        </w:tc>
        <w:tc>
          <w:tcPr>
            <w:tcW w:w="0" w:type="dxa"/>
            <w:vAlign w:val="bottom"/>
          </w:tcPr>
          <w:p>
            <w:pPr>
              <w:spacing w:after="0"/>
              <w:rPr>
                <w:sz w:val="1"/>
                <w:szCs w:val="1"/>
                <w:color w:val="auto"/>
              </w:rPr>
            </w:pPr>
          </w:p>
        </w:tc>
      </w:tr>
      <w:tr>
        <w:trPr>
          <w:trHeight w:val="157"/>
        </w:trPr>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Third quarter</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22.36</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17.92</w:t>
            </w: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0.29</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Fourth quarter</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24.36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20.60</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0.30</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Year ended December 31, 2005(a)</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Fourth quarter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24.55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19.50</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0.25</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80" w:hanging="493"/>
        <w:spacing w:after="0"/>
        <w:tabs>
          <w:tab w:leader="none" w:pos="11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October 17, 2005, our stock was not publicly traded because we were a wholly-owned subsidiary of FNF.</w:t>
      </w:r>
    </w:p>
    <w:p>
      <w:pPr>
        <w:spacing w:after="0" w:line="96"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On February 1, 2007 the last reported sale price of our common stock on the New York Stock Exchange was $23.89 per share. As of February 1, 2007, we had approximately 4,587 stockholders of record.</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On January 23, 2007, our Board of Directors formally declared a $0.30 per share cash dividend that is payable on March 29, 2007 to stockholders of record as of March 14, 2007.</w:t>
      </w:r>
    </w:p>
    <w:p>
      <w:pPr>
        <w:spacing w:after="0" w:line="96"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Our current dividend policy anticipates the payment of quarterly dividends in the future. The declaration and payment of dividends will be at the discretion of our Board of Directors and will be dependent upon our future earnings, financial condition and capital requirements.</w:t>
      </w:r>
    </w:p>
    <w:p>
      <w:pPr>
        <w:spacing w:after="0" w:line="47" w:lineRule="exact"/>
        <w:rPr>
          <w:sz w:val="20"/>
          <w:szCs w:val="20"/>
          <w:color w:val="auto"/>
        </w:rPr>
      </w:pPr>
    </w:p>
    <w:p>
      <w:pPr>
        <w:ind w:left="680" w:right="160" w:firstLine="399"/>
        <w:spacing w:after="0" w:line="261" w:lineRule="auto"/>
        <w:rPr>
          <w:sz w:val="20"/>
          <w:szCs w:val="20"/>
          <w:color w:val="auto"/>
        </w:rPr>
      </w:pPr>
      <w:r>
        <w:rPr>
          <w:rFonts w:ascii="Times New Roman" w:cs="Times New Roman" w:eastAsia="Times New Roman" w:hAnsi="Times New Roman"/>
          <w:sz w:val="13"/>
          <w:szCs w:val="13"/>
          <w:color w:val="auto"/>
        </w:rPr>
        <w:t>Since we are a holding company, our ability to pay dividends will depend largely on the ability of our subsidiaries to pay dividends to us, and the ability of our title insurance subsidiaries to do so is subject to, among other factors, their compliance with applicable insurance regulations. As of December 31, 2006, $1,995.5 million of the Company’s net assets are restricted from dividend payments without prior approval from the Departments of Insurance in the States where our title insurance subsidiaries are domiciled. During 2007, our directly owned title insurance subsidiaries can pay dividends or make distributions to us of approximately $264.8 million without prior approval. The limits placed on such subsidiaries’ abilities to pay dividends affect our ability to pay dividends. Our</w:t>
      </w:r>
    </w:p>
    <w:p>
      <w:pPr>
        <w:spacing w:after="0" w:line="2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0" w:name="page31"/>
    <w:bookmarkEnd w:id="30"/>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960"/>
        <w:spacing w:after="0" w:line="286" w:lineRule="auto"/>
        <w:rPr>
          <w:sz w:val="20"/>
          <w:szCs w:val="20"/>
          <w:color w:val="auto"/>
        </w:rPr>
      </w:pPr>
      <w:r>
        <w:rPr>
          <w:rFonts w:ascii="Times New Roman" w:cs="Times New Roman" w:eastAsia="Times New Roman" w:hAnsi="Times New Roman"/>
          <w:sz w:val="13"/>
          <w:szCs w:val="13"/>
          <w:color w:val="auto"/>
        </w:rPr>
        <w:t>ability to declare dividends is subject to restrictions under our existing credit agreement. We do not believe the restrictions contained in our credit agreement will, in the foreseeable future, adversely affect our ability to pay cash dividends at the current dividend rate.</w:t>
      </w:r>
    </w:p>
    <w:p>
      <w:pPr>
        <w:spacing w:after="0" w:line="47" w:lineRule="exact"/>
        <w:rPr>
          <w:sz w:val="20"/>
          <w:szCs w:val="20"/>
          <w:color w:val="auto"/>
        </w:rPr>
      </w:pPr>
    </w:p>
    <w:p>
      <w:pPr>
        <w:ind w:left="680" w:right="880" w:firstLine="399"/>
        <w:spacing w:after="0" w:line="286" w:lineRule="auto"/>
        <w:rPr>
          <w:sz w:val="20"/>
          <w:szCs w:val="20"/>
          <w:color w:val="auto"/>
        </w:rPr>
      </w:pPr>
      <w:r>
        <w:rPr>
          <w:rFonts w:ascii="Times New Roman" w:cs="Times New Roman" w:eastAsia="Times New Roman" w:hAnsi="Times New Roman"/>
          <w:sz w:val="13"/>
          <w:szCs w:val="13"/>
          <w:color w:val="auto"/>
        </w:rPr>
        <w:t>On October 25, 2006, our Board of Directors approved a three-year stock repurchase program under which we can repurchase up to 25 million shares of our common stock. We may make purchases from time to time in the open market, in block purchases or in privately negotiated transactions, depending on market conditions and other factors.</w:t>
      </w:r>
    </w:p>
    <w:p>
      <w:pPr>
        <w:spacing w:after="0" w:line="121" w:lineRule="exact"/>
        <w:rPr>
          <w:sz w:val="20"/>
          <w:szCs w:val="20"/>
          <w:color w:val="auto"/>
        </w:rPr>
      </w:pPr>
    </w:p>
    <w:p>
      <w:pPr>
        <w:ind w:left="680"/>
        <w:spacing w:after="0"/>
        <w:tabs>
          <w:tab w:leader="none" w:pos="1480" w:val="left"/>
        </w:tabs>
        <w:rPr>
          <w:sz w:val="20"/>
          <w:szCs w:val="20"/>
          <w:color w:val="auto"/>
        </w:rPr>
      </w:pPr>
      <w:r>
        <w:rPr>
          <w:rFonts w:ascii="Times New Roman" w:cs="Times New Roman" w:eastAsia="Times New Roman" w:hAnsi="Times New Roman"/>
          <w:sz w:val="13"/>
          <w:szCs w:val="13"/>
          <w:b w:val="1"/>
          <w:bCs w:val="1"/>
          <w:color w:val="auto"/>
        </w:rPr>
        <w:t>Item 6.</w:t>
      </w:r>
      <w:r>
        <w:rPr>
          <w:sz w:val="20"/>
          <w:szCs w:val="20"/>
          <w:color w:val="auto"/>
        </w:rPr>
        <w:tab/>
      </w:r>
      <w:r>
        <w:rPr>
          <w:rFonts w:ascii="Times New Roman" w:cs="Times New Roman" w:eastAsia="Times New Roman" w:hAnsi="Times New Roman"/>
          <w:sz w:val="13"/>
          <w:szCs w:val="13"/>
          <w:b w:val="1"/>
          <w:bCs w:val="1"/>
          <w:i w:val="1"/>
          <w:iCs w:val="1"/>
          <w:color w:val="auto"/>
        </w:rPr>
        <w:t>Selected Financial Data</w:t>
      </w:r>
    </w:p>
    <w:p>
      <w:pPr>
        <w:spacing w:after="0" w:line="100" w:lineRule="exact"/>
        <w:rPr>
          <w:sz w:val="20"/>
          <w:szCs w:val="20"/>
          <w:color w:val="auto"/>
        </w:rPr>
      </w:pPr>
    </w:p>
    <w:p>
      <w:pPr>
        <w:ind w:left="680" w:right="900" w:firstLine="399"/>
        <w:spacing w:after="0" w:line="286" w:lineRule="auto"/>
        <w:rPr>
          <w:sz w:val="20"/>
          <w:szCs w:val="20"/>
          <w:color w:val="auto"/>
        </w:rPr>
      </w:pPr>
      <w:r>
        <w:rPr>
          <w:rFonts w:ascii="Times New Roman" w:cs="Times New Roman" w:eastAsia="Times New Roman" w:hAnsi="Times New Roman"/>
          <w:sz w:val="13"/>
          <w:szCs w:val="13"/>
          <w:color w:val="auto"/>
        </w:rPr>
        <w:t>The information set forth below should be read in conjunction with the consolidated financial statements and related notes and “Management’s Discussion and Analysis of Financial Condition and Results of Operations” included elsewhere in this Form 10-K. Certain reclassifications have been made to the prior year amounts to conform with the 2006 presentation.</w:t>
      </w:r>
    </w:p>
    <w:p>
      <w:pPr>
        <w:spacing w:after="0" w:line="47" w:lineRule="exact"/>
        <w:rPr>
          <w:sz w:val="20"/>
          <w:szCs w:val="20"/>
          <w:color w:val="auto"/>
        </w:rPr>
      </w:pPr>
    </w:p>
    <w:p>
      <w:pPr>
        <w:ind w:left="680" w:right="860" w:firstLine="399"/>
        <w:spacing w:after="0" w:line="258" w:lineRule="auto"/>
        <w:rPr>
          <w:sz w:val="20"/>
          <w:szCs w:val="20"/>
          <w:color w:val="auto"/>
        </w:rPr>
      </w:pPr>
      <w:r>
        <w:rPr>
          <w:rFonts w:ascii="Times New Roman" w:cs="Times New Roman" w:eastAsia="Times New Roman" w:hAnsi="Times New Roman"/>
          <w:sz w:val="13"/>
          <w:szCs w:val="13"/>
          <w:color w:val="auto"/>
        </w:rPr>
        <w:t xml:space="preserve">Acquisitions among entities under common control such as the Asset Contribution are not considered business combinations and are to be accounted for at historical cost in accordance with </w:t>
      </w:r>
      <w:r>
        <w:rPr>
          <w:rFonts w:ascii="Times New Roman" w:cs="Times New Roman" w:eastAsia="Times New Roman" w:hAnsi="Times New Roman"/>
          <w:sz w:val="13"/>
          <w:szCs w:val="13"/>
          <w:i w:val="1"/>
          <w:iCs w:val="1"/>
          <w:color w:val="auto"/>
        </w:rPr>
        <w:t>Emerging Issues Task Force</w:t>
      </w:r>
      <w:r>
        <w:rPr>
          <w:rFonts w:ascii="Times New Roman" w:cs="Times New Roman" w:eastAsia="Times New Roman" w:hAnsi="Times New Roman"/>
          <w:sz w:val="13"/>
          <w:szCs w:val="13"/>
          <w:color w:val="auto"/>
        </w:rPr>
        <w:t xml:space="preserve"> (“EITF”) </w:t>
      </w:r>
      <w:r>
        <w:rPr>
          <w:rFonts w:ascii="Times New Roman" w:cs="Times New Roman" w:eastAsia="Times New Roman" w:hAnsi="Times New Roman"/>
          <w:sz w:val="13"/>
          <w:szCs w:val="13"/>
          <w:i w:val="1"/>
          <w:iCs w:val="1"/>
          <w:color w:val="auto"/>
        </w:rPr>
        <w:t>90-5, Exchanges of Ownership Interests between Enterprises under Common Control.</w:t>
      </w:r>
      <w:r>
        <w:rPr>
          <w:rFonts w:ascii="Times New Roman" w:cs="Times New Roman" w:eastAsia="Times New Roman" w:hAnsi="Times New Roman"/>
          <w:sz w:val="13"/>
          <w:szCs w:val="13"/>
          <w:color w:val="auto"/>
        </w:rPr>
        <w:t xml:space="preserve"> Furthermore, the substance of the Asset Contribution and the 2006 Distribution and the Old FNF-FIS merger is effectively a reverse spin-off of FIS by Old FNF in accordance with </w:t>
      </w:r>
      <w:r>
        <w:rPr>
          <w:rFonts w:ascii="Times New Roman" w:cs="Times New Roman" w:eastAsia="Times New Roman" w:hAnsi="Times New Roman"/>
          <w:sz w:val="13"/>
          <w:szCs w:val="13"/>
          <w:i w:val="1"/>
          <w:iCs w:val="1"/>
          <w:color w:val="auto"/>
        </w:rPr>
        <w:t>EITF 02-11, Accounting for Reverse Spinoffs.</w:t>
      </w:r>
      <w:r>
        <w:rPr>
          <w:rFonts w:ascii="Times New Roman" w:cs="Times New Roman" w:eastAsia="Times New Roman" w:hAnsi="Times New Roman"/>
          <w:sz w:val="13"/>
          <w:szCs w:val="13"/>
          <w:color w:val="auto"/>
        </w:rPr>
        <w:t xml:space="preserve"> Accordingly, the historical financial statements of Old FNF became those of FNF; however, the criteria to account for FIS as discontinued operations as prescribed by </w:t>
      </w:r>
      <w:r>
        <w:rPr>
          <w:rFonts w:ascii="Times New Roman" w:cs="Times New Roman" w:eastAsia="Times New Roman" w:hAnsi="Times New Roman"/>
          <w:sz w:val="13"/>
          <w:szCs w:val="13"/>
          <w:i w:val="1"/>
          <w:iCs w:val="1"/>
          <w:color w:val="auto"/>
        </w:rPr>
        <w:t>SFAS No. 144,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Accounting for the Impairment or Disposal of Long-Lived Assets </w:t>
      </w:r>
      <w:r>
        <w:rPr>
          <w:rFonts w:ascii="Times New Roman" w:cs="Times New Roman" w:eastAsia="Times New Roman" w:hAnsi="Times New Roman"/>
          <w:sz w:val="13"/>
          <w:szCs w:val="13"/>
          <w:color w:val="auto"/>
        </w:rPr>
        <w:t>were not met. This is primarily due to our continuing involvement with and significant influence over FIS subsequent to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merger of Old FNF and FIS through common board members, common senior management and continuing business relationships. As a result, for periods prior to October 24, 2006, FIS continues to be included in our consolidated financial statements.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98"/>
        </w:trPr>
        <w:tc>
          <w:tcPr>
            <w:tcW w:w="6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175"/>
              <w:spacing w:after="0" w:line="98" w:lineRule="exact"/>
              <w:rPr>
                <w:sz w:val="20"/>
                <w:szCs w:val="20"/>
                <w:color w:val="auto"/>
              </w:rPr>
            </w:pPr>
            <w:r>
              <w:rPr>
                <w:rFonts w:ascii="Times New Roman" w:cs="Times New Roman" w:eastAsia="Times New Roman" w:hAnsi="Times New Roman"/>
                <w:sz w:val="10"/>
                <w:szCs w:val="10"/>
                <w:b w:val="1"/>
                <w:bCs w:val="1"/>
                <w:color w:val="auto"/>
              </w:rPr>
              <w:t>2006(1)</w:t>
            </w: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16"/>
              <w:spacing w:after="0" w:line="98" w:lineRule="exact"/>
              <w:rPr>
                <w:sz w:val="20"/>
                <w:szCs w:val="20"/>
                <w:color w:val="auto"/>
              </w:rPr>
            </w:pPr>
            <w:r>
              <w:rPr>
                <w:rFonts w:ascii="Times New Roman" w:cs="Times New Roman" w:eastAsia="Times New Roman" w:hAnsi="Times New Roman"/>
                <w:sz w:val="10"/>
                <w:szCs w:val="10"/>
                <w:b w:val="1"/>
                <w:bCs w:val="1"/>
                <w:color w:val="auto"/>
              </w:rPr>
              <w:t>2005(2)</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155"/>
              <w:spacing w:after="0" w:line="98" w:lineRule="exact"/>
              <w:rPr>
                <w:sz w:val="20"/>
                <w:szCs w:val="20"/>
                <w:color w:val="auto"/>
              </w:rPr>
            </w:pPr>
            <w:r>
              <w:rPr>
                <w:rFonts w:ascii="Times New Roman" w:cs="Times New Roman" w:eastAsia="Times New Roman" w:hAnsi="Times New Roman"/>
                <w:sz w:val="10"/>
                <w:szCs w:val="10"/>
                <w:b w:val="1"/>
                <w:bCs w:val="1"/>
                <w:color w:val="auto"/>
              </w:rPr>
              <w:t>2004(3)</w:t>
            </w:r>
          </w:p>
        </w:tc>
        <w:tc>
          <w:tcPr>
            <w:tcW w:w="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75"/>
              <w:spacing w:after="0" w:line="98" w:lineRule="exact"/>
              <w:rPr>
                <w:sz w:val="20"/>
                <w:szCs w:val="20"/>
                <w:color w:val="auto"/>
              </w:rPr>
            </w:pPr>
            <w:r>
              <w:rPr>
                <w:rFonts w:ascii="Times New Roman" w:cs="Times New Roman" w:eastAsia="Times New Roman" w:hAnsi="Times New Roman"/>
                <w:sz w:val="10"/>
                <w:szCs w:val="10"/>
                <w:b w:val="1"/>
                <w:bCs w:val="1"/>
                <w:color w:val="auto"/>
              </w:rPr>
              <w:t>2003(4)</w:t>
            </w: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15"/>
              <w:spacing w:after="0" w:line="98" w:lineRule="exact"/>
              <w:rPr>
                <w:sz w:val="20"/>
                <w:szCs w:val="20"/>
                <w:color w:val="auto"/>
              </w:rPr>
            </w:pPr>
            <w:r>
              <w:rPr>
                <w:rFonts w:ascii="Times New Roman" w:cs="Times New Roman" w:eastAsia="Times New Roman" w:hAnsi="Times New Roman"/>
                <w:sz w:val="10"/>
                <w:szCs w:val="10"/>
                <w:b w:val="1"/>
                <w:bCs w:val="1"/>
                <w:color w:val="auto"/>
              </w:rPr>
              <w:t>2002</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3"/>
        </w:trPr>
        <w:tc>
          <w:tcPr>
            <w:tcW w:w="68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20" w:type="dxa"/>
            <w:vAlign w:val="bottom"/>
            <w:gridSpan w:val="7"/>
          </w:tcPr>
          <w:p>
            <w:pPr>
              <w:jc w:val="right"/>
              <w:spacing w:after="0"/>
              <w:rPr>
                <w:sz w:val="20"/>
                <w:szCs w:val="20"/>
                <w:color w:val="auto"/>
              </w:rPr>
            </w:pPr>
            <w:r>
              <w:rPr>
                <w:rFonts w:ascii="Times New Roman" w:cs="Times New Roman" w:eastAsia="Times New Roman" w:hAnsi="Times New Roman"/>
                <w:sz w:val="10"/>
                <w:szCs w:val="10"/>
                <w:b w:val="1"/>
                <w:bCs w:val="1"/>
                <w:color w:val="auto"/>
              </w:rPr>
              <w:t>(In thousands, except per share and other data)</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1"/>
        </w:trPr>
        <w:tc>
          <w:tcPr>
            <w:tcW w:w="68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Data:</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3"/>
                <w:szCs w:val="13"/>
                <w:color w:val="auto"/>
              </w:rPr>
              <w:t>Revenue</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9,436,101</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9,654,580</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8,295,820</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7,715,215</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5,082,640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Expenses:</w:t>
            </w: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Personnel costs</w:t>
            </w:r>
          </w:p>
        </w:tc>
        <w:tc>
          <w:tcPr>
            <w:tcW w:w="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3,225,319</w:t>
            </w:r>
          </w:p>
        </w:tc>
        <w:tc>
          <w:tcPr>
            <w:tcW w:w="1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3,224,678</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2,786,297</w:t>
            </w:r>
          </w:p>
        </w:tc>
        <w:tc>
          <w:tcPr>
            <w:tcW w:w="2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2,465,026</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1,476,430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operating expenses</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2,075,101</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1,702,353</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1,598,942</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1,448,133</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945,829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Agent commissions</w:t>
            </w:r>
          </w:p>
        </w:tc>
        <w:tc>
          <w:tcPr>
            <w:tcW w:w="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2,035,423</w:t>
            </w:r>
          </w:p>
        </w:tc>
        <w:tc>
          <w:tcPr>
            <w:tcW w:w="1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2,060,467</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2,028,926</w:t>
            </w:r>
          </w:p>
        </w:tc>
        <w:tc>
          <w:tcPr>
            <w:tcW w:w="2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1,823,241</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1,521,573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460,750</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406,259</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338,434</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227,937</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74,163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Provision for claim losses</w:t>
            </w:r>
          </w:p>
        </w:tc>
        <w:tc>
          <w:tcPr>
            <w:tcW w:w="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486,334</w:t>
            </w:r>
          </w:p>
        </w:tc>
        <w:tc>
          <w:tcPr>
            <w:tcW w:w="1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480,556</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311,916</w:t>
            </w:r>
          </w:p>
        </w:tc>
        <w:tc>
          <w:tcPr>
            <w:tcW w:w="2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287,136</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179,292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Interest expense</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209,972</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172,327</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47,214</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43,103</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34,053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8,492,899</w:t>
            </w:r>
          </w:p>
        </w:tc>
        <w:tc>
          <w:tcPr>
            <w:tcW w:w="4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8,046,640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7,111,729</w:t>
            </w:r>
          </w:p>
        </w:tc>
        <w:tc>
          <w:tcPr>
            <w:tcW w:w="4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6,294,576</w:t>
            </w:r>
          </w:p>
        </w:tc>
        <w:tc>
          <w:tcPr>
            <w:tcW w:w="3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4,231,340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Earnings before income taxes and minority interest</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943,202</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1,607,940</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1,184,091</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1,420,639</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851,300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 expense</w:t>
            </w:r>
          </w:p>
        </w:tc>
        <w:tc>
          <w:tcPr>
            <w:tcW w:w="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350,871</w:t>
            </w:r>
          </w:p>
        </w:tc>
        <w:tc>
          <w:tcPr>
            <w:tcW w:w="1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573,391</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438,114</w:t>
            </w:r>
          </w:p>
        </w:tc>
        <w:tc>
          <w:tcPr>
            <w:tcW w:w="2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539,843</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306,468</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Earnings before minority interest</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592,331</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1,034,549</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745,977</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880,796</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544,832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Minority interest</w:t>
            </w:r>
          </w:p>
        </w:tc>
        <w:tc>
          <w:tcPr>
            <w:tcW w:w="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154,570</w:t>
            </w:r>
          </w:p>
        </w:tc>
        <w:tc>
          <w:tcPr>
            <w:tcW w:w="1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70,443</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5,015</w:t>
            </w:r>
          </w:p>
        </w:tc>
        <w:tc>
          <w:tcPr>
            <w:tcW w:w="2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18,976</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13,115</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earnings</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437,761</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964,106</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740,962</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861,820</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531,717</w:t>
            </w:r>
          </w:p>
        </w:tc>
        <w:tc>
          <w:tcPr>
            <w:tcW w:w="800" w:type="dxa"/>
            <w:vAlign w:val="bottom"/>
          </w:tcPr>
          <w:p>
            <w:pPr>
              <w:spacing w:after="0"/>
              <w:rPr>
                <w:sz w:val="13"/>
                <w:szCs w:val="13"/>
                <w:color w:val="auto"/>
              </w:rPr>
            </w:pPr>
          </w:p>
        </w:tc>
      </w:tr>
      <w:tr>
        <w:trPr>
          <w:trHeight w:val="29"/>
        </w:trPr>
        <w:tc>
          <w:tcPr>
            <w:tcW w:w="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463"/>
        </w:trPr>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28</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42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31" w:name="page32"/>
    <w:bookmarkEnd w:id="31"/>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4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98"/>
        </w:trPr>
        <w:tc>
          <w:tcPr>
            <w:tcW w:w="4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175"/>
              <w:spacing w:after="0" w:line="98" w:lineRule="exact"/>
              <w:rPr>
                <w:sz w:val="20"/>
                <w:szCs w:val="20"/>
                <w:color w:val="auto"/>
              </w:rPr>
            </w:pPr>
            <w:r>
              <w:rPr>
                <w:rFonts w:ascii="Times New Roman" w:cs="Times New Roman" w:eastAsia="Times New Roman" w:hAnsi="Times New Roman"/>
                <w:sz w:val="10"/>
                <w:szCs w:val="10"/>
                <w:b w:val="1"/>
                <w:bCs w:val="1"/>
                <w:color w:val="auto"/>
              </w:rPr>
              <w:t>2006(1)</w:t>
            </w: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16"/>
              <w:spacing w:after="0" w:line="98" w:lineRule="exact"/>
              <w:rPr>
                <w:sz w:val="20"/>
                <w:szCs w:val="20"/>
                <w:color w:val="auto"/>
              </w:rPr>
            </w:pPr>
            <w:r>
              <w:rPr>
                <w:rFonts w:ascii="Times New Roman" w:cs="Times New Roman" w:eastAsia="Times New Roman" w:hAnsi="Times New Roman"/>
                <w:sz w:val="10"/>
                <w:szCs w:val="10"/>
                <w:b w:val="1"/>
                <w:bCs w:val="1"/>
                <w:color w:val="auto"/>
              </w:rPr>
              <w:t>2005(2)</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156"/>
              <w:spacing w:after="0" w:line="98" w:lineRule="exact"/>
              <w:rPr>
                <w:sz w:val="20"/>
                <w:szCs w:val="20"/>
                <w:color w:val="auto"/>
              </w:rPr>
            </w:pPr>
            <w:r>
              <w:rPr>
                <w:rFonts w:ascii="Times New Roman" w:cs="Times New Roman" w:eastAsia="Times New Roman" w:hAnsi="Times New Roman"/>
                <w:sz w:val="10"/>
                <w:szCs w:val="10"/>
                <w:b w:val="1"/>
                <w:bCs w:val="1"/>
                <w:color w:val="auto"/>
              </w:rPr>
              <w:t>2004(3)</w:t>
            </w:r>
          </w:p>
        </w:tc>
        <w:tc>
          <w:tcPr>
            <w:tcW w:w="4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76"/>
              <w:spacing w:after="0" w:line="98" w:lineRule="exact"/>
              <w:rPr>
                <w:sz w:val="20"/>
                <w:szCs w:val="20"/>
                <w:color w:val="auto"/>
              </w:rPr>
            </w:pPr>
            <w:r>
              <w:rPr>
                <w:rFonts w:ascii="Times New Roman" w:cs="Times New Roman" w:eastAsia="Times New Roman" w:hAnsi="Times New Roman"/>
                <w:sz w:val="10"/>
                <w:szCs w:val="10"/>
                <w:b w:val="1"/>
                <w:bCs w:val="1"/>
                <w:color w:val="auto"/>
              </w:rPr>
              <w:t>2003(4)</w:t>
            </w: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16"/>
              <w:spacing w:after="0" w:line="98" w:lineRule="exact"/>
              <w:rPr>
                <w:sz w:val="20"/>
                <w:szCs w:val="20"/>
                <w:color w:val="auto"/>
              </w:rPr>
            </w:pPr>
            <w:r>
              <w:rPr>
                <w:rFonts w:ascii="Times New Roman" w:cs="Times New Roman" w:eastAsia="Times New Roman" w:hAnsi="Times New Roman"/>
                <w:sz w:val="10"/>
                <w:szCs w:val="10"/>
                <w:b w:val="1"/>
                <w:bCs w:val="1"/>
                <w:color w:val="auto"/>
              </w:rPr>
              <w:t>2002</w:t>
            </w:r>
          </w:p>
        </w:tc>
        <w:tc>
          <w:tcPr>
            <w:tcW w:w="120" w:type="dxa"/>
            <w:vAlign w:val="bottom"/>
          </w:tcPr>
          <w:p>
            <w:pPr>
              <w:spacing w:after="0"/>
              <w:rPr>
                <w:sz w:val="8"/>
                <w:szCs w:val="8"/>
                <w:color w:val="auto"/>
              </w:rPr>
            </w:pPr>
          </w:p>
        </w:tc>
      </w:tr>
      <w:tr>
        <w:trPr>
          <w:trHeight w:val="133"/>
        </w:trPr>
        <w:tc>
          <w:tcPr>
            <w:tcW w:w="4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60" w:type="dxa"/>
            <w:vAlign w:val="bottom"/>
            <w:gridSpan w:val="7"/>
          </w:tcPr>
          <w:p>
            <w:pPr>
              <w:jc w:val="right"/>
              <w:spacing w:after="0"/>
              <w:rPr>
                <w:sz w:val="20"/>
                <w:szCs w:val="20"/>
                <w:color w:val="auto"/>
              </w:rPr>
            </w:pPr>
            <w:r>
              <w:rPr>
                <w:rFonts w:ascii="Times New Roman" w:cs="Times New Roman" w:eastAsia="Times New Roman" w:hAnsi="Times New Roman"/>
                <w:sz w:val="10"/>
                <w:szCs w:val="10"/>
                <w:b w:val="1"/>
                <w:bCs w:val="1"/>
                <w:color w:val="auto"/>
              </w:rPr>
              <w:t>(In thousands, except per share and other data)</w:t>
            </w: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Per Share Data(5):</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41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Basic net earnings per share</w:t>
            </w: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400" w:type="dxa"/>
            <w:vAlign w:val="bottom"/>
          </w:tcPr>
          <w:p>
            <w:pPr>
              <w:spacing w:after="0"/>
              <w:rPr>
                <w:sz w:val="14"/>
                <w:szCs w:val="14"/>
                <w:color w:val="auto"/>
              </w:rPr>
            </w:pP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Weighted average shares outstanding, basic basis</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182,031</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173,463</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41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Diluted net earnings per share</w:t>
            </w: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400" w:type="dxa"/>
            <w:vAlign w:val="bottom"/>
          </w:tcPr>
          <w:p>
            <w:pPr>
              <w:spacing w:after="0"/>
              <w:rPr>
                <w:sz w:val="14"/>
                <w:szCs w:val="14"/>
                <w:color w:val="auto"/>
              </w:rPr>
            </w:pP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Weighted average shares outstanding, diluted basis</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182,861</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173,575</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7"/>
        </w:trPr>
        <w:tc>
          <w:tcPr>
            <w:tcW w:w="4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Unaudited pro forma net earnings per share — basic and diluted(6)</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4.28</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4"/>
        </w:trPr>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62"/>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Unaudited pro forma weighted average shares — basic and diluted(6)</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172,951</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7"/>
        </w:trPr>
        <w:tc>
          <w:tcPr>
            <w:tcW w:w="4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Dividends declared per share</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1.17</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0.25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Sheet Data:</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4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Investments(7)</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4,121,751</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4,564,189</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3,346,276</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2,689,817</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2,565,815</w:t>
            </w:r>
          </w:p>
        </w:tc>
      </w:tr>
      <w:tr>
        <w:trPr>
          <w:trHeight w:val="157"/>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equivalents(8)</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676,444</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513,394</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331,222</w:t>
            </w: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459,655</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482,600</w:t>
            </w:r>
          </w:p>
        </w:tc>
      </w:tr>
      <w:tr>
        <w:trPr>
          <w:trHeight w:val="157"/>
        </w:trPr>
        <w:tc>
          <w:tcPr>
            <w:tcW w:w="4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7,259,559</w:t>
            </w:r>
          </w:p>
        </w:tc>
        <w:tc>
          <w:tcPr>
            <w:tcW w:w="1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11,104,617</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9,270,535</w:t>
            </w:r>
          </w:p>
        </w:tc>
        <w:tc>
          <w:tcPr>
            <w:tcW w:w="2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7,263,175</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5,245,951</w:t>
            </w:r>
          </w:p>
        </w:tc>
      </w:tr>
      <w:tr>
        <w:trPr>
          <w:trHeight w:val="157"/>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Notes payable</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491,167</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3,217,019</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1,370,556</w:t>
            </w: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659,186</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493,458</w:t>
            </w:r>
          </w:p>
        </w:tc>
      </w:tr>
      <w:tr>
        <w:trPr>
          <w:trHeight w:val="157"/>
        </w:trPr>
        <w:tc>
          <w:tcPr>
            <w:tcW w:w="4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Reserve for claim losses</w:t>
            </w: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1,220,636</w:t>
            </w:r>
          </w:p>
        </w:tc>
        <w:tc>
          <w:tcPr>
            <w:tcW w:w="1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1,113,506</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1,000,474</w:t>
            </w:r>
          </w:p>
        </w:tc>
        <w:tc>
          <w:tcPr>
            <w:tcW w:w="2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945,237</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890,148</w:t>
            </w:r>
          </w:p>
        </w:tc>
      </w:tr>
      <w:tr>
        <w:trPr>
          <w:trHeight w:val="157"/>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Minority interests and preferred stock of subsidiary</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56,044</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636,304</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18,874</w:t>
            </w: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14,835</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131,797</w:t>
            </w:r>
          </w:p>
        </w:tc>
      </w:tr>
      <w:tr>
        <w:trPr>
          <w:trHeight w:val="157"/>
        </w:trPr>
        <w:tc>
          <w:tcPr>
            <w:tcW w:w="4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Stockholders’ equity</w:t>
            </w: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3,474,368</w:t>
            </w:r>
          </w:p>
        </w:tc>
        <w:tc>
          <w:tcPr>
            <w:tcW w:w="1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3,279,775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4,700,091</w:t>
            </w:r>
          </w:p>
        </w:tc>
        <w:tc>
          <w:tcPr>
            <w:tcW w:w="2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3,873,359</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2,253,936</w:t>
            </w:r>
          </w:p>
        </w:tc>
      </w:tr>
      <w:tr>
        <w:trPr>
          <w:trHeight w:val="157"/>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Book value per share(9)</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15.75</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18.81</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4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Data:</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Orders opened by direct title operations</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3,146,200</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3,615,400</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3,680,200</w:t>
            </w: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4,820,700</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3,228,300</w:t>
            </w:r>
          </w:p>
        </w:tc>
      </w:tr>
      <w:tr>
        <w:trPr>
          <w:trHeight w:val="157"/>
        </w:trPr>
        <w:tc>
          <w:tcPr>
            <w:tcW w:w="4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Orders closed by direct title operations</w:t>
            </w: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2,051,500</w:t>
            </w:r>
          </w:p>
        </w:tc>
        <w:tc>
          <w:tcPr>
            <w:tcW w:w="1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2,487,000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2,636,300</w:t>
            </w:r>
          </w:p>
        </w:tc>
        <w:tc>
          <w:tcPr>
            <w:tcW w:w="2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3,694,000</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2,290,300</w:t>
            </w:r>
          </w:p>
        </w:tc>
      </w:tr>
    </w:tbl>
    <w:p>
      <w:pPr>
        <w:spacing w:after="0" w:line="8"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Provision for claim losses to title insurance premiums</w:t>
            </w:r>
          </w:p>
        </w:tc>
        <w:tc>
          <w:tcPr>
            <w:tcW w:w="168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3"/>
                <w:szCs w:val="13"/>
                <w:color w:val="auto"/>
              </w:rPr>
              <w:t>7.5%</w:t>
            </w:r>
          </w:p>
        </w:tc>
        <w:tc>
          <w:tcPr>
            <w:tcW w:w="12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3"/>
                <w:szCs w:val="13"/>
                <w:color w:val="auto"/>
              </w:rPr>
              <w:t>7.2%</w:t>
            </w:r>
          </w:p>
        </w:tc>
        <w:tc>
          <w:tcPr>
            <w:tcW w:w="122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3"/>
                <w:szCs w:val="13"/>
                <w:color w:val="auto"/>
              </w:rPr>
              <w:t>5.5%</w:t>
            </w:r>
          </w:p>
        </w:tc>
        <w:tc>
          <w:tcPr>
            <w:tcW w:w="120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3"/>
                <w:szCs w:val="13"/>
                <w:color w:val="auto"/>
              </w:rPr>
              <w:t>5.4%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7"/>
        </w:trPr>
        <w:tc>
          <w:tcPr>
            <w:tcW w:w="3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Title related revenue(10):</w:t>
            </w:r>
          </w:p>
        </w:tc>
        <w:tc>
          <w:tcPr>
            <w:tcW w:w="1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7"/>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Percentage direct operations</w:t>
            </w:r>
          </w:p>
        </w:tc>
        <w:tc>
          <w:tcPr>
            <w:tcW w:w="168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3"/>
                <w:szCs w:val="13"/>
                <w:color w:val="auto"/>
              </w:rPr>
              <w:t>53.3%</w:t>
            </w:r>
          </w:p>
        </w:tc>
        <w:tc>
          <w:tcPr>
            <w:tcW w:w="12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3"/>
                <w:szCs w:val="13"/>
                <w:color w:val="auto"/>
              </w:rPr>
              <w:t>56.0%</w:t>
            </w:r>
          </w:p>
        </w:tc>
        <w:tc>
          <w:tcPr>
            <w:tcW w:w="122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3"/>
                <w:szCs w:val="13"/>
                <w:color w:val="auto"/>
              </w:rPr>
              <w:t>54.8%</w:t>
            </w:r>
          </w:p>
        </w:tc>
        <w:tc>
          <w:tcPr>
            <w:tcW w:w="120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3"/>
                <w:szCs w:val="13"/>
                <w:color w:val="auto"/>
              </w:rPr>
              <w:t>59.7%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w:t>
            </w:r>
          </w:p>
        </w:tc>
      </w:tr>
      <w:tr>
        <w:trPr>
          <w:trHeight w:val="171"/>
        </w:trPr>
        <w:tc>
          <w:tcPr>
            <w:tcW w:w="3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Percentage agency operations</w:t>
            </w:r>
          </w:p>
        </w:tc>
        <w:tc>
          <w:tcPr>
            <w:tcW w:w="168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46.7%</w:t>
            </w: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rPr>
              <w:t>44.0%</w:t>
            </w:r>
          </w:p>
        </w:tc>
        <w:tc>
          <w:tcPr>
            <w:tcW w:w="122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rPr>
              <w:t>45.2%</w:t>
            </w:r>
          </w:p>
        </w:tc>
        <w:tc>
          <w:tcPr>
            <w:tcW w:w="120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rPr>
              <w:t>40.3%</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53975</wp:posOffset>
            </wp:positionV>
            <wp:extent cx="82359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1" w:lineRule="exact"/>
        <w:rPr>
          <w:sz w:val="20"/>
          <w:szCs w:val="20"/>
          <w:color w:val="auto"/>
        </w:rPr>
      </w:pPr>
    </w:p>
    <w:p>
      <w:pPr>
        <w:ind w:left="1280" w:right="180" w:hanging="245"/>
        <w:spacing w:after="0" w:line="269" w:lineRule="auto"/>
        <w:tabs>
          <w:tab w:leader="none" w:pos="12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Beginning October 24, 2006, the date on which the Asset Contribution and the 2006 Distribution were completed, our financial results no longer include the results of FIS. The operations of FIS continue to be included in our results for periods prior to October 24, 2006. In addition, FIS’s financial results for 2006 include the results of operations of Certegy, Inc. (“Certegy”) since February 1, 2006, the date on which Certegy was acquired by FIS (see Note B of Notes to Consolidated Financial Statements).</w:t>
      </w:r>
    </w:p>
    <w:p>
      <w:pPr>
        <w:spacing w:after="0" w:line="8" w:lineRule="exact"/>
        <w:rPr>
          <w:rFonts w:ascii="Times New Roman" w:cs="Times New Roman" w:eastAsia="Times New Roman" w:hAnsi="Times New Roman"/>
          <w:sz w:val="13"/>
          <w:szCs w:val="13"/>
          <w:color w:val="auto"/>
        </w:rPr>
      </w:pPr>
    </w:p>
    <w:p>
      <w:pPr>
        <w:ind w:left="1280" w:right="520" w:hanging="245"/>
        <w:spacing w:after="0" w:line="286" w:lineRule="auto"/>
        <w:tabs>
          <w:tab w:leader="none" w:pos="12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financial results for the year ended December 31, 2005 include in revenue and net earnings a $318.2 million gain on sale relating to the issuance of subsidiary stock, approximately $100.0 million in additional income tax expense relating to the distribution to our shareholders of a 17.5% interest of FNT and</w:t>
      </w:r>
    </w:p>
    <w:p>
      <w:pPr>
        <w:spacing w:after="0" w:line="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2" w:name="page33"/>
    <w:bookmarkEnd w:id="32"/>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additional minority interest expense related to the minority interest issued in FNT and FIS. (See Note A of the Notes to Consolidated Financial Statements).</w:t>
      </w:r>
    </w:p>
    <w:p>
      <w:pPr>
        <w:spacing w:after="0" w:line="57" w:lineRule="exact"/>
        <w:rPr>
          <w:sz w:val="20"/>
          <w:szCs w:val="20"/>
          <w:color w:val="auto"/>
        </w:rPr>
      </w:pPr>
    </w:p>
    <w:p>
      <w:pPr>
        <w:ind w:left="1280" w:right="400" w:hanging="245"/>
        <w:spacing w:after="0" w:line="284" w:lineRule="auto"/>
        <w:tabs>
          <w:tab w:leader="none" w:pos="12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financial results for the year ended December 31, 2004 include the results of various entities acquired on various dates during 2004, as discussed in Note B of Notes to Consolidated Financial Statements.</w:t>
      </w:r>
    </w:p>
    <w:p>
      <w:pPr>
        <w:ind w:left="1280" w:right="260" w:hanging="245"/>
        <w:spacing w:after="0" w:line="284" w:lineRule="auto"/>
        <w:tabs>
          <w:tab w:leader="none" w:pos="12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financial results for the year ended December 31, 2003 include the results of our acquisition of ALLTEL Information Services, Inc. for the period from April 1, 2003, the acquisition date, through December 31, 2003, and include the results of operations of various other entities acquired on various dates during 2003.</w:t>
      </w:r>
    </w:p>
    <w:p>
      <w:pPr>
        <w:ind w:left="1280" w:hanging="245"/>
        <w:spacing w:after="0"/>
        <w:tabs>
          <w:tab w:leader="none" w:pos="12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historical basic and diluted earnings per share have been calculated using FNT’s basic and diluted weighted average shares outstanding.</w:t>
      </w:r>
    </w:p>
    <w:p>
      <w:pPr>
        <w:spacing w:after="0" w:line="47" w:lineRule="exact"/>
        <w:rPr>
          <w:rFonts w:ascii="Times New Roman" w:cs="Times New Roman" w:eastAsia="Times New Roman" w:hAnsi="Times New Roman"/>
          <w:sz w:val="13"/>
          <w:szCs w:val="13"/>
          <w:color w:val="auto"/>
        </w:rPr>
      </w:pPr>
    </w:p>
    <w:p>
      <w:pPr>
        <w:ind w:left="1280" w:right="520" w:hanging="245"/>
        <w:spacing w:after="0" w:line="284" w:lineRule="auto"/>
        <w:tabs>
          <w:tab w:leader="none" w:pos="12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Unaudited pro forma net earnings per share is calculated using the number of outstanding shares of Old FNF on a date prior to the distribution of FNF shares to Old FNF shareholders.</w:t>
      </w:r>
    </w:p>
    <w:p>
      <w:pPr>
        <w:jc w:val="both"/>
        <w:ind w:left="1280" w:right="560" w:hanging="245"/>
        <w:spacing w:after="0" w:line="269" w:lineRule="auto"/>
        <w:tabs>
          <w:tab w:leader="none" w:pos="12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Investments as of December 31, 2006, 2005, 2004, 2003, and 2002 include securities pledged to secure trust deposits of $696.8 million, $656.0 million, $546.0 million, $448.1 million, and $474.9 million, respectively. Investments as of December 31, 2006 and 2005 include securities pledged relating to our securities lending program of $271.0 million and $138.7 million, respectively.</w:t>
      </w:r>
    </w:p>
    <w:p>
      <w:pPr>
        <w:spacing w:after="0" w:line="8" w:lineRule="exact"/>
        <w:rPr>
          <w:rFonts w:ascii="Times New Roman" w:cs="Times New Roman" w:eastAsia="Times New Roman" w:hAnsi="Times New Roman"/>
          <w:sz w:val="13"/>
          <w:szCs w:val="13"/>
          <w:color w:val="auto"/>
        </w:rPr>
      </w:pPr>
    </w:p>
    <w:p>
      <w:pPr>
        <w:jc w:val="both"/>
        <w:ind w:left="1280" w:right="60" w:hanging="245"/>
        <w:spacing w:after="0" w:line="269" w:lineRule="auto"/>
        <w:tabs>
          <w:tab w:leader="none" w:pos="12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and cash equivalents as of December 31, 2006, 2005, 2004, 2003, and 2002 include cash pledged to secure trust deposits of $228.5 million, $234.7 million, $195.2 million, $231.1 million, and $295.1 million, respectively. Cash and cash equivalents as of December 31, 2006 and 2005 include cash pledged relating to our securities lending program of $316.0 million and $143.4 million, respectively.</w:t>
      </w:r>
    </w:p>
    <w:p>
      <w:pPr>
        <w:spacing w:after="0" w:line="8" w:lineRule="exact"/>
        <w:rPr>
          <w:rFonts w:ascii="Times New Roman" w:cs="Times New Roman" w:eastAsia="Times New Roman" w:hAnsi="Times New Roman"/>
          <w:sz w:val="13"/>
          <w:szCs w:val="13"/>
          <w:color w:val="auto"/>
        </w:rPr>
      </w:pPr>
    </w:p>
    <w:p>
      <w:pPr>
        <w:ind w:left="1280" w:hanging="245"/>
        <w:spacing w:after="0"/>
        <w:tabs>
          <w:tab w:leader="none" w:pos="12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Book value per share is calculated as stockholders’ equity at December 31 of each year presented divided by actual shares outstanding at December 31 of each year presented.</w:t>
      </w:r>
    </w:p>
    <w:p>
      <w:pPr>
        <w:spacing w:after="0" w:line="47" w:lineRule="exact"/>
        <w:rPr>
          <w:rFonts w:ascii="Times New Roman" w:cs="Times New Roman" w:eastAsia="Times New Roman" w:hAnsi="Times New Roman"/>
          <w:sz w:val="13"/>
          <w:szCs w:val="13"/>
          <w:color w:val="auto"/>
        </w:rPr>
      </w:pPr>
    </w:p>
    <w:p>
      <w:pPr>
        <w:ind w:left="1280" w:hanging="310"/>
        <w:spacing w:after="0"/>
        <w:tabs>
          <w:tab w:leader="none" w:pos="12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title insurance premiums and escrow and other title related fees.</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Selected Quarterly Financial Data (Unaudited)</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Selected quarterly financial data is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4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jc w:val="right"/>
              <w:ind w:right="960"/>
              <w:spacing w:after="0"/>
              <w:rPr>
                <w:sz w:val="20"/>
                <w:szCs w:val="20"/>
                <w:color w:val="auto"/>
              </w:rPr>
            </w:pPr>
            <w:r>
              <w:rPr>
                <w:rFonts w:ascii="Times New Roman" w:cs="Times New Roman" w:eastAsia="Times New Roman" w:hAnsi="Times New Roman"/>
                <w:sz w:val="10"/>
                <w:szCs w:val="10"/>
                <w:b w:val="1"/>
                <w:bCs w:val="1"/>
                <w:color w:val="auto"/>
              </w:rPr>
              <w:t>Quarter Ended</w:t>
            </w: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4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ind w:left="60"/>
              <w:spacing w:after="0" w:line="98" w:lineRule="exact"/>
              <w:rPr>
                <w:sz w:val="20"/>
                <w:szCs w:val="20"/>
                <w:color w:val="auto"/>
              </w:rPr>
            </w:pPr>
            <w:r>
              <w:rPr>
                <w:rFonts w:ascii="Times New Roman" w:cs="Times New Roman" w:eastAsia="Times New Roman" w:hAnsi="Times New Roman"/>
                <w:sz w:val="10"/>
                <w:szCs w:val="10"/>
                <w:b w:val="1"/>
                <w:bCs w:val="1"/>
                <w:color w:val="auto"/>
              </w:rPr>
              <w:t>March 31,(1)</w:t>
            </w: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ind w:left="80"/>
              <w:spacing w:after="0" w:line="98" w:lineRule="exact"/>
              <w:rPr>
                <w:sz w:val="20"/>
                <w:szCs w:val="20"/>
                <w:color w:val="auto"/>
              </w:rPr>
            </w:pPr>
            <w:r>
              <w:rPr>
                <w:rFonts w:ascii="Times New Roman" w:cs="Times New Roman" w:eastAsia="Times New Roman" w:hAnsi="Times New Roman"/>
                <w:sz w:val="10"/>
                <w:szCs w:val="10"/>
                <w:b w:val="1"/>
                <w:bCs w:val="1"/>
                <w:color w:val="auto"/>
              </w:rPr>
              <w:t>June 30,</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95"/>
              <w:spacing w:after="0" w:line="98"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ind w:left="100"/>
              <w:spacing w:after="0" w:line="98" w:lineRule="exact"/>
              <w:rPr>
                <w:sz w:val="20"/>
                <w:szCs w:val="20"/>
                <w:color w:val="auto"/>
              </w:rPr>
            </w:pPr>
            <w:r>
              <w:rPr>
                <w:rFonts w:ascii="Times New Roman" w:cs="Times New Roman" w:eastAsia="Times New Roman" w:hAnsi="Times New Roman"/>
                <w:sz w:val="10"/>
                <w:szCs w:val="10"/>
                <w:b w:val="1"/>
                <w:bCs w:val="1"/>
                <w:color w:val="auto"/>
              </w:rPr>
              <w:t>December 31,(2)(3)</w:t>
            </w:r>
          </w:p>
        </w:tc>
        <w:tc>
          <w:tcPr>
            <w:tcW w:w="100" w:type="dxa"/>
            <w:vAlign w:val="bottom"/>
          </w:tcPr>
          <w:p>
            <w:pPr>
              <w:spacing w:after="0"/>
              <w:rPr>
                <w:sz w:val="8"/>
                <w:szCs w:val="8"/>
                <w:color w:val="auto"/>
              </w:rPr>
            </w:pPr>
          </w:p>
        </w:tc>
      </w:tr>
      <w:tr>
        <w:trPr>
          <w:trHeight w:val="133"/>
        </w:trPr>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00" w:type="dxa"/>
            <w:vAlign w:val="bottom"/>
            <w:gridSpan w:val="6"/>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(In thousands, except per share data)</w:t>
            </w: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2006</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2,354,498</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2,644,769</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2,634,822</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1,802,012</w:t>
            </w:r>
          </w:p>
        </w:tc>
      </w:tr>
      <w:tr>
        <w:trPr>
          <w:trHeight w:val="15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before income taxes and minority interest</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219,749</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296,781</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295,483</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131,189</w:t>
            </w:r>
          </w:p>
        </w:tc>
      </w:tr>
      <w:tr>
        <w:trPr>
          <w:trHeight w:val="157"/>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Net earnings</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106,371</w:t>
            </w:r>
          </w:p>
        </w:tc>
        <w:tc>
          <w:tcPr>
            <w:tcW w:w="18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132,621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127,571</w:t>
            </w:r>
          </w:p>
        </w:tc>
        <w:tc>
          <w:tcPr>
            <w:tcW w:w="16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71,198</w:t>
            </w:r>
          </w:p>
        </w:tc>
      </w:tr>
      <w:tr>
        <w:trPr>
          <w:trHeight w:val="15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earnings per share</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0.61</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0.76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0.74</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0.34</w:t>
            </w:r>
          </w:p>
        </w:tc>
      </w:tr>
      <w:tr>
        <w:trPr>
          <w:trHeight w:val="157"/>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Diluted earnings per share</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0.61</w:t>
            </w:r>
          </w:p>
        </w:tc>
        <w:tc>
          <w:tcPr>
            <w:tcW w:w="18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0.76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0.73</w:t>
            </w:r>
          </w:p>
        </w:tc>
        <w:tc>
          <w:tcPr>
            <w:tcW w:w="16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0.34</w:t>
            </w:r>
          </w:p>
        </w:tc>
      </w:tr>
      <w:tr>
        <w:trPr>
          <w:trHeight w:val="15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Dividends paid per share</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0.29</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0.29</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0.29</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0.30</w:t>
            </w:r>
          </w:p>
        </w:tc>
      </w:tr>
      <w:tr>
        <w:trPr>
          <w:trHeight w:val="157"/>
        </w:trPr>
        <w:tc>
          <w:tcPr>
            <w:tcW w:w="4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2005</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2,270,738</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2,432,516</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2,527,885</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2,423,441</w:t>
            </w:r>
          </w:p>
        </w:tc>
      </w:tr>
      <w:tr>
        <w:trPr>
          <w:trHeight w:val="157"/>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Earnings before income taxes and minority interest</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530,280</w:t>
            </w:r>
          </w:p>
        </w:tc>
        <w:tc>
          <w:tcPr>
            <w:tcW w:w="18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337,802</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374,518</w:t>
            </w:r>
          </w:p>
        </w:tc>
        <w:tc>
          <w:tcPr>
            <w:tcW w:w="16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365,340</w:t>
            </w:r>
          </w:p>
        </w:tc>
      </w:tr>
      <w:tr>
        <w:trPr>
          <w:trHeight w:val="15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earnings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444,497</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190,042</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214,403</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115,164</w:t>
            </w:r>
          </w:p>
        </w:tc>
      </w:tr>
      <w:tr>
        <w:trPr>
          <w:trHeight w:val="157"/>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Basic earnings per share</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2.57</w:t>
            </w:r>
          </w:p>
        </w:tc>
        <w:tc>
          <w:tcPr>
            <w:tcW w:w="18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1.24</w:t>
            </w:r>
          </w:p>
        </w:tc>
        <w:tc>
          <w:tcPr>
            <w:tcW w:w="16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0.66</w:t>
            </w:r>
          </w:p>
        </w:tc>
      </w:tr>
      <w:tr>
        <w:trPr>
          <w:trHeight w:val="15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earnings per share</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2.57</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1.10</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1.24</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0.66</w:t>
            </w:r>
          </w:p>
        </w:tc>
      </w:tr>
      <w:tr>
        <w:trPr>
          <w:trHeight w:val="171"/>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Dividends paid per share</w:t>
            </w:r>
          </w:p>
        </w:tc>
        <w:tc>
          <w:tcPr>
            <w:tcW w:w="12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0.25</w:t>
            </w:r>
          </w:p>
        </w:tc>
        <w:tc>
          <w:tcPr>
            <w:tcW w:w="1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53975</wp:posOffset>
            </wp:positionV>
            <wp:extent cx="82359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1" w:lineRule="exact"/>
        <w:rPr>
          <w:sz w:val="20"/>
          <w:szCs w:val="20"/>
          <w:color w:val="auto"/>
        </w:rPr>
      </w:pPr>
    </w:p>
    <w:p>
      <w:pPr>
        <w:ind w:left="1180" w:right="360" w:hanging="243"/>
        <w:spacing w:after="0" w:line="286" w:lineRule="auto"/>
        <w:tabs>
          <w:tab w:leader="none" w:pos="11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quarter ended March 31, 2005 includes in revenue and net earnings a $318.2 million gain on sale relating to the issuance of subsidiary securities. (See Note A of Notes to Consolidated Financial Statements).</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3" w:name="page34"/>
    <w:bookmarkEnd w:id="33"/>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180" w:right="480" w:hanging="243"/>
        <w:spacing w:after="0" w:line="284" w:lineRule="auto"/>
        <w:tabs>
          <w:tab w:leader="none" w:pos="11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quarter ended December 31, 2005 includes in net earnings approximately $100.0 million in additional income tax expense relating to the 2005 distribution to Old FNF shareholders of a 17.5% interest in FNT. (See Note A of Notes to Consolidated Financial Statements).</w:t>
      </w:r>
    </w:p>
    <w:p>
      <w:pPr>
        <w:ind w:left="1180" w:hanging="243"/>
        <w:spacing w:after="0"/>
        <w:tabs>
          <w:tab w:leader="none" w:pos="11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quarter ended December 31, 2006 includes the operations of FIS only through October 23, 2006. (See Note A of Notes to Consolidated Financial Statements).</w:t>
      </w:r>
    </w:p>
    <w:p>
      <w:pPr>
        <w:spacing w:after="0" w:line="171" w:lineRule="exact"/>
        <w:rPr>
          <w:sz w:val="20"/>
          <w:szCs w:val="20"/>
          <w:color w:val="auto"/>
        </w:rPr>
      </w:pPr>
    </w:p>
    <w:p>
      <w:pPr>
        <w:ind w:left="680"/>
        <w:spacing w:after="0"/>
        <w:tabs>
          <w:tab w:leader="none" w:pos="1480" w:val="left"/>
        </w:tabs>
        <w:rPr>
          <w:sz w:val="20"/>
          <w:szCs w:val="20"/>
          <w:color w:val="auto"/>
        </w:rPr>
      </w:pPr>
      <w:r>
        <w:rPr>
          <w:rFonts w:ascii="Times New Roman" w:cs="Times New Roman" w:eastAsia="Times New Roman" w:hAnsi="Times New Roman"/>
          <w:sz w:val="13"/>
          <w:szCs w:val="13"/>
          <w:b w:val="1"/>
          <w:bCs w:val="1"/>
          <w:color w:val="auto"/>
        </w:rPr>
        <w:t>Item 7.</w:t>
      </w:r>
      <w:r>
        <w:rPr>
          <w:sz w:val="20"/>
          <w:szCs w:val="20"/>
          <w:color w:val="auto"/>
        </w:rPr>
        <w:tab/>
      </w:r>
      <w:r>
        <w:rPr>
          <w:rFonts w:ascii="Times New Roman" w:cs="Times New Roman" w:eastAsia="Times New Roman" w:hAnsi="Times New Roman"/>
          <w:sz w:val="13"/>
          <w:szCs w:val="13"/>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300" w:firstLine="399"/>
        <w:spacing w:after="0" w:line="286" w:lineRule="auto"/>
        <w:rPr>
          <w:sz w:val="20"/>
          <w:szCs w:val="20"/>
          <w:color w:val="auto"/>
        </w:rPr>
      </w:pPr>
      <w:r>
        <w:rPr>
          <w:rFonts w:ascii="Times New Roman" w:cs="Times New Roman" w:eastAsia="Times New Roman" w:hAnsi="Times New Roman"/>
          <w:sz w:val="13"/>
          <w:szCs w:val="13"/>
          <w:color w:val="auto"/>
        </w:rPr>
        <w:t>The following discussion should be read in conjunction with the Consolidated Financial Statements and the Notes thereto and Selected Financial Data included elsewhere in this Form 10-K.</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98"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We are a holding company that is a provider, through our subsidiaries, of title insurance, specialty insurance, and claims management services. We are one of the nation’s largest title insurance companies through our title insurance underwriters, with an approximately 29.0% national market share. We also provide flood insurance, personal lines insurance, and home warranty insurance through our specialty insurance subsidiaries. We are also a leading provider of outsourced claims management services to large corporate and public sector entities through our minority-owned subsidiary, Sedgwick CMS (“Sedgwick”).</w:t>
      </w:r>
    </w:p>
    <w:p>
      <w:pPr>
        <w:spacing w:after="0" w:line="62" w:lineRule="exact"/>
        <w:rPr>
          <w:sz w:val="20"/>
          <w:szCs w:val="20"/>
          <w:color w:val="auto"/>
        </w:rPr>
      </w:pPr>
    </w:p>
    <w:p>
      <w:pPr>
        <w:ind w:left="680" w:right="20" w:firstLine="399"/>
        <w:spacing w:after="0" w:line="257" w:lineRule="auto"/>
        <w:rPr>
          <w:sz w:val="20"/>
          <w:szCs w:val="20"/>
          <w:color w:val="auto"/>
        </w:rPr>
      </w:pPr>
      <w:r>
        <w:rPr>
          <w:rFonts w:ascii="Times New Roman" w:cs="Times New Roman" w:eastAsia="Times New Roman" w:hAnsi="Times New Roman"/>
          <w:sz w:val="13"/>
          <w:szCs w:val="13"/>
          <w:color w:val="auto"/>
        </w:rPr>
        <w:t>Prior to October 17, 2005, we were known as Fidelity National Title Group, Inc. (“FNT”) and were a wholly-owned subsidiary of another publicly traded company, also called Fidelity National Financial, Inc. (“Old FNF”). On October 17, 2005, Old FNF distributed to its shareholders a minority interest in FNT, making it a majority-owned, publicly traded company. On October 24, 2006, Old FNF transferred certain assets to us in return for the issuance of 45,265,956 shares of our common stock to Old FNF. Old FNF then distributed to its shareholders all of its shares of our common stock, making FNT a stand alone public company. Old FNF was then merged with and into another of its subsidiaries, Fidelity National Information Services, Inc. (“FIS”), after which we changed our name to Fidelity National Financial, Inc. (“FNF” or the “Company”). Under applicable accounting principles, following these transactions, Old FNF’s historical financial statements, with the exception of equity and earnings per share, became our historical financial statements, including the results of FIS through the date of our spin-off from Old FNF. Our historical equity has been derived from FNT’s historical equity and our historical basic and diluted earnings per share have been calculated using FNT’s basic and diluted weighted average shares outstanding.</w:t>
      </w:r>
    </w:p>
    <w:p>
      <w:pPr>
        <w:spacing w:after="0" w:line="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FNF currently has three reporting segments as follows:</w:t>
      </w:r>
    </w:p>
    <w:p>
      <w:pPr>
        <w:spacing w:after="0" w:line="94" w:lineRule="exact"/>
        <w:rPr>
          <w:sz w:val="20"/>
          <w:szCs w:val="20"/>
          <w:color w:val="auto"/>
        </w:rPr>
      </w:pPr>
    </w:p>
    <w:p>
      <w:pPr>
        <w:jc w:val="both"/>
        <w:ind w:left="1280" w:right="120" w:hanging="190"/>
        <w:spacing w:after="0" w:line="271" w:lineRule="auto"/>
        <w:tabs>
          <w:tab w:leader="none" w:pos="12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Fidelity National Title Group. </w:t>
      </w:r>
      <w:r>
        <w:rPr>
          <w:rFonts w:ascii="Times New Roman" w:cs="Times New Roman" w:eastAsia="Times New Roman" w:hAnsi="Times New Roman"/>
          <w:sz w:val="13"/>
          <w:szCs w:val="13"/>
          <w:color w:val="auto"/>
        </w:rPr>
        <w:t>This segment consists of the operation of FNF’s title insurance underwriters — Fidelity National Title, Chicago Title, Ticor Title, Security Union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Title and Alamo Title — which together issued approximately 29.0% of all title insurance policies issued nationally during 2005. This segment provides core title insurance and escrow and other title related services including collection and trust activities, trustee’s sales guarantees, recordings and reconveyances.</w:t>
      </w:r>
    </w:p>
    <w:p>
      <w:pPr>
        <w:spacing w:after="0" w:line="44" w:lineRule="exact"/>
        <w:rPr>
          <w:rFonts w:ascii="Times New Roman" w:cs="Times New Roman" w:eastAsia="Times New Roman" w:hAnsi="Times New Roman"/>
          <w:sz w:val="13"/>
          <w:szCs w:val="13"/>
          <w:color w:val="auto"/>
        </w:rPr>
      </w:pPr>
    </w:p>
    <w:p>
      <w:pPr>
        <w:ind w:left="1280" w:right="180" w:hanging="190"/>
        <w:spacing w:after="0" w:line="289" w:lineRule="auto"/>
        <w:tabs>
          <w:tab w:leader="none" w:pos="12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Specialty Insurance. </w:t>
      </w:r>
      <w:r>
        <w:rPr>
          <w:rFonts w:ascii="Times New Roman" w:cs="Times New Roman" w:eastAsia="Times New Roman" w:hAnsi="Times New Roman"/>
          <w:sz w:val="13"/>
          <w:szCs w:val="13"/>
          <w:color w:val="auto"/>
        </w:rPr>
        <w:t>The specialty insurance segment, consisting of FNF’s various non-title insurance subsidiaries, issues flood, home warranty, homeowners, automobile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certain niche personal lines insurance policies.</w:t>
      </w:r>
    </w:p>
    <w:p>
      <w:pPr>
        <w:spacing w:after="0" w:line="33" w:lineRule="exact"/>
        <w:rPr>
          <w:rFonts w:ascii="Times New Roman" w:cs="Times New Roman" w:eastAsia="Times New Roman" w:hAnsi="Times New Roman"/>
          <w:sz w:val="13"/>
          <w:szCs w:val="13"/>
          <w:color w:val="auto"/>
        </w:rPr>
      </w:pPr>
    </w:p>
    <w:p>
      <w:pPr>
        <w:ind w:left="1280" w:hanging="190"/>
        <w:spacing w:after="0" w:line="289" w:lineRule="auto"/>
        <w:tabs>
          <w:tab w:leader="none" w:pos="12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Corporate and Other. </w:t>
      </w:r>
      <w:r>
        <w:rPr>
          <w:rFonts w:ascii="Times New Roman" w:cs="Times New Roman" w:eastAsia="Times New Roman" w:hAnsi="Times New Roman"/>
          <w:sz w:val="13"/>
          <w:szCs w:val="13"/>
          <w:color w:val="auto"/>
        </w:rPr>
        <w:t>The corporate and other segment consists of the operations of the FNF parent holding company, certain other unallocated corporate overhead expenses,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Company’s share in the operations of certain equity investments, including Sedgwick and Fidelity National Real Estate Solutions.</w:t>
      </w:r>
    </w:p>
    <w:p>
      <w:pPr>
        <w:spacing w:after="0" w:line="45" w:lineRule="exact"/>
        <w:rPr>
          <w:sz w:val="20"/>
          <w:szCs w:val="20"/>
          <w:color w:val="auto"/>
        </w:rPr>
      </w:pPr>
    </w:p>
    <w:p>
      <w:pPr>
        <w:ind w:left="680" w:right="200" w:firstLine="399"/>
        <w:spacing w:after="0" w:line="261" w:lineRule="auto"/>
        <w:rPr>
          <w:sz w:val="20"/>
          <w:szCs w:val="20"/>
          <w:color w:val="auto"/>
        </w:rPr>
      </w:pPr>
      <w:r>
        <w:rPr>
          <w:rFonts w:ascii="Times New Roman" w:cs="Times New Roman" w:eastAsia="Times New Roman" w:hAnsi="Times New Roman"/>
          <w:sz w:val="13"/>
          <w:szCs w:val="13"/>
          <w:color w:val="auto"/>
        </w:rPr>
        <w:t>Prior to October 24, 2006, through FIS, Old FNF provided industry leading data processing, payment and risk management services to financial institutions and retailers. Through October 23, 2006, the Company’s results also included the operations of FIS as a separate segment. This segment provided transaction processing services, consisting principally of technology solutions for banks and other financial institutions, credit and debit card services and check risk management and related services for retailers and others. This segment also provided lender processing services, consisting principally of technology solutions for mortgage lenders, selected mortgage origination services such as title agency and closing services, default management and mortgage information services. FIS’s credit and debit card services and check risk management services were added through its merger</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34" w:name="page35"/>
    <w:bookmarkEnd w:id="34"/>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with Certegy, Inc. (“Certegy”). This merger closed in February 2006 and as a result these businesses are not included in FIS’s financial information prior to the closing.</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Related Party Transactions</w:t>
      </w:r>
    </w:p>
    <w:p>
      <w:pPr>
        <w:spacing w:after="0" w:line="98" w:lineRule="exact"/>
        <w:rPr>
          <w:sz w:val="20"/>
          <w:szCs w:val="20"/>
          <w:color w:val="auto"/>
        </w:rPr>
      </w:pPr>
    </w:p>
    <w:p>
      <w:pPr>
        <w:ind w:left="680" w:right="500" w:firstLine="399"/>
        <w:spacing w:after="0" w:line="286" w:lineRule="auto"/>
        <w:rPr>
          <w:sz w:val="20"/>
          <w:szCs w:val="20"/>
          <w:color w:val="auto"/>
        </w:rPr>
      </w:pPr>
      <w:r>
        <w:rPr>
          <w:rFonts w:ascii="Times New Roman" w:cs="Times New Roman" w:eastAsia="Times New Roman" w:hAnsi="Times New Roman"/>
          <w:sz w:val="13"/>
          <w:szCs w:val="13"/>
          <w:color w:val="auto"/>
        </w:rPr>
        <w:t>Beginning on October 24, 2006, the Company’s financial statements reflect transactions with FIS, which is a related party. Prior to October 24, 2006, these transactions were eliminated because FIS’ results of operations were included in our consolidated results.</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 list of related party items included in revenues and expenses for the period from October 24 through December 31, 2006 is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9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0"/>
                <w:szCs w:val="10"/>
                <w:b w:val="1"/>
                <w:bCs w:val="1"/>
                <w:color w:val="auto"/>
              </w:rPr>
              <w:t>2006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3"/>
        </w:trPr>
        <w:tc>
          <w:tcPr>
            <w:tcW w:w="9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1"/>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2"/>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Agency title premiums earned</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22.4</w:t>
            </w:r>
          </w:p>
        </w:tc>
        <w:tc>
          <w:tcPr>
            <w:tcW w:w="80" w:type="dxa"/>
            <w:vAlign w:val="bottom"/>
          </w:tcPr>
          <w:p>
            <w:pPr>
              <w:spacing w:after="0"/>
              <w:rPr>
                <w:sz w:val="14"/>
                <w:szCs w:val="14"/>
                <w:color w:val="auto"/>
              </w:rPr>
            </w:pPr>
          </w:p>
        </w:tc>
      </w:tr>
      <w:tr>
        <w:trPr>
          <w:trHeight w:val="16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Expenses:</w:t>
            </w: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7"/>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Agency title commissions</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tcPr>
          <w:p>
            <w:pPr>
              <w:spacing w:after="0"/>
              <w:rPr>
                <w:sz w:val="13"/>
                <w:szCs w:val="13"/>
                <w:color w:val="auto"/>
              </w:rPr>
            </w:pPr>
          </w:p>
        </w:tc>
      </w:tr>
      <w:tr>
        <w:trPr>
          <w:trHeight w:val="15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Data processing costs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shd w:val="clear" w:color="auto" w:fill="CCEEFF"/>
          </w:tcPr>
          <w:p>
            <w:pPr>
              <w:spacing w:after="0"/>
              <w:rPr>
                <w:sz w:val="13"/>
                <w:szCs w:val="13"/>
                <w:color w:val="auto"/>
              </w:rPr>
            </w:pPr>
          </w:p>
        </w:tc>
      </w:tr>
      <w:tr>
        <w:trPr>
          <w:trHeight w:val="157"/>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Corporate services allocated</w:t>
            </w:r>
          </w:p>
        </w:tc>
        <w:tc>
          <w:tcPr>
            <w:tcW w:w="120" w:type="dxa"/>
            <w:vAlign w:val="bottom"/>
          </w:tcPr>
          <w:p>
            <w:pPr>
              <w:spacing w:after="0"/>
              <w:rPr>
                <w:sz w:val="13"/>
                <w:szCs w:val="13"/>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(1.5)</w:t>
            </w:r>
          </w:p>
        </w:tc>
      </w:tr>
      <w:tr>
        <w:trPr>
          <w:trHeight w:val="15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Title insurance information expense</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3"/>
                <w:szCs w:val="13"/>
                <w:color w:val="auto"/>
              </w:rPr>
            </w:pPr>
          </w:p>
        </w:tc>
      </w:tr>
      <w:tr>
        <w:trPr>
          <w:trHeight w:val="157"/>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Other real-estate related information</w:t>
            </w:r>
          </w:p>
        </w:tc>
        <w:tc>
          <w:tcPr>
            <w:tcW w:w="12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3"/>
                <w:szCs w:val="13"/>
                <w:color w:val="auto"/>
              </w:rPr>
            </w:pPr>
          </w:p>
        </w:tc>
      </w:tr>
      <w:tr>
        <w:trPr>
          <w:trHeight w:val="15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Software expense</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shd w:val="clear" w:color="auto" w:fill="CCEEFF"/>
          </w:tcPr>
          <w:p>
            <w:pPr>
              <w:spacing w:after="0"/>
              <w:rPr>
                <w:sz w:val="13"/>
                <w:szCs w:val="13"/>
                <w:color w:val="auto"/>
              </w:rPr>
            </w:pPr>
          </w:p>
        </w:tc>
      </w:tr>
      <w:tr>
        <w:trPr>
          <w:trHeight w:val="157"/>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Rental expense</w:t>
            </w:r>
          </w:p>
        </w:tc>
        <w:tc>
          <w:tcPr>
            <w:tcW w:w="12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13"/>
                <w:szCs w:val="13"/>
                <w:color w:val="auto"/>
              </w:rPr>
            </w:pPr>
          </w:p>
        </w:tc>
      </w:tr>
      <w:tr>
        <w:trPr>
          <w:trHeight w:val="15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License and cost sharing</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3"/>
                <w:szCs w:val="13"/>
                <w:color w:val="auto"/>
              </w:rPr>
            </w:pPr>
          </w:p>
        </w:tc>
      </w:tr>
      <w:tr>
        <w:trPr>
          <w:trHeight w:val="166"/>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Total expenses</w:t>
            </w: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86"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An FIS subsidiary acts as the title agent in the issuance of title insurance policies by a title insurance underwriter owned by us and in connection with certain trustee sales guarantees, a form of title insurance issued as part of the foreclosure process. As a result, our title insurance subsidiaries pay commissions on title insurance policies sold through FIS. For the period from October 24 through December 31, 2006, these FIS operations generated $22.4 million of revenues for us, which we recorded as agency title premiums and we paid FIS commissions at the rate of 88% of premiums generated, equal to $19.5 million.</w:t>
      </w:r>
    </w:p>
    <w:p>
      <w:pPr>
        <w:spacing w:after="0" w:line="62"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From October 24 through December 31, 2006, our expenses included $17.6 million paid to a subsidiary of FIS for the provision by FIS to us of IT infrastructure support, data center management and related IT support services and $3.1 million in software expenses relating to an agreement with a subsidiary of FIS.</w:t>
      </w:r>
    </w:p>
    <w:p>
      <w:pPr>
        <w:spacing w:after="0" w:line="47" w:lineRule="exact"/>
        <w:rPr>
          <w:sz w:val="20"/>
          <w:szCs w:val="20"/>
          <w:color w:val="auto"/>
        </w:rPr>
      </w:pPr>
    </w:p>
    <w:p>
      <w:pPr>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Historically, the Company has provided corporate services to FIS. These corporate services include accounting, internal audit, treasury, payroll, human resources, tax, legal, purchasing, risk management, mergers and acquisitions and general management. From October 24 through December 31, 2006, our expenses were reduced by $1.5 million as a result of the provision of corporate services by us to FIS.</w:t>
      </w:r>
    </w:p>
    <w:p>
      <w:pPr>
        <w:spacing w:after="0" w:line="58"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The title plant assets of several of our title insurance subsidiaries are managed or maintained by a subsidiary of FIS. The underlying title plant information and software continues to be owned by each of our title insurance underwriters, but FIS manages and updates the information in return for either (i) a management fee or (ii) the right to sell that information to title insurers, including title insurance underwriters that we own and other third party customers. In most cases, FIS is responsible for keeping the title plant assets current and fully functioning, for which we pay a fee to FIS based on our use of, or access to, the title plant. From October 24 through December 31, 2006, our expenses to FIS under these arrangements were $5.5 million. In addition, each of our applicable title insurance underwriters in turn receives a royalty on sales of access to its title plant assets. From October 24 through December 31, 2006, our revenues included title plant royalties of $0.4 million. We have entered into agreements with FIS that permit FIS and certain of its subsidiaries to access and use (but not to re-sell) the starters databases and back plant databases of our title insurance subsidiaries. Starters databases are our databases of previously issued</w:t>
      </w: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5" w:name="page36"/>
    <w:bookmarkEnd w:id="35"/>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jc w:val="both"/>
        <w:ind w:left="680" w:right="80"/>
        <w:spacing w:after="0" w:line="269" w:lineRule="auto"/>
        <w:rPr>
          <w:sz w:val="20"/>
          <w:szCs w:val="20"/>
          <w:color w:val="auto"/>
        </w:rPr>
      </w:pPr>
      <w:r>
        <w:rPr>
          <w:rFonts w:ascii="Times New Roman" w:cs="Times New Roman" w:eastAsia="Times New Roman" w:hAnsi="Times New Roman"/>
          <w:sz w:val="13"/>
          <w:szCs w:val="13"/>
          <w:color w:val="auto"/>
        </w:rPr>
        <w:t>title policies and back plant databases contain historical records relating to title that are not regularly updated. Each of our applicable title insurance subsidiaries receives a fee for any access to or use of its starters and back plant databases by FIS. We also do business with additional entities within FIS that provide real estate information to our operations, for which we recorded expenses of $2.4 million from October 24, through December 31, 2006.</w:t>
      </w:r>
    </w:p>
    <w:p>
      <w:pPr>
        <w:spacing w:after="0" w:line="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We also have certain license and cost sharing agreements with FIS, for which our expenses included $1.2 million from October 24 through December 31, 2006.</w:t>
      </w:r>
    </w:p>
    <w:p>
      <w:pPr>
        <w:spacing w:after="0" w:line="96" w:lineRule="exact"/>
        <w:rPr>
          <w:sz w:val="20"/>
          <w:szCs w:val="20"/>
          <w:color w:val="auto"/>
        </w:rPr>
      </w:pPr>
    </w:p>
    <w:p>
      <w:pPr>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Our expenses from October 24 through December 31, 2006 included expenses for a lease of office space to us for our corporate headquarters and business operations in the amount of $1.8 million and were reduced by $1.0 million for a lease of office space to FIS and by $0.1 million for the lease of an aircraft to FIS.</w:t>
      </w:r>
    </w:p>
    <w:p>
      <w:pPr>
        <w:spacing w:after="0" w:line="47" w:lineRule="exact"/>
        <w:rPr>
          <w:sz w:val="20"/>
          <w:szCs w:val="20"/>
          <w:color w:val="auto"/>
        </w:rPr>
      </w:pPr>
    </w:p>
    <w:p>
      <w:pPr>
        <w:ind w:left="680" w:right="180" w:firstLine="399"/>
        <w:spacing w:after="0" w:line="286" w:lineRule="auto"/>
        <w:rPr>
          <w:sz w:val="20"/>
          <w:szCs w:val="20"/>
          <w:color w:val="auto"/>
        </w:rPr>
      </w:pPr>
      <w:r>
        <w:rPr>
          <w:rFonts w:ascii="Times New Roman" w:cs="Times New Roman" w:eastAsia="Times New Roman" w:hAnsi="Times New Roman"/>
          <w:sz w:val="13"/>
          <w:szCs w:val="13"/>
          <w:color w:val="auto"/>
        </w:rPr>
        <w:t>We pay amounts to a subsidiary of FIS for capitalized software development and for title plant construction. During the period from October 24, 2006 through December 31, 2006, these amounts included capitalized software development costs of $1.9 million and capitalized title plant construction costs of $2.7 million.</w:t>
      </w:r>
    </w:p>
    <w:p>
      <w:pPr>
        <w:spacing w:after="0" w:line="47" w:lineRule="exact"/>
        <w:rPr>
          <w:sz w:val="20"/>
          <w:szCs w:val="20"/>
          <w:color w:val="auto"/>
        </w:rPr>
      </w:pPr>
    </w:p>
    <w:p>
      <w:pPr>
        <w:ind w:left="680" w:right="80" w:firstLine="399"/>
        <w:spacing w:after="0" w:line="258" w:lineRule="auto"/>
        <w:rPr>
          <w:sz w:val="20"/>
          <w:szCs w:val="20"/>
          <w:color w:val="auto"/>
        </w:rPr>
      </w:pPr>
      <w:r>
        <w:rPr>
          <w:rFonts w:ascii="Times New Roman" w:cs="Times New Roman" w:eastAsia="Times New Roman" w:hAnsi="Times New Roman"/>
          <w:sz w:val="13"/>
          <w:szCs w:val="13"/>
          <w:color w:val="auto"/>
        </w:rPr>
        <w:t>We believe the amounts earned by us or charged to us under each of the foregoing arrangements are fair and reasonable. Although the commission rate paid on the title insurance premiums written by the FIS title agencies was set without negotiation, we believe the commissions earned are consistent with the average rate that would be available to a third party title agent given the amount and the geographic distribution of the business produced and the low risk of loss profile of the business placed. In connection with the title plant management and maintenance services provided by FIS, we believe that the fees charged to us by FIS are at approximately the same rates that FIS and other similar vendors charge unaffiliated title insurers. The IT infrastructure support and data center management services provided to us by FIS are priced within the range of prices that FIS offers to its unaffiliated third party customers for the same types of services. However, the amounts we earned or were charged under these arrangements were not negotiated at arm’s length, and may not represent the terms that we might have obtained from an unrelated third party.</w:t>
      </w:r>
    </w:p>
    <w:p>
      <w:pPr>
        <w:spacing w:after="0" w:line="64" w:lineRule="exact"/>
        <w:rPr>
          <w:sz w:val="20"/>
          <w:szCs w:val="20"/>
          <w:color w:val="auto"/>
        </w:rPr>
      </w:pPr>
    </w:p>
    <w:p>
      <w:pPr>
        <w:ind w:left="680" w:right="380" w:firstLine="399"/>
        <w:spacing w:after="0" w:line="286" w:lineRule="auto"/>
        <w:rPr>
          <w:sz w:val="20"/>
          <w:szCs w:val="20"/>
          <w:color w:val="auto"/>
        </w:rPr>
      </w:pPr>
      <w:r>
        <w:rPr>
          <w:rFonts w:ascii="Times New Roman" w:cs="Times New Roman" w:eastAsia="Times New Roman" w:hAnsi="Times New Roman"/>
          <w:sz w:val="13"/>
          <w:szCs w:val="13"/>
          <w:color w:val="auto"/>
        </w:rPr>
        <w:t>The following is a detail of related party items that would have been included in revenues and expenses for all periods presented if these related party transactions had not been eliminated during the periods prior to October 24, 2006.</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0"/>
                <w:szCs w:val="10"/>
                <w:b w:val="1"/>
                <w:bCs w:val="1"/>
                <w:color w:val="auto"/>
              </w:rPr>
              <w:t>2006</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11"/>
                <w:szCs w:val="11"/>
                <w:color w:val="auto"/>
              </w:rPr>
            </w:pPr>
          </w:p>
        </w:tc>
      </w:tr>
      <w:tr>
        <w:trPr>
          <w:trHeight w:val="133"/>
        </w:trPr>
        <w:tc>
          <w:tcPr>
            <w:tcW w:w="7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Agency title premiums earned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95.5</w:t>
            </w:r>
          </w:p>
        </w:tc>
        <w:tc>
          <w:tcPr>
            <w:tcW w:w="18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91.9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106.3</w:t>
            </w:r>
          </w:p>
        </w:tc>
      </w:tr>
      <w:tr>
        <w:trPr>
          <w:trHeight w:val="15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Rental income earned</w:t>
            </w:r>
          </w:p>
        </w:tc>
        <w:tc>
          <w:tcPr>
            <w:tcW w:w="12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8.4</w:t>
            </w:r>
          </w:p>
        </w:tc>
      </w:tr>
      <w:tr>
        <w:trPr>
          <w:trHeight w:val="157"/>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w:t>
            </w:r>
            <w:r>
              <w:rPr>
                <w:rFonts w:ascii="Times New Roman" w:cs="Times New Roman" w:eastAsia="Times New Roman" w:hAnsi="Times New Roman"/>
                <w:sz w:val="13"/>
                <w:szCs w:val="13"/>
                <w:u w:val="single" w:color="auto"/>
                <w:color w:val="auto"/>
              </w:rPr>
              <w:t>5</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w:t>
            </w:r>
            <w:r>
              <w:rPr>
                <w:rFonts w:ascii="Times New Roman" w:cs="Times New Roman" w:eastAsia="Times New Roman" w:hAnsi="Times New Roman"/>
                <w:sz w:val="13"/>
                <w:szCs w:val="13"/>
                <w:u w:val="single" w:color="auto"/>
                <w:color w:val="auto"/>
              </w:rPr>
              <w:t>9</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114.7</w:t>
            </w:r>
          </w:p>
        </w:tc>
        <w:tc>
          <w:tcPr>
            <w:tcW w:w="100" w:type="dxa"/>
            <w:vAlign w:val="bottom"/>
          </w:tcPr>
          <w:p>
            <w:pPr>
              <w:spacing w:after="0"/>
              <w:rPr>
                <w:sz w:val="13"/>
                <w:szCs w:val="13"/>
                <w:color w:val="auto"/>
              </w:rPr>
            </w:pPr>
          </w:p>
        </w:tc>
      </w:tr>
      <w:tr>
        <w:trPr>
          <w:trHeight w:val="15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Expenses: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Agency title commissions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83.9</w:t>
            </w:r>
          </w:p>
        </w:tc>
        <w:tc>
          <w:tcPr>
            <w:tcW w:w="18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80.9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93.6</w:t>
            </w:r>
          </w:p>
        </w:tc>
      </w:tr>
      <w:tr>
        <w:trPr>
          <w:trHeight w:val="15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Data processing costs</w:t>
            </w: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82.8</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56.9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56.6</w:t>
            </w:r>
          </w:p>
        </w:tc>
      </w:tr>
      <w:tr>
        <w:trPr>
          <w:trHeight w:val="157"/>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Corporate services allocated</w:t>
            </w:r>
          </w:p>
        </w:tc>
        <w:tc>
          <w:tcPr>
            <w:tcW w:w="120" w:type="dxa"/>
            <w:vAlign w:val="bottom"/>
          </w:tcPr>
          <w:p>
            <w:pPr>
              <w:spacing w:after="0"/>
              <w:rPr>
                <w:sz w:val="13"/>
                <w:szCs w:val="13"/>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(9.5)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(29.0)</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(75.1)</w:t>
            </w:r>
          </w:p>
        </w:tc>
      </w:tr>
      <w:tr>
        <w:trPr>
          <w:trHeight w:val="15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Title insurance information expense</w:t>
            </w: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26.4</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28.6</w:t>
            </w:r>
          </w:p>
        </w:tc>
      </w:tr>
      <w:tr>
        <w:trPr>
          <w:trHeight w:val="157"/>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Other real-estate related information</w:t>
            </w:r>
          </w:p>
        </w:tc>
        <w:tc>
          <w:tcPr>
            <w:tcW w:w="12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12.7</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9.9</w:t>
            </w:r>
          </w:p>
        </w:tc>
      </w:tr>
      <w:tr>
        <w:trPr>
          <w:trHeight w:val="15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Software expense</w:t>
            </w: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12.2</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5.8</w:t>
            </w:r>
          </w:p>
        </w:tc>
      </w:tr>
      <w:tr>
        <w:trPr>
          <w:trHeight w:val="157"/>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Rental expense</w:t>
            </w:r>
          </w:p>
        </w:tc>
        <w:tc>
          <w:tcPr>
            <w:tcW w:w="12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3.6</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w:t>
            </w:r>
          </w:p>
        </w:tc>
      </w:tr>
      <w:tr>
        <w:trPr>
          <w:trHeight w:val="15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License and cost sharing</w:t>
            </w: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9.3</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12.8</w:t>
            </w:r>
          </w:p>
        </w:tc>
      </w:tr>
      <w:tr>
        <w:trPr>
          <w:trHeight w:val="157"/>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Total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221.4</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135.0</w:t>
            </w:r>
          </w:p>
        </w:tc>
        <w:tc>
          <w:tcPr>
            <w:tcW w:w="100" w:type="dxa"/>
            <w:vAlign w:val="bottom"/>
          </w:tcPr>
          <w:p>
            <w:pPr>
              <w:spacing w:after="0"/>
              <w:rPr>
                <w:sz w:val="13"/>
                <w:szCs w:val="13"/>
                <w:color w:val="auto"/>
              </w:rPr>
            </w:pPr>
          </w:p>
        </w:tc>
      </w:tr>
    </w:tbl>
    <w:p>
      <w:pPr>
        <w:spacing w:after="0" w:line="86" w:lineRule="exact"/>
        <w:rPr>
          <w:sz w:val="20"/>
          <w:szCs w:val="20"/>
          <w:color w:val="auto"/>
        </w:rPr>
      </w:pPr>
    </w:p>
    <w:p>
      <w:pPr>
        <w:ind w:left="680" w:right="440" w:firstLine="399"/>
        <w:spacing w:after="0" w:line="286" w:lineRule="auto"/>
        <w:rPr>
          <w:sz w:val="20"/>
          <w:szCs w:val="20"/>
          <w:color w:val="auto"/>
        </w:rPr>
      </w:pPr>
      <w:r>
        <w:rPr>
          <w:rFonts w:ascii="Times New Roman" w:cs="Times New Roman" w:eastAsia="Times New Roman" w:hAnsi="Times New Roman"/>
          <w:sz w:val="13"/>
          <w:szCs w:val="13"/>
          <w:color w:val="auto"/>
        </w:rPr>
        <w:t>With the exception of the activity from October 24, 2006 through December 31, 2006 detailed above and below, all of the income and expense amounts in the table above and discussed below were eliminated from our consolidated results of operations.</w:t>
      </w:r>
    </w:p>
    <w:p>
      <w:pPr>
        <w:spacing w:after="0" w:line="47" w:lineRule="exact"/>
        <w:rPr>
          <w:sz w:val="20"/>
          <w:szCs w:val="20"/>
          <w:color w:val="auto"/>
        </w:rPr>
      </w:pPr>
    </w:p>
    <w:p>
      <w:pPr>
        <w:ind w:left="680" w:right="220" w:firstLine="399"/>
        <w:spacing w:after="0" w:line="286" w:lineRule="auto"/>
        <w:rPr>
          <w:sz w:val="20"/>
          <w:szCs w:val="20"/>
          <w:color w:val="auto"/>
        </w:rPr>
      </w:pPr>
      <w:r>
        <w:rPr>
          <w:rFonts w:ascii="Times New Roman" w:cs="Times New Roman" w:eastAsia="Times New Roman" w:hAnsi="Times New Roman"/>
          <w:sz w:val="13"/>
          <w:szCs w:val="13"/>
          <w:color w:val="auto"/>
        </w:rPr>
        <w:t>For 2006, 2005, and 2004, we recognized revenues of $95.5 million, $91.9 million, and $106.3 million, respectively, for agency title premiums sold by an FIS subsidiary acting as title agent and our title insurance</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6" w:name="page37"/>
    <w:bookmarkEnd w:id="36"/>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subsidiaries paid commissions associated with these title premiums to FIS in the amounts of $83.9 million, $80.9 million, and $93.6 million, respectively.</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Through June 30, 2005, we leased equipment to a subsidiary of FIS. Revenue relating to these leases was $5.0 million and $8.4 million 2005 and 2004, respectively.</w:t>
      </w:r>
    </w:p>
    <w:p>
      <w:pPr>
        <w:spacing w:after="0" w:line="96"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Our expenses included amounts paid to a subsidiary of FIS for the provision by FIS to us of IT infrastructure support, data center management and related IT support services. For 2006, 2005, and 2004, expenses incurred related to such FIS services totaled $82.8 million, $56.9 million, and $56.6 million, respectively. In addition, we incurred software expenses relating to an agreement with a subsidiary of FIS that approximated $12.2 million, $7.7 million, and $5.8 million in 2006, 2005, and 2004, respectively.</w:t>
      </w:r>
    </w:p>
    <w:p>
      <w:pPr>
        <w:spacing w:after="0" w:line="58" w:lineRule="exact"/>
        <w:rPr>
          <w:sz w:val="20"/>
          <w:szCs w:val="20"/>
          <w:color w:val="auto"/>
        </w:rPr>
      </w:pPr>
    </w:p>
    <w:p>
      <w:pPr>
        <w:ind w:left="680" w:right="400" w:firstLine="399"/>
        <w:spacing w:after="0" w:line="286" w:lineRule="auto"/>
        <w:rPr>
          <w:sz w:val="20"/>
          <w:szCs w:val="20"/>
          <w:color w:val="auto"/>
        </w:rPr>
      </w:pPr>
      <w:r>
        <w:rPr>
          <w:rFonts w:ascii="Times New Roman" w:cs="Times New Roman" w:eastAsia="Times New Roman" w:hAnsi="Times New Roman"/>
          <w:sz w:val="13"/>
          <w:szCs w:val="13"/>
          <w:color w:val="auto"/>
        </w:rPr>
        <w:t>For the years ended December 31, 2006, 2005, and 2004, our expenses were reduced by $9.5 million, $29.0 million, and $75.1 million, respectively, related to the provision of corporate services to FIS from us.</w:t>
      </w:r>
    </w:p>
    <w:p>
      <w:pPr>
        <w:spacing w:after="0" w:line="47" w:lineRule="exact"/>
        <w:rPr>
          <w:sz w:val="20"/>
          <w:szCs w:val="20"/>
          <w:color w:val="auto"/>
        </w:rPr>
      </w:pPr>
    </w:p>
    <w:p>
      <w:pPr>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For 2006, 2005, and 2004, our expenses to FIS for management and maintenance of our title plant assets were $28.9 million, $29.9 million, and $28.9 million, respectively. For the years ended December 31, 2006, 2005 and 2004, the revenues from royalties on sales of access to our title plant assets, which were first recorded in November of 2004, were $2.5 million, $3.0 million and $0.3 million, respectively. Expenses for payments to FIS for real estate information provided to our operations were $12.7 million, $10.9 million, and $9.9 million in 2006, 2005, and 2004, respectively.</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Expenses related to license and cost sharing agreements with FIS were $9.3 million, $11.9 million, and $12.8 million in 2006, 2005, and 2004, respectively.</w:t>
      </w:r>
    </w:p>
    <w:p>
      <w:pPr>
        <w:spacing w:after="0" w:line="96" w:lineRule="exact"/>
        <w:rPr>
          <w:sz w:val="20"/>
          <w:szCs w:val="20"/>
          <w:color w:val="auto"/>
        </w:rPr>
      </w:pPr>
    </w:p>
    <w:p>
      <w:pPr>
        <w:jc w:val="both"/>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Allocations for the lease of office space to us for our corporate headquarters and business operations in the amounts of $5.1 million, $3.8 million, and $2.8 million were recorded in 2006, 2005, and 2004, respectively. In addition, our expenses were reduced by $1.0 million for a lease of office space to FIS and by $0.5 million in 2006 for the lease of an aircraft by us to FIS.</w:t>
      </w:r>
    </w:p>
    <w:p>
      <w:pPr>
        <w:spacing w:after="0" w:line="58" w:lineRule="exact"/>
        <w:rPr>
          <w:sz w:val="20"/>
          <w:szCs w:val="20"/>
          <w:color w:val="auto"/>
        </w:rPr>
      </w:pPr>
    </w:p>
    <w:p>
      <w:pPr>
        <w:ind w:left="680" w:right="180" w:firstLine="399"/>
        <w:spacing w:after="0" w:line="286" w:lineRule="auto"/>
        <w:rPr>
          <w:sz w:val="20"/>
          <w:szCs w:val="20"/>
          <w:color w:val="auto"/>
        </w:rPr>
      </w:pPr>
      <w:r>
        <w:rPr>
          <w:rFonts w:ascii="Times New Roman" w:cs="Times New Roman" w:eastAsia="Times New Roman" w:hAnsi="Times New Roman"/>
          <w:sz w:val="13"/>
          <w:szCs w:val="13"/>
          <w:color w:val="auto"/>
        </w:rPr>
        <w:t>The Company capitalized software development costs paid to FIS of $10.2 million and $3.7 million in 2006 and 2005, respectively, and title plant construction costs paid to FIS of $15.5 million and $6.2 million in 2006 and 2005, respectively.</w:t>
      </w:r>
    </w:p>
    <w:p>
      <w:pPr>
        <w:spacing w:after="0" w:line="123"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13"/>
          <w:szCs w:val="13"/>
          <w:b w:val="1"/>
          <w:bCs w:val="1"/>
          <w:color w:val="auto"/>
        </w:rPr>
        <w:t>Business Trends and Conditions</w:t>
      </w:r>
    </w:p>
    <w:p>
      <w:pPr>
        <w:spacing w:after="0" w:line="94" w:lineRule="exact"/>
        <w:rPr>
          <w:sz w:val="20"/>
          <w:szCs w:val="20"/>
          <w:color w:val="auto"/>
        </w:rPr>
      </w:pPr>
    </w:p>
    <w:p>
      <w:pPr>
        <w:jc w:val="right"/>
        <w:ind w:right="8180"/>
        <w:spacing w:after="0"/>
        <w:rPr>
          <w:sz w:val="20"/>
          <w:szCs w:val="20"/>
          <w:color w:val="auto"/>
        </w:rPr>
      </w:pPr>
      <w:r>
        <w:rPr>
          <w:rFonts w:ascii="Times New Roman" w:cs="Times New Roman" w:eastAsia="Times New Roman" w:hAnsi="Times New Roman"/>
          <w:sz w:val="13"/>
          <w:szCs w:val="13"/>
          <w:b w:val="1"/>
          <w:bCs w:val="1"/>
          <w:i w:val="1"/>
          <w:iCs w:val="1"/>
          <w:color w:val="auto"/>
        </w:rPr>
        <w:t>Fidelity National Title Group</w:t>
      </w:r>
    </w:p>
    <w:p>
      <w:pPr>
        <w:spacing w:after="0" w:line="100"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Title insurance revenue is closely related to the level of real estate activity and the average price of real estate sales. Real estate sales are directly affected by the availability of funds to finance purchases, predominantly mortgage interest rates. Other factors affecting real estate activity include, but are not limited to, demand for housing, employment levels, family income levels and general economic conditions. In addition to real estate sales, mortgage refinancing is an important source of title insurance revenue. We have found that residential real estate activity generally decreases in the following situations:</w:t>
      </w:r>
    </w:p>
    <w:p>
      <w:pPr>
        <w:spacing w:after="0" w:line="62" w:lineRule="exact"/>
        <w:rPr>
          <w:sz w:val="20"/>
          <w:szCs w:val="20"/>
          <w:color w:val="auto"/>
        </w:rPr>
      </w:pPr>
    </w:p>
    <w:p>
      <w:pPr>
        <w:ind w:left="1280" w:hanging="190"/>
        <w:spacing w:after="0"/>
        <w:tabs>
          <w:tab w:leader="none" w:pos="12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mortgage interest rates are high or increasing;</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the mortgage funding supply is limited; and</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the United States economy is weak.</w:t>
      </w:r>
    </w:p>
    <w:p>
      <w:pPr>
        <w:spacing w:after="0" w:line="96" w:lineRule="exact"/>
        <w:rPr>
          <w:sz w:val="20"/>
          <w:szCs w:val="20"/>
          <w:color w:val="auto"/>
        </w:rPr>
      </w:pPr>
    </w:p>
    <w:p>
      <w:pPr>
        <w:ind w:left="680" w:right="780" w:firstLine="399"/>
        <w:spacing w:after="0" w:line="286" w:lineRule="auto"/>
        <w:rPr>
          <w:sz w:val="20"/>
          <w:szCs w:val="20"/>
          <w:color w:val="auto"/>
        </w:rPr>
      </w:pPr>
      <w:r>
        <w:rPr>
          <w:rFonts w:ascii="Times New Roman" w:cs="Times New Roman" w:eastAsia="Times New Roman" w:hAnsi="Times New Roman"/>
          <w:sz w:val="13"/>
          <w:szCs w:val="13"/>
          <w:color w:val="auto"/>
        </w:rPr>
        <w:t>Because commercial real estate transactions tend to be driven more by supply and demand for commercial space and occupancy rates in a particular area rather than by macroeconomic events, our commercial real estate title insurance business can generate revenues which are not dependent on the industry cycles discussed above.</w:t>
      </w:r>
    </w:p>
    <w:p>
      <w:pPr>
        <w:spacing w:after="0" w:line="47"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Because these factors can change dramatically, revenue levels in the title insurance industry can also change dramatically. For example, beginning in January 2001 and continuing through June of 2003, the Federal Reserve Board reduced interest rates by 550 basis points, bringing interest rates down to their lowest level in recent history, which significantly increased the volume of refinance activity. Recently, mortgage rates have increased as the Federal Reserve Board increased interest rates by 425 basis points since June 2004, resulting in decreases in</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37" w:name="page38"/>
    <w:bookmarkEnd w:id="37"/>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refinance activity. The decreased refinance activity is evidenced by the Mortgage Bankers Association’s (“MBA”) statistics showing that approximately 44.4% of new loan originations in</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2006 were refinance transactions as compared with approximately 50.0% in 2005 and 52.8% in 2004. The ten-year treasury rate has increased from 4.2% in January 2004 to 4.7% at the end</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of 2006. According to the MBA, U.S. mortgage originations (including refinancings) were approximately $2.5 trillion, $3.0 trillion, and $2.8 trillion in 2006, 2005 and 2004, respectively.</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The MBA’s Mortgage Finance Forecast estimates a $2.39 trillion mortgage origination market for 2007, which would be a 5.0% decrease from 2006. The MBA further forecasts that the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5.0% decrease will result from purchase transactions declining from $1.40 billion in 2006 to $1.33 billion in 2007 or 4.8% and refinance transactions dropping from $1.11 billion to</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$1.06 billion or 5.2%. We expect that current interest rate levels and any future increase in interest rates will most likely result in lower levels of mortgage originations in 2007 than in 2006</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or 2005.</w:t>
      </w:r>
    </w:p>
    <w:p>
      <w:pPr>
        <w:spacing w:after="0" w:line="83"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Historically, real estate transactions have produced seasonal revenue levels for title insurers. The first 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customers desiring to complete transactions by year-end. Significant changes in interest rates may alter these traditional seasonal patterns due to the effect the cost of financing has on the volume of real estate transactions.</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Specialty Insurance</w:t>
      </w:r>
    </w:p>
    <w:p>
      <w:pPr>
        <w:spacing w:after="0" w:line="100" w:lineRule="exact"/>
        <w:rPr>
          <w:sz w:val="20"/>
          <w:szCs w:val="20"/>
          <w:color w:val="auto"/>
        </w:rPr>
      </w:pPr>
    </w:p>
    <w:p>
      <w:pPr>
        <w:ind w:left="680" w:right="40" w:firstLine="399"/>
        <w:spacing w:after="0" w:line="286" w:lineRule="auto"/>
        <w:rPr>
          <w:sz w:val="20"/>
          <w:szCs w:val="20"/>
          <w:color w:val="auto"/>
        </w:rPr>
      </w:pPr>
      <w:r>
        <w:rPr>
          <w:rFonts w:ascii="Times New Roman" w:cs="Times New Roman" w:eastAsia="Times New Roman" w:hAnsi="Times New Roman"/>
          <w:sz w:val="13"/>
          <w:szCs w:val="13"/>
          <w:color w:val="auto"/>
        </w:rPr>
        <w:t>Our specialty insurance business participates in the NFIP. We earn fees under that program for settling flood claims and administering the program. Our specialty insurance revenues in 2005 were significantly increased due to fee revenues we earned from settling claims related to the year’s major hurricanes, including Katrina, Rita and Wilma.</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Critical Accounting Estimates</w:t>
      </w:r>
    </w:p>
    <w:p>
      <w:pPr>
        <w:spacing w:after="0" w:line="98" w:lineRule="exact"/>
        <w:rPr>
          <w:sz w:val="20"/>
          <w:szCs w:val="20"/>
          <w:color w:val="auto"/>
        </w:rPr>
      </w:pPr>
    </w:p>
    <w:p>
      <w:pPr>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The accounting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 See Note A of Notes to the Consolidated Financial Statements for a more detailed description of the significant accounting policies that have been followed in preparing our Consolidated Financial Statements.</w:t>
      </w:r>
    </w:p>
    <w:p>
      <w:pPr>
        <w:spacing w:after="0" w:line="60"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Reserve for Claim Losses. </w:t>
      </w:r>
      <w:r>
        <w:rPr>
          <w:rFonts w:ascii="Times New Roman" w:cs="Times New Roman" w:eastAsia="Times New Roman" w:hAnsi="Times New Roman"/>
          <w:sz w:val="13"/>
          <w:szCs w:val="13"/>
          <w:color w:val="auto"/>
        </w:rPr>
        <w:t>Title companies issue two types of policies since both the buyer and lender in real estate transactions want to know that their interest in the property 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While most non-title forms of insurance, including property and casualty, provide for the assumption of risk of loss arising out of unforeseen future events, title insurance serves to protect the policyholder from risk of loss from events that predated the issuance of the policy.</w:t>
      </w:r>
    </w:p>
    <w:p>
      <w:pPr>
        <w:spacing w:after="0" w:line="66"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58"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Our reserve for claim losses includes reserves for known claims (“PLR”)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38" w:name="page39"/>
    <w:bookmarkEnd w:id="38"/>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considerations, and the types of policies written. We also reserve for losses arising from escrow, closing and disbursement functions due to fraud or operational error.</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table below summarizes our reserves for known claims and incurred but not reported claims related to title insurance.</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56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tcPr>
          <w:p>
            <w:pPr>
              <w:jc w:val="center"/>
              <w:ind w:right="520"/>
              <w:spacing w:after="0" w:line="108"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400" w:type="dxa"/>
            <w:vAlign w:val="bottom"/>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tcPr>
          <w:p>
            <w:pPr>
              <w:jc w:val="center"/>
              <w:ind w:right="560"/>
              <w:spacing w:after="0" w:line="108"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380" w:type="dxa"/>
            <w:vAlign w:val="bottom"/>
            <w:vMerge w:val="restart"/>
          </w:tcPr>
          <w:p>
            <w:pPr>
              <w:jc w:val="right"/>
              <w:ind w:right="78"/>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59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0"/>
                <w:szCs w:val="10"/>
                <w:b w:val="1"/>
                <w:bCs w:val="1"/>
                <w:color w:val="auto"/>
              </w:rPr>
              <w:t>2006</w:t>
            </w:r>
          </w:p>
        </w:tc>
        <w:tc>
          <w:tcPr>
            <w:tcW w:w="400" w:type="dxa"/>
            <w:vAlign w:val="bottom"/>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81"/>
              </w:rPr>
              <w:t>thousands)</w:t>
            </w: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0"/>
                <w:szCs w:val="10"/>
                <w:b w:val="1"/>
                <w:bCs w:val="1"/>
                <w:color w:val="auto"/>
                <w:w w:val="99"/>
              </w:rPr>
              <w:t>2005</w:t>
            </w:r>
          </w:p>
        </w:tc>
        <w:tc>
          <w:tcPr>
            <w:tcW w:w="400" w:type="dxa"/>
            <w:vAlign w:val="bottom"/>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(In</w:t>
            </w:r>
          </w:p>
        </w:tc>
        <w:tc>
          <w:tcPr>
            <w:tcW w:w="4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PLR</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202,195</w:t>
            </w:r>
          </w:p>
        </w:tc>
        <w:tc>
          <w:tcPr>
            <w:tcW w:w="8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3"/>
                <w:szCs w:val="13"/>
                <w:color w:val="auto"/>
              </w:rPr>
              <w:t>17.6%</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232,791</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IBNR</w:t>
            </w: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952,677</w:t>
            </w:r>
          </w:p>
        </w:tc>
        <w:tc>
          <w:tcPr>
            <w:tcW w:w="800" w:type="dxa"/>
            <w:vAlign w:val="bottom"/>
            <w:gridSpan w:val="2"/>
          </w:tcPr>
          <w:p>
            <w:pPr>
              <w:jc w:val="right"/>
              <w:ind w:right="248"/>
              <w:spacing w:after="0"/>
              <w:rPr>
                <w:sz w:val="20"/>
                <w:szCs w:val="20"/>
                <w:color w:val="auto"/>
              </w:rPr>
            </w:pPr>
            <w:r>
              <w:rPr>
                <w:rFonts w:ascii="Times New Roman" w:cs="Times New Roman" w:eastAsia="Times New Roman" w:hAnsi="Times New Roman"/>
                <w:sz w:val="13"/>
                <w:szCs w:val="13"/>
                <w:color w:val="auto"/>
              </w:rPr>
              <w:t>82.4%</w:t>
            </w:r>
          </w:p>
        </w:tc>
        <w:tc>
          <w:tcPr>
            <w:tcW w:w="16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835,281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Reserve</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1,154,872</w:t>
            </w:r>
          </w:p>
        </w:tc>
        <w:tc>
          <w:tcPr>
            <w:tcW w:w="8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3"/>
                <w:szCs w:val="13"/>
                <w:color w:val="auto"/>
              </w:rPr>
              <w:t>100.0%</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1,068,072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9"/>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Although most claims against title insurance policies are reported relatively soon after the policy has been issued, claims may be reported many years later. 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62" w:lineRule="exact"/>
        <w:rPr>
          <w:sz w:val="20"/>
          <w:szCs w:val="20"/>
          <w:color w:val="auto"/>
        </w:rPr>
      </w:pPr>
    </w:p>
    <w:p>
      <w:pPr>
        <w:ind w:left="680" w:right="40" w:firstLine="399"/>
        <w:spacing w:after="0" w:line="258" w:lineRule="auto"/>
        <w:rPr>
          <w:sz w:val="20"/>
          <w:szCs w:val="20"/>
          <w:color w:val="auto"/>
        </w:rPr>
      </w:pPr>
      <w:r>
        <w:rPr>
          <w:rFonts w:ascii="Times New Roman" w:cs="Times New Roman" w:eastAsia="Times New Roman" w:hAnsi="Times New Roman"/>
          <w:sz w:val="13"/>
          <w:szCs w:val="13"/>
          <w:color w:val="auto"/>
        </w:rPr>
        <w:t>We continually update loss reserve estimates by utilizing both internal and external resources. Management performs a detailed study of loss reserves based upon the latest available information at the end of each quarter and year. In addition, an independent actuarial consulting firm assists us in analyzing our historic loss experience and developing statistical models to project ultimate loss expectancy. The actuaries prepare a formal analysis of our reserves at December 31 each year. Management examines both the quantitative and qualitative data provided by both the independent actuaries and internal sources such as our legal, claims, and underwriting departments to ultimately arrive at our best reserve estimate. Regardless of technique, all methods involve significant judgment and assumptions. Management strives to improve its loss reserve estimation process by enhancing its ability to analyze loss development patterns and we continually look for ways to identify new trends to reduce the uncertainty of our loss exposure. However, adjustments may be required as experience develops unexpectedly, new information becomes known, new loss patterns emerge, or as other contributing factors are considered and incorporated into the analysis.</w:t>
      </w:r>
    </w:p>
    <w:p>
      <w:pPr>
        <w:spacing w:after="0" w:line="64" w:lineRule="exact"/>
        <w:rPr>
          <w:sz w:val="20"/>
          <w:szCs w:val="20"/>
          <w:color w:val="auto"/>
        </w:rPr>
      </w:pPr>
    </w:p>
    <w:p>
      <w:pPr>
        <w:ind w:left="680" w:right="100" w:firstLine="399"/>
        <w:spacing w:after="0" w:line="261" w:lineRule="auto"/>
        <w:rPr>
          <w:sz w:val="20"/>
          <w:szCs w:val="20"/>
          <w:color w:val="auto"/>
        </w:rPr>
      </w:pPr>
      <w:r>
        <w:rPr>
          <w:rFonts w:ascii="Times New Roman" w:cs="Times New Roman" w:eastAsia="Times New Roman" w:hAnsi="Times New Roman"/>
          <w:sz w:val="13"/>
          <w:szCs w:val="13"/>
          <w:color w:val="auto"/>
        </w:rPr>
        <w:t>Predicting ultimate loss exposure is predicated on evaluating past experience and adjusting for changes in current development and trends. Our independent actuaries’ work includes two principal steps. First, they use an actuarial technique known as the loss development method to calculate loss development factors for the Company. The loss development factors forecast ultimate losses for each policy year based on historic emergence patterns of the Company. Older policy year experience is applied to newer policy years to project future development. When new trends surface, the loss development factors are adjusted to incorporate the more recent development phenomena. Changes in homeownership patterns, increased property turnover rates, and a boom in refinance transactions all are examples of events that reduce the tail exposure of the loss pattern and warrant these adjustments.</w:t>
      </w:r>
    </w:p>
    <w:p>
      <w:pPr>
        <w:spacing w:after="0" w:line="62"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In the second step, the loss development factors calculated in the first step are used to determine the portion of ultimate loss already reported. The percentage of ultimate losses not yet reported is then applied to the expected losses, which are estimated as the product of written premium and an expected loss ratio. The expected loss ratios are derived from an econometric model of the title insurance industry incorporating various economic variables including interest rates as well as industry related developments such as title plant automation and defalcations, which are misappropriations of funds from escrow accounts, to arrive at an expected loss ratio for each policy year.</w:t>
      </w:r>
    </w:p>
    <w:p>
      <w:pPr>
        <w:spacing w:after="0" w:line="62"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Using the above approach, our external actuaries develop a single point estimate of our incurred but not reported losses, rather than a range of reserves or a set of point estimates. The point estimate provided by our independent actuaries, combined with our known claim reserves, aggregated $1,232.5 million at December 31, 2006, as compared with our carried reserve of $1,154.9 million, a difference of $77.6 million, or 6.3%. Different professional judgment in four critical assumptions was the primary driver of the difference between the independent actuary’s point estimate and our carried reserve level: different weight given to a separate projection of individually significant losses (losses greater than $500,000); adjustments based on recent experience to realize emerging changes in refinance and home sale activity; cost reduction expectations with respect to unallocated loss adjustment expense (“ULAE”) reserves; and</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9" w:name="page40"/>
    <w:bookmarkEnd w:id="39"/>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line="261" w:lineRule="auto"/>
        <w:rPr>
          <w:sz w:val="20"/>
          <w:szCs w:val="20"/>
          <w:color w:val="auto"/>
        </w:rPr>
      </w:pPr>
      <w:r>
        <w:rPr>
          <w:rFonts w:ascii="Times New Roman" w:cs="Times New Roman" w:eastAsia="Times New Roman" w:hAnsi="Times New Roman"/>
          <w:sz w:val="13"/>
          <w:szCs w:val="13"/>
          <w:color w:val="auto"/>
        </w:rPr>
        <w:t>greater anticipated loss and allocated loss adjustment expense savings resulting from claim administration improvements. In the independent actuary’s estimate, approximately one half of the effect of projecting significant losses separately was taken into consideration, whereas our management applied full weight to such analysis. Secondly, management placed moderately greater weight on the effects of home sale and refinancing assumptions in the 1995-1998 policy years. Thirdly, adjustments to the ULAE reserves were supported by management’s analysis of the true costs expected to be incurred in a claims run-off scenario. Finally, a significant increase in the number of claims administrators and claims administration process improvements are expected to result in a reduction in loss and allocated loss expense costs somewhat greater than that estimated by the external actuaries.</w:t>
      </w:r>
    </w:p>
    <w:p>
      <w:pPr>
        <w:spacing w:after="0" w:line="62" w:lineRule="exact"/>
        <w:rPr>
          <w:sz w:val="20"/>
          <w:szCs w:val="20"/>
          <w:color w:val="auto"/>
        </w:rPr>
      </w:pPr>
    </w:p>
    <w:p>
      <w:pPr>
        <w:ind w:left="680" w:right="360" w:firstLine="399"/>
        <w:spacing w:after="0" w:line="269" w:lineRule="auto"/>
        <w:rPr>
          <w:sz w:val="20"/>
          <w:szCs w:val="20"/>
          <w:color w:val="auto"/>
        </w:rPr>
      </w:pPr>
      <w:r>
        <w:rPr>
          <w:rFonts w:ascii="Times New Roman" w:cs="Times New Roman" w:eastAsia="Times New Roman" w:hAnsi="Times New Roman"/>
          <w:sz w:val="13"/>
          <w:szCs w:val="13"/>
          <w:color w:val="auto"/>
        </w:rPr>
        <w:t>Our independent actuaries fulfill a function by providing information that is a part of the total information available to our management to set our reserves. Evaluation of this information is only one component of management’s evaluation process. While there can be no assurance as to the accuracy of loss reserve estimates, use of the reserve setting process described above has resulted in development of prior years’ loss reserves over the past three years, as shown in the table below, that has generally been within a narrow range.</w:t>
      </w:r>
    </w:p>
    <w:p>
      <w:pPr>
        <w:spacing w:after="0" w:line="58" w:lineRule="exact"/>
        <w:rPr>
          <w:sz w:val="20"/>
          <w:szCs w:val="20"/>
          <w:color w:val="auto"/>
        </w:rPr>
      </w:pPr>
    </w:p>
    <w:p>
      <w:pPr>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The table below presents our loss development experience for the past three years. As can be seen in the table, the variability in loss estimates over the past three years has ranged from favorable development in an amount equal to 0.4% of title premiums to adverse development of 0.9% of title premiums with the average being unfavorable development of 0.4% over the three year period. To illustrate the effect of changes in reserve estimates, the effect on pretax earnings of a further + or − 0.4% change in estimates is presented in the last line of the table.</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63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0"/>
                <w:szCs w:val="10"/>
                <w:b w:val="1"/>
                <w:bCs w:val="1"/>
                <w:color w:val="auto"/>
              </w:rPr>
              <w:t>2006</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0"/>
                <w:szCs w:val="10"/>
                <w:b w:val="1"/>
                <w:bCs w:val="1"/>
                <w:color w:val="auto"/>
              </w:rPr>
              <w:t>2005</w:t>
            </w:r>
          </w:p>
        </w:tc>
        <w:tc>
          <w:tcPr>
            <w:tcW w:w="4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0"/>
                <w:szCs w:val="10"/>
                <w:b w:val="1"/>
                <w:bCs w:val="1"/>
                <w:color w:val="auto"/>
              </w:rPr>
              <w:t>2004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56"/>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Beginning Balance</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1,068,072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987,076</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940,217</w:t>
            </w:r>
          </w:p>
        </w:tc>
        <w:tc>
          <w:tcPr>
            <w:tcW w:w="0" w:type="dxa"/>
            <w:vAlign w:val="bottom"/>
          </w:tcPr>
          <w:p>
            <w:pPr>
              <w:spacing w:after="0"/>
              <w:rPr>
                <w:sz w:val="1"/>
                <w:szCs w:val="1"/>
                <w:color w:val="auto"/>
              </w:rPr>
            </w:pPr>
          </w:p>
        </w:tc>
      </w:tr>
      <w:tr>
        <w:trPr>
          <w:trHeight w:val="157"/>
        </w:trPr>
        <w:tc>
          <w:tcPr>
            <w:tcW w:w="6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Reserve Assumed/Transferred</w:t>
            </w:r>
          </w:p>
        </w:tc>
        <w:tc>
          <w:tcPr>
            <w:tcW w:w="2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(8,515)</w:t>
            </w:r>
          </w:p>
        </w:tc>
        <w:tc>
          <w:tcPr>
            <w:tcW w:w="100" w:type="dxa"/>
            <w:vAlign w:val="bottom"/>
          </w:tcPr>
          <w:p>
            <w:pPr>
              <w:spacing w:after="0"/>
              <w:rPr>
                <w:sz w:val="13"/>
                <w:szCs w:val="13"/>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1,000</w:t>
            </w:r>
          </w:p>
        </w:tc>
        <w:tc>
          <w:tcPr>
            <w:tcW w:w="2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38,597</w:t>
            </w:r>
          </w:p>
        </w:tc>
        <w:tc>
          <w:tcPr>
            <w:tcW w:w="0" w:type="dxa"/>
            <w:vAlign w:val="bottom"/>
          </w:tcPr>
          <w:p>
            <w:pPr>
              <w:spacing w:after="0"/>
              <w:rPr>
                <w:sz w:val="1"/>
                <w:szCs w:val="1"/>
                <w:color w:val="auto"/>
              </w:rPr>
            </w:pPr>
          </w:p>
        </w:tc>
      </w:tr>
      <w:tr>
        <w:trPr>
          <w:trHeight w:val="157"/>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Claims Loss provision related to:</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Current year</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306,179</w:t>
            </w:r>
          </w:p>
        </w:tc>
        <w:tc>
          <w:tcPr>
            <w:tcW w:w="100" w:type="dxa"/>
            <w:vAlign w:val="bottom"/>
          </w:tcPr>
          <w:p>
            <w:pPr>
              <w:spacing w:after="0"/>
              <w:rPr>
                <w:sz w:val="13"/>
                <w:szCs w:val="13"/>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319,870</w:t>
            </w:r>
          </w:p>
        </w:tc>
        <w:tc>
          <w:tcPr>
            <w:tcW w:w="2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278,449</w:t>
            </w:r>
          </w:p>
        </w:tc>
        <w:tc>
          <w:tcPr>
            <w:tcW w:w="0" w:type="dxa"/>
            <w:vAlign w:val="bottom"/>
          </w:tcPr>
          <w:p>
            <w:pPr>
              <w:spacing w:after="0"/>
              <w:rPr>
                <w:sz w:val="1"/>
                <w:szCs w:val="1"/>
                <w:color w:val="auto"/>
              </w:rPr>
            </w:pPr>
          </w:p>
        </w:tc>
      </w:tr>
      <w:tr>
        <w:trPr>
          <w:trHeight w:val="157"/>
        </w:trPr>
        <w:tc>
          <w:tcPr>
            <w:tcW w:w="6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Prior years</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39,399</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36,631</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(17,787)</w:t>
            </w:r>
          </w:p>
        </w:tc>
        <w:tc>
          <w:tcPr>
            <w:tcW w:w="0" w:type="dxa"/>
            <w:vAlign w:val="bottom"/>
          </w:tcPr>
          <w:p>
            <w:pPr>
              <w:spacing w:after="0"/>
              <w:rPr>
                <w:sz w:val="1"/>
                <w:szCs w:val="1"/>
                <w:color w:val="auto"/>
              </w:rPr>
            </w:pPr>
          </w:p>
        </w:tc>
      </w:tr>
      <w:tr>
        <w:trPr>
          <w:trHeight w:val="157"/>
        </w:trPr>
        <w:tc>
          <w:tcPr>
            <w:tcW w:w="63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claims loss provision</w:t>
            </w: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345,578</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356,501</w:t>
            </w:r>
          </w:p>
        </w:tc>
        <w:tc>
          <w:tcPr>
            <w:tcW w:w="4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260,662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Claims paid, net of recoupments related to:</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Current year</w:t>
            </w:r>
          </w:p>
        </w:tc>
        <w:tc>
          <w:tcPr>
            <w:tcW w:w="2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(18,815)</w:t>
            </w:r>
          </w:p>
        </w:tc>
        <w:tc>
          <w:tcPr>
            <w:tcW w:w="100" w:type="dxa"/>
            <w:vAlign w:val="bottom"/>
          </w:tcPr>
          <w:p>
            <w:pPr>
              <w:spacing w:after="0"/>
              <w:rPr>
                <w:sz w:val="13"/>
                <w:szCs w:val="13"/>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(14,478)</w:t>
            </w:r>
          </w:p>
        </w:tc>
        <w:tc>
          <w:tcPr>
            <w:tcW w:w="2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(19,547)</w:t>
            </w:r>
          </w:p>
        </w:tc>
        <w:tc>
          <w:tcPr>
            <w:tcW w:w="0" w:type="dxa"/>
            <w:vAlign w:val="bottom"/>
          </w:tcPr>
          <w:p>
            <w:pPr>
              <w:spacing w:after="0"/>
              <w:rPr>
                <w:sz w:val="1"/>
                <w:szCs w:val="1"/>
                <w:color w:val="auto"/>
              </w:rPr>
            </w:pPr>
          </w:p>
        </w:tc>
      </w:tr>
      <w:tr>
        <w:trPr>
          <w:trHeight w:val="157"/>
        </w:trPr>
        <w:tc>
          <w:tcPr>
            <w:tcW w:w="6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Prior years</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(231,448)</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(262,027)</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(232,853)</w:t>
            </w:r>
          </w:p>
        </w:tc>
        <w:tc>
          <w:tcPr>
            <w:tcW w:w="0" w:type="dxa"/>
            <w:vAlign w:val="bottom"/>
          </w:tcPr>
          <w:p>
            <w:pPr>
              <w:spacing w:after="0"/>
              <w:rPr>
                <w:sz w:val="1"/>
                <w:szCs w:val="1"/>
                <w:color w:val="auto"/>
              </w:rPr>
            </w:pPr>
          </w:p>
        </w:tc>
      </w:tr>
      <w:tr>
        <w:trPr>
          <w:trHeight w:val="157"/>
        </w:trPr>
        <w:tc>
          <w:tcPr>
            <w:tcW w:w="63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claims paid, net of recoupments</w:t>
            </w: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(250,263)</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(276,505)</w:t>
            </w:r>
          </w:p>
        </w:tc>
        <w:tc>
          <w:tcPr>
            <w:tcW w:w="4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(252,400)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Ending Balance</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1,154,872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1,068,072</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987,076</w:t>
            </w:r>
          </w:p>
        </w:tc>
        <w:tc>
          <w:tcPr>
            <w:tcW w:w="0" w:type="dxa"/>
            <w:vAlign w:val="bottom"/>
          </w:tcPr>
          <w:p>
            <w:pPr>
              <w:spacing w:after="0"/>
              <w:rPr>
                <w:sz w:val="1"/>
                <w:szCs w:val="1"/>
                <w:color w:val="auto"/>
              </w:rPr>
            </w:pPr>
          </w:p>
        </w:tc>
      </w:tr>
      <w:tr>
        <w:trPr>
          <w:trHeight w:val="167"/>
        </w:trPr>
        <w:tc>
          <w:tcPr>
            <w:tcW w:w="6320" w:type="dxa"/>
            <w:vAlign w:val="bottom"/>
          </w:tcPr>
          <w:p>
            <w:pPr>
              <w:spacing w:after="0"/>
              <w:rPr>
                <w:sz w:val="20"/>
                <w:szCs w:val="20"/>
                <w:color w:val="auto"/>
              </w:rPr>
            </w:pPr>
            <w:r>
              <w:rPr>
                <w:rFonts w:ascii="Times New Roman" w:cs="Times New Roman" w:eastAsia="Times New Roman" w:hAnsi="Times New Roman"/>
                <w:sz w:val="13"/>
                <w:szCs w:val="13"/>
                <w:color w:val="auto"/>
              </w:rPr>
              <w:t>Title Premiums</w:t>
            </w: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4,608,329</w:t>
            </w:r>
          </w:p>
        </w:tc>
        <w:tc>
          <w:tcPr>
            <w:tcW w:w="4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4,948,966</w:t>
            </w:r>
          </w:p>
        </w:tc>
        <w:tc>
          <w:tcPr>
            <w:tcW w:w="420" w:type="dxa"/>
            <w:vAlign w:val="bottom"/>
          </w:tcPr>
          <w:p>
            <w:pPr>
              <w:spacing w:after="0"/>
              <w:rPr>
                <w:sz w:val="14"/>
                <w:szCs w:val="14"/>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4,718,217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claim losses as a percentage of title insurance premiums: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Current year</w:t>
            </w:r>
          </w:p>
        </w:tc>
        <w:tc>
          <w:tcPr>
            <w:tcW w:w="2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3"/>
                <w:szCs w:val="13"/>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6.5%</w:t>
            </w:r>
          </w:p>
        </w:tc>
        <w:tc>
          <w:tcPr>
            <w:tcW w:w="2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57"/>
        </w:trPr>
        <w:tc>
          <w:tcPr>
            <w:tcW w:w="6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Prior years</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0.7%</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auto"/>
              </w:rPr>
              <w:t>Total Provision</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7.2%</w:t>
            </w:r>
          </w:p>
        </w:tc>
        <w:tc>
          <w:tcPr>
            <w:tcW w:w="20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Sensitivity Analysis (effect on pretax earnings of a 0.4% loss ratio change)(1):</w:t>
            </w: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Ultimate Reserve Estimate +/−</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18,433</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19,794</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18,873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53975</wp:posOffset>
            </wp:positionV>
            <wp:extent cx="82359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(1)  0.4% has been selected as an example; actual variability could be greater or less.</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Additionally, for our specialty insurance businesses, we have claims reserves of $65.8 million and $45.4 million as of December 31, 2006 and 2005.</w:t>
      </w:r>
    </w:p>
    <w:p>
      <w:pPr>
        <w:spacing w:after="0" w:line="94" w:lineRule="exact"/>
        <w:rPr>
          <w:sz w:val="20"/>
          <w:szCs w:val="20"/>
          <w:color w:val="auto"/>
        </w:rPr>
      </w:pPr>
    </w:p>
    <w:p>
      <w:pPr>
        <w:ind w:left="680" w:right="38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Valuation of Investments. </w:t>
      </w:r>
      <w:r>
        <w:rPr>
          <w:rFonts w:ascii="Times New Roman" w:cs="Times New Roman" w:eastAsia="Times New Roman" w:hAnsi="Times New Roman"/>
          <w:sz w:val="13"/>
          <w:szCs w:val="13"/>
          <w:color w:val="auto"/>
        </w:rPr>
        <w:t>We regularly review our investment portfolio for factors that may indicate that a decline in fair value of an investment is other-than-temporary. Some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factors considered in evaluating whether or not a</w:t>
      </w:r>
    </w:p>
    <w:p>
      <w:pPr>
        <w:spacing w:after="0" w:line="24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0" w:name="page41"/>
    <w:bookmarkEnd w:id="40"/>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line="256" w:lineRule="auto"/>
        <w:rPr>
          <w:sz w:val="20"/>
          <w:szCs w:val="20"/>
          <w:color w:val="auto"/>
        </w:rPr>
      </w:pPr>
      <w:r>
        <w:rPr>
          <w:rFonts w:ascii="Times New Roman" w:cs="Times New Roman" w:eastAsia="Times New Roman" w:hAnsi="Times New Roman"/>
          <w:sz w:val="13"/>
          <w:szCs w:val="13"/>
          <w:color w:val="auto"/>
        </w:rPr>
        <w:t>decline in fair value is other-than-temporary include: (i) our ability and intent to retain the investment for a period of time sufficient to allow for a recovery in value; (ii) the duration and extent to which the fair value has been less than cost; and (iii) the financial condition and prospects of the issuer. Such reviews are inherently uncertain and the value of the investment may not fully recover or may decline in future periods resulting in a realized loss. Investments are selected for analysis whenever an unrealized loss is greater than a certain threshold that we determine based on the size of our portfolio. Fixed maturity investments that have unrealized losses caused by interest rate movements are not at risk as we have the ability and intent to hold them to maturity. Unrealized losses on investments in equity securities and fixed maturity instruments that are susceptible to credit related declines are evaluated based on the aforementioned factors. Currently available market data is considered and estimates are made as to the duration and prospects for recovery, and the ability to retain the investment until such recovery takes place. These estimates are revisited quarterly and any material degradation in the prospect for recovery will be considered in the other than temporary impairment analysis. We believe that our monitoring and analysis has allowed for the proper recognition of other than temporary impairments over the past three year period. Any change in estimate in this area will have an impact on the results of operations of the period in which a charge is taken. During 2006, 2005, and 2004, we recorded other than temporary impairments totaling $9.1 million, $8.3 million and $8.0 million, respectively.</w:t>
      </w:r>
    </w:p>
    <w:p>
      <w:pPr>
        <w:spacing w:after="0" w:line="65"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i w:val="1"/>
          <w:iCs w:val="1"/>
          <w:color w:val="auto"/>
        </w:rPr>
        <w:t xml:space="preserve">Goodwill. </w:t>
      </w:r>
      <w:r>
        <w:rPr>
          <w:rFonts w:ascii="Times New Roman" w:cs="Times New Roman" w:eastAsia="Times New Roman" w:hAnsi="Times New Roman"/>
          <w:sz w:val="13"/>
          <w:szCs w:val="13"/>
          <w:color w:val="auto"/>
        </w:rPr>
        <w:t>We have made acquisitions in the past that have resulted in a significant amount of goodwill. As of December 31, 2006 and 2005, goodwill was $1,154.3 million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$2,873.9 million, respectively. The majority of our goodwill as of December 31, 2006 relates to goodwill recorded in connection with the Chicago Title merger in 2000. The decrease in goodwill from December 31, 2005 relates primarily to the distribution of FIS’s goodwill. (See Note A of the Notes to Consolidated Financial Statements.)The process of determining whether or not an asset, such as goodwill, is impaired or recoverable relies on projections of future cash flows, operating results and market conditions. While we believe that our estimates of future cash flows are reasonable, these estimates are not guarantees of future performance and are subject to risks and uncertainties that may cause actual results to differ from what is assumed in our impairment tests. In evaluating the recoverability of goodwill, we perform an annual goodwill impairment test based on an analysis of the discounted future cash flows generated by the underlying assets. We have completed our annual goodwill impairment tests in each of the past three years and have determined that we have a fair value in excess of our carrying value. Such analyses are particularly sensitive to changes in estimates of future cash flows and discount rates. Changes to these estimates might result in material changes in fair value and determination of the recoverability of goodwill which may result in charges against earnings and a reduction in the carrying value of our goodwill.</w:t>
      </w:r>
    </w:p>
    <w:p>
      <w:pPr>
        <w:spacing w:after="0" w:line="63" w:lineRule="exact"/>
        <w:rPr>
          <w:sz w:val="20"/>
          <w:szCs w:val="20"/>
          <w:color w:val="auto"/>
        </w:rPr>
      </w:pPr>
    </w:p>
    <w:p>
      <w:pPr>
        <w:ind w:left="680" w:right="10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Other Intangible Assets. </w:t>
      </w:r>
      <w:r>
        <w:rPr>
          <w:rFonts w:ascii="Times New Roman" w:cs="Times New Roman" w:eastAsia="Times New Roman" w:hAnsi="Times New Roman"/>
          <w:sz w:val="13"/>
          <w:szCs w:val="13"/>
          <w:color w:val="auto"/>
        </w:rPr>
        <w:t>We have significant intangible assets that were acquired through business acquisitions. These assets consist of purchased customer relationships, contracts,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the excess of purchase price over the fair value of identifiable net assets acquired (goodwill), discussed above. The determination of estimated useful lives and the allocation of the purchase price to the fair values of the intangible assets requires significant judgment and may affect the amount of future amortization on intangible assets other than goodwill.</w:t>
      </w:r>
    </w:p>
    <w:p>
      <w:pPr>
        <w:spacing w:after="0" w:line="56"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The valuation of intangible assets such as software, purchased customer relationships and contracts involves significant estimates and assumptions concerning matters such as customer retention, future cash flows and discount rates. If any of these assumptions change, it could affect the carrying value of these assets. Purchased customer relationships are amortized over their estimated useful lives using an accelerated method which takes into consideration expected customer attrition rates over a ten-year period. Contractual relationships are generally amortized using the straight-line method over their contractual life. In 2005 and 2004, we determined that the carrying value of certain of our intangible assets may not be recoverable and recorded impairment charges of $9.3 million and $6.3 million, respectively, relating to the write-off of these assets. These impairments were recorded as other operating expenses in our 2005 and 2004 Consolidated Statements of Earnings. There were no impairment charges recorded relating to intangible assets during 2006.</w:t>
      </w:r>
    </w:p>
    <w:p>
      <w:pPr>
        <w:spacing w:after="0" w:line="62" w:lineRule="exact"/>
        <w:rPr>
          <w:sz w:val="20"/>
          <w:szCs w:val="20"/>
          <w:color w:val="auto"/>
        </w:rPr>
      </w:pPr>
    </w:p>
    <w:p>
      <w:pPr>
        <w:jc w:val="both"/>
        <w:ind w:left="680" w:right="32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Computer Software. </w:t>
      </w:r>
      <w:r>
        <w:rPr>
          <w:rFonts w:ascii="Times New Roman" w:cs="Times New Roman" w:eastAsia="Times New Roman" w:hAnsi="Times New Roman"/>
          <w:sz w:val="13"/>
          <w:szCs w:val="13"/>
          <w:color w:val="auto"/>
        </w:rPr>
        <w:t>Computer software includes the fair value of software acquired in business combinations, purchased software and capitalized software development costs.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Purchased software is recorded at cost and amortized using the straight line method over a 3 year period and software acquired in business combinations is recorded at its fair value and amortized using straight line and accelerated methods over their estimated useful lives, ranging from 5 to 10 years.</w:t>
      </w:r>
    </w:p>
    <w:p>
      <w:pPr>
        <w:spacing w:after="0" w:line="2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41" w:name="page42"/>
    <w:bookmarkEnd w:id="41"/>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 xml:space="preserve">Capitalized software development costs are accounted for in accordance with either SFAS No. 86, </w:t>
      </w:r>
      <w:r>
        <w:rPr>
          <w:rFonts w:ascii="Times New Roman" w:cs="Times New Roman" w:eastAsia="Times New Roman" w:hAnsi="Times New Roman"/>
          <w:sz w:val="13"/>
          <w:szCs w:val="13"/>
          <w:i w:val="1"/>
          <w:iCs w:val="1"/>
          <w:color w:val="auto"/>
        </w:rPr>
        <w:t>Accounting for the Costs of Computer Software to Be Sold, Leased, or Otherwise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Marketed </w:t>
      </w:r>
      <w:r>
        <w:rPr>
          <w:rFonts w:ascii="Times New Roman" w:cs="Times New Roman" w:eastAsia="Times New Roman" w:hAnsi="Times New Roman"/>
          <w:sz w:val="13"/>
          <w:szCs w:val="13"/>
          <w:color w:val="auto"/>
        </w:rPr>
        <w:t>(SFAS No. 86), or with SOP No. 98-1,</w:t>
      </w:r>
      <w:r>
        <w:rPr>
          <w:rFonts w:ascii="Times New Roman" w:cs="Times New Roman" w:eastAsia="Times New Roman" w:hAnsi="Times New Roman"/>
          <w:sz w:val="13"/>
          <w:szCs w:val="13"/>
          <w:i w:val="1"/>
          <w:iCs w:val="1"/>
          <w:color w:val="auto"/>
        </w:rPr>
        <w:t xml:space="preserve"> Accounting for the Costs of Computer Software Developed or Obtained for Internal Use. </w:t>
      </w:r>
      <w:r>
        <w:rPr>
          <w:rFonts w:ascii="Times New Roman" w:cs="Times New Roman" w:eastAsia="Times New Roman" w:hAnsi="Times New Roman"/>
          <w:sz w:val="13"/>
          <w:szCs w:val="13"/>
          <w:color w:val="auto"/>
        </w:rPr>
        <w:t>After the technological feasibility of the software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has been established (for SFAS No. 86 software), or at the beginning of application development (for SOP No. 98-1 software), software development costs, which include salaries and related payroll costs and costs of independent contractors incurred during development, are capitalized. Research and development costs incurred prior to the establishment of technological feasibility (for SFAS No. 86 software), or prior to application development (for SOP No. 98-1 software), are expensed as incurred. For software subject to the provisions of SFAS No. 86, software development costs are amortized on a product by product basis commencing on the date of general release of the products, generally the greater of (1) the straight line method over its estimated useful life, which ranges from three to seven years or (2) the ratio of current revenues to total anticipated revenue over its useful life. The cost of purchased software that is subject to the provisions of SOP No. 98-1 is amortized on a straight-line basis over its estimated useful life.</w:t>
      </w:r>
    </w:p>
    <w:p>
      <w:pPr>
        <w:spacing w:after="0" w:line="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color w:val="auto"/>
        </w:rPr>
        <w:t xml:space="preserve">Revenue Recognition. </w:t>
      </w:r>
      <w:r>
        <w:rPr>
          <w:rFonts w:ascii="Times New Roman" w:cs="Times New Roman" w:eastAsia="Times New Roman" w:hAnsi="Times New Roman"/>
          <w:sz w:val="13"/>
          <w:szCs w:val="13"/>
          <w:color w:val="auto"/>
        </w:rPr>
        <w:t>The following describes our revenue recognition policies as they pertain to each of our segments:</w:t>
      </w:r>
    </w:p>
    <w:p>
      <w:pPr>
        <w:spacing w:after="0" w:line="96"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i w:val="1"/>
          <w:iCs w:val="1"/>
          <w:color w:val="auto"/>
        </w:rPr>
        <w:t xml:space="preserve">Fidelity National Title Group. </w:t>
      </w:r>
      <w:r>
        <w:rPr>
          <w:rFonts w:ascii="Times New Roman" w:cs="Times New Roman" w:eastAsia="Times New Roman" w:hAnsi="Times New Roman"/>
          <w:sz w:val="13"/>
          <w:szCs w:val="13"/>
          <w:color w:val="auto"/>
        </w:rPr>
        <w:t>Our direct title insurance premiums and escrow and other title-related fees are recognized as revenue at the time of closing of the related transaction 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earnings process is then considered complete, whereas premium revenues from agency operations and agency commissions include an accrual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During the second quarter of 2005, we re-evaluated our method of estimation for accruing agency title revenues and commissions and refined the method, which resulted in our recording approximately $50.0 million in additional agency revenue in the second quarter of 2005 than we would have under our prior method. The impact on net earnings of this adjustment was approximately $2.0 million. We are likely to continue to have changes to our accrual for agency revenue in the future, but as demonstrated by this second quarter adjustment, the impact on net earnings of changes in these accruals is very small.</w:t>
      </w:r>
    </w:p>
    <w:p>
      <w:pPr>
        <w:spacing w:after="0" w:line="64" w:lineRule="exact"/>
        <w:rPr>
          <w:sz w:val="20"/>
          <w:szCs w:val="20"/>
          <w:color w:val="auto"/>
        </w:rPr>
      </w:pPr>
    </w:p>
    <w:p>
      <w:pPr>
        <w:ind w:left="680" w:right="44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Specialty Insurance Segment. </w:t>
      </w:r>
      <w:r>
        <w:rPr>
          <w:rFonts w:ascii="Times New Roman" w:cs="Times New Roman" w:eastAsia="Times New Roman" w:hAnsi="Times New Roman"/>
          <w:sz w:val="13"/>
          <w:szCs w:val="13"/>
          <w:color w:val="auto"/>
        </w:rPr>
        <w:t>Revenues from home warranty and personal lines insurance policies are recognized over the life of the policy, which is one year. Revenues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commissions related to the sale of flood insurance are recognized when the policy is reported.</w:t>
      </w:r>
    </w:p>
    <w:p>
      <w:pPr>
        <w:spacing w:after="0" w:line="43" w:lineRule="exact"/>
        <w:rPr>
          <w:sz w:val="20"/>
          <w:szCs w:val="20"/>
          <w:color w:val="auto"/>
        </w:rPr>
      </w:pPr>
    </w:p>
    <w:p>
      <w:pPr>
        <w:ind w:left="680" w:right="6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Fidelity National Information Services, Inc. </w:t>
      </w:r>
      <w:r>
        <w:rPr>
          <w:rFonts w:ascii="Times New Roman" w:cs="Times New Roman" w:eastAsia="Times New Roman" w:hAnsi="Times New Roman"/>
          <w:sz w:val="13"/>
          <w:szCs w:val="13"/>
          <w:color w:val="auto"/>
        </w:rPr>
        <w:t>Through October 24, 2006, we recognized revenues relating to processing services, software licensing and software related services,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mortgage origination services, default management services and data and information services. We provided some services to customers as part of an integrated offering through multiple businesses. The revenues for services provided under these multiple element arrangements were recognized in accordance with Financial Accounting Standards Board (“FASB”) EITF Issue No. 00-21, </w:t>
      </w:r>
      <w:r>
        <w:rPr>
          <w:rFonts w:ascii="Times New Roman" w:cs="Times New Roman" w:eastAsia="Times New Roman" w:hAnsi="Times New Roman"/>
          <w:sz w:val="13"/>
          <w:szCs w:val="13"/>
          <w:i w:val="1"/>
          <w:iCs w:val="1"/>
          <w:color w:val="auto"/>
        </w:rPr>
        <w:t>Revenue Arrangements and Multiple Deliverables</w:t>
      </w:r>
      <w:r>
        <w:rPr>
          <w:rFonts w:ascii="Times New Roman" w:cs="Times New Roman" w:eastAsia="Times New Roman" w:hAnsi="Times New Roman"/>
          <w:sz w:val="13"/>
          <w:szCs w:val="13"/>
          <w:color w:val="auto"/>
        </w:rPr>
        <w:t xml:space="preserve"> (“EITF 00-21”).</w:t>
      </w:r>
    </w:p>
    <w:p>
      <w:pPr>
        <w:spacing w:after="0" w:line="62"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FIS recognized revenues relating to bank processing services and mortgage processing services along with software licensing and software related services. Several of FIS’s contracts included a software license and one or more of the following services: data processing, development, implementation, conversion, training, programming, post-contract customer support and application management. In some cases, these services were offered in combination with one another and in other cases FIS offered them individually. Revenues from bank and mortgage processing services were typically volume based depending on factors such as the number of accounts processed, transactions processed and computer resources utilized.</w:t>
      </w:r>
    </w:p>
    <w:p>
      <w:pPr>
        <w:spacing w:after="0" w:line="62"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color w:val="auto"/>
        </w:rPr>
        <w:t xml:space="preserve">The substantial majority of the revenues in this business were from outsourced data processing and application management arrangements. Revenues from these arrangements were recognized as services were performed in accordance with Securities and Exchange Commission (SEC) Staff Accounting Bulletin No. 104 (SAB No. 104), </w:t>
      </w:r>
      <w:r>
        <w:rPr>
          <w:rFonts w:ascii="Times New Roman" w:cs="Times New Roman" w:eastAsia="Times New Roman" w:hAnsi="Times New Roman"/>
          <w:sz w:val="13"/>
          <w:szCs w:val="13"/>
          <w:i w:val="1"/>
          <w:iCs w:val="1"/>
          <w:color w:val="auto"/>
        </w:rPr>
        <w:t>Revenue Recognition</w:t>
      </w:r>
      <w:r>
        <w:rPr>
          <w:rFonts w:ascii="Times New Roman" w:cs="Times New Roman" w:eastAsia="Times New Roman" w:hAnsi="Times New Roman"/>
          <w:sz w:val="13"/>
          <w:szCs w:val="13"/>
          <w:color w:val="auto"/>
        </w:rPr>
        <w:t xml:space="preserve"> and related interpretations. SAB No. 104 sets forth guidance as to when revenue was realized or realizable and earned when all of the following criteria were met: (1) persuasive evidence of an arrangement existed; (2) delivery had occurred or services have been rendered; (3) the seller’s price to the buyer was fixed and determinable; and (4) collectability was reasonably assured. Revenues and costs related to implementation, conversion and programming services associated with FIS’s data processing and application management agreements during the</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42" w:name="page43"/>
    <w:bookmarkEnd w:id="42"/>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60"/>
        <w:spacing w:after="0" w:line="286" w:lineRule="auto"/>
        <w:rPr>
          <w:sz w:val="20"/>
          <w:szCs w:val="20"/>
          <w:color w:val="auto"/>
        </w:rPr>
      </w:pPr>
      <w:r>
        <w:rPr>
          <w:rFonts w:ascii="Times New Roman" w:cs="Times New Roman" w:eastAsia="Times New Roman" w:hAnsi="Times New Roman"/>
          <w:sz w:val="13"/>
          <w:szCs w:val="13"/>
          <w:color w:val="auto"/>
        </w:rPr>
        <w:t>implementation phase were deferred and subsequently recognized using the straight-line method over the term of the related services agreement. At each reporting period, FIS evaluated these deferred contract costs for impairment.</w:t>
      </w:r>
    </w:p>
    <w:p>
      <w:pPr>
        <w:spacing w:after="0" w:line="47"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In the event that FIS’s arrangements with its customers included more than one service, FIS determined whether the individual revenue elements could be recognized separately in accordance with EITF 00-21. EITF 00-21 addresses the determination of whether an arrangement involving more than one deliverable contains more than one unit of accounting and how the arrangement consideration should be measured and allocated to the separate units of accounting.</w:t>
      </w:r>
    </w:p>
    <w:p>
      <w:pPr>
        <w:spacing w:after="0" w:line="58" w:lineRule="exact"/>
        <w:rPr>
          <w:sz w:val="20"/>
          <w:szCs w:val="20"/>
          <w:color w:val="auto"/>
        </w:rPr>
      </w:pPr>
    </w:p>
    <w:p>
      <w:pPr>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 xml:space="preserve">If all of the services were software related services as determined under the American Institute of Certified Public Accountants’ Statement of Position (SOP) 97-2 (SOP No. 97-2), entitled </w:t>
      </w:r>
      <w:r>
        <w:rPr>
          <w:rFonts w:ascii="Times New Roman" w:cs="Times New Roman" w:eastAsia="Times New Roman" w:hAnsi="Times New Roman"/>
          <w:sz w:val="13"/>
          <w:szCs w:val="13"/>
          <w:i w:val="1"/>
          <w:iCs w:val="1"/>
          <w:color w:val="auto"/>
        </w:rPr>
        <w:t>Software Revenue Recognition,</w:t>
      </w:r>
      <w:r>
        <w:rPr>
          <w:rFonts w:ascii="Times New Roman" w:cs="Times New Roman" w:eastAsia="Times New Roman" w:hAnsi="Times New Roman"/>
          <w:sz w:val="13"/>
          <w:szCs w:val="13"/>
          <w:color w:val="auto"/>
        </w:rPr>
        <w:t xml:space="preserve"> and SOP 98-9, entitled </w:t>
      </w:r>
      <w:r>
        <w:rPr>
          <w:rFonts w:ascii="Times New Roman" w:cs="Times New Roman" w:eastAsia="Times New Roman" w:hAnsi="Times New Roman"/>
          <w:sz w:val="13"/>
          <w:szCs w:val="13"/>
          <w:i w:val="1"/>
          <w:iCs w:val="1"/>
          <w:color w:val="auto"/>
        </w:rPr>
        <w:t>Modification of SOP No. 97-2, Software Revenue Recognition, with Respect to Certain Transactions,</w:t>
      </w:r>
      <w:r>
        <w:rPr>
          <w:rFonts w:ascii="Times New Roman" w:cs="Times New Roman" w:eastAsia="Times New Roman" w:hAnsi="Times New Roman"/>
          <w:sz w:val="13"/>
          <w:szCs w:val="13"/>
          <w:color w:val="auto"/>
        </w:rPr>
        <w:t xml:space="preserve"> FIS applied these pronouncements and related interpretations to determine the appropriate units of accounting and how the arrangement consideration should be measured and allocated to the separate units.</w:t>
      </w:r>
    </w:p>
    <w:p>
      <w:pPr>
        <w:spacing w:after="0" w:line="58" w:lineRule="exact"/>
        <w:rPr>
          <w:sz w:val="20"/>
          <w:szCs w:val="20"/>
          <w:color w:val="auto"/>
        </w:rPr>
      </w:pPr>
    </w:p>
    <w:p>
      <w:pPr>
        <w:ind w:left="680" w:right="200" w:firstLine="399"/>
        <w:spacing w:after="0" w:line="257" w:lineRule="auto"/>
        <w:rPr>
          <w:sz w:val="20"/>
          <w:szCs w:val="20"/>
          <w:color w:val="auto"/>
        </w:rPr>
      </w:pPr>
      <w:r>
        <w:rPr>
          <w:rFonts w:ascii="Times New Roman" w:cs="Times New Roman" w:eastAsia="Times New Roman" w:hAnsi="Times New Roman"/>
          <w:sz w:val="13"/>
          <w:szCs w:val="13"/>
          <w:color w:val="auto"/>
        </w:rPr>
        <w:t>FIS recognized software license and post-contract customer support fees as well as associated development, implementation, training, conversion and programming fees in accordance with SOP No. 97-2 and SOP No. 98-9. Initial license fees were recognized when a contract existed, the fee was fixed or determinable, software delivery had occurred and collection of the receivable was deemed probable, provided that vendor specific objective evidence, or VSOE, had been established for each element or for any undelivered elements. FIS determined the fair value of each element or the undelivered elements in multi element software arrangements based on VSOE. If the arrangement was subject to accounting under</w:t>
      </w:r>
    </w:p>
    <w:p>
      <w:pPr>
        <w:spacing w:after="0" w:line="2" w:lineRule="exact"/>
        <w:rPr>
          <w:sz w:val="20"/>
          <w:szCs w:val="20"/>
          <w:color w:val="auto"/>
        </w:rPr>
      </w:pPr>
    </w:p>
    <w:p>
      <w:pPr>
        <w:ind w:left="680"/>
        <w:spacing w:after="0" w:line="254" w:lineRule="auto"/>
        <w:rPr>
          <w:sz w:val="20"/>
          <w:szCs w:val="20"/>
          <w:color w:val="auto"/>
        </w:rPr>
      </w:pPr>
      <w:r>
        <w:rPr>
          <w:rFonts w:ascii="Times New Roman" w:cs="Times New Roman" w:eastAsia="Times New Roman" w:hAnsi="Times New Roman"/>
          <w:sz w:val="13"/>
          <w:szCs w:val="13"/>
          <w:color w:val="auto"/>
        </w:rPr>
        <w:t>SOP No. 97-2, VSOE for each element was based on the price charged when the same element was sold separately, or in the case of post-contract customer support, when a stated renewal rate was provided to the customer. If evidence of fair value of all undelivered elements existed but evidence did not exist for one or more delivered elements, then revenue was recognized using the residual method. Under the residual method, the fair value of the undelivered elements was deferred and the remaining portion of the arrangement fee was recognized as revenue. If evidence of fair value did not exist for one or more undelivered elements of a contract, then all revenue was deferred until all elements were delivered or fair value was determined for all remaining undelivered elements. Revenue from post-contract customer support was recognized ratably over the term of the agreement. FIS recorded deferred revenue for all billings invoiced prior to revenue recognition.</w:t>
      </w:r>
    </w:p>
    <w:p>
      <w:pPr>
        <w:spacing w:after="0" w:line="69"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 xml:space="preserve">With respect to a small percentage of revenues, FIS used contract accounting, as required by SOP No. 97-2, when the arrangement with the customer included significant customization, modification, or production of software. For elements accounted for under contract accounting, revenue was recognized in accordance with SOP 81-1, </w:t>
      </w:r>
      <w:r>
        <w:rPr>
          <w:rFonts w:ascii="Times New Roman" w:cs="Times New Roman" w:eastAsia="Times New Roman" w:hAnsi="Times New Roman"/>
          <w:sz w:val="13"/>
          <w:szCs w:val="13"/>
          <w:i w:val="1"/>
          <w:iCs w:val="1"/>
          <w:color w:val="auto"/>
        </w:rPr>
        <w:t>Accounting for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Performance of Construction Type and Certain Production Type Contracts, </w:t>
      </w:r>
      <w:r>
        <w:rPr>
          <w:rFonts w:ascii="Times New Roman" w:cs="Times New Roman" w:eastAsia="Times New Roman" w:hAnsi="Times New Roman"/>
          <w:sz w:val="13"/>
          <w:szCs w:val="13"/>
          <w:color w:val="auto"/>
        </w:rPr>
        <w:t>using the percentage of completion method since reasonably dependable estimates of revenues and contract hours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applicable to various elements of a contract could be made. Revenues in excess of billings on these agreements were recorded as unbilled receivables and were included in trade receivables. Billings in excess of revenue recognized on these agreements were recorded as deferred revenue until revenue recognition criteria were met. Changes in estimates for revenues, costs and profits were recognized in the period in which they were determinable. When FIS’s estimates indicated that the entire contract would be performed at a loss, a provision for the entire loss was recorded in that accounting period.</w:t>
      </w:r>
    </w:p>
    <w:p>
      <w:pPr>
        <w:spacing w:after="0" w:line="64" w:lineRule="exact"/>
        <w:rPr>
          <w:sz w:val="20"/>
          <w:szCs w:val="20"/>
          <w:color w:val="auto"/>
        </w:rPr>
      </w:pPr>
    </w:p>
    <w:p>
      <w:pPr>
        <w:ind w:left="680" w:right="100" w:firstLine="399"/>
        <w:spacing w:after="0" w:line="269" w:lineRule="auto"/>
        <w:rPr>
          <w:sz w:val="20"/>
          <w:szCs w:val="20"/>
          <w:color w:val="auto"/>
        </w:rPr>
      </w:pPr>
      <w:r>
        <w:rPr>
          <w:rFonts w:ascii="Times New Roman" w:cs="Times New Roman" w:eastAsia="Times New Roman" w:hAnsi="Times New Roman"/>
          <w:sz w:val="13"/>
          <w:szCs w:val="13"/>
          <w:color w:val="auto"/>
        </w:rPr>
        <w:t>In its mortgage origination businesses, FIS recognized revenues from mortgage origination services which primarily consisted of centralized title agency and closing services for various types of lenders. Revenues relating to centralized title agency and closing services were recognized at the time of closing of the related real estate transaction. Ancillary service fees were recognized when the service was provided. Revenue derived from these services was recognized as the services were performed in accordance with SAB No. 104 as described above.</w:t>
      </w:r>
    </w:p>
    <w:p>
      <w:pPr>
        <w:spacing w:after="0" w:line="58" w:lineRule="exact"/>
        <w:rPr>
          <w:sz w:val="20"/>
          <w:szCs w:val="20"/>
          <w:color w:val="auto"/>
        </w:rPr>
      </w:pPr>
    </w:p>
    <w:p>
      <w:pPr>
        <w:jc w:val="both"/>
        <w:ind w:left="680" w:firstLine="399"/>
        <w:spacing w:after="0" w:line="263" w:lineRule="auto"/>
        <w:rPr>
          <w:sz w:val="20"/>
          <w:szCs w:val="20"/>
          <w:color w:val="auto"/>
        </w:rPr>
      </w:pPr>
      <w:r>
        <w:rPr>
          <w:rFonts w:ascii="Times New Roman" w:cs="Times New Roman" w:eastAsia="Times New Roman" w:hAnsi="Times New Roman"/>
          <w:sz w:val="13"/>
          <w:szCs w:val="13"/>
          <w:color w:val="auto"/>
        </w:rPr>
        <w:t>In its default management businesses, FIS recognized revenues on services provided to assist customers through the default and foreclosure process, including property preservation and maintenance services (such as lock changes, window replacement, debris removal and lawn service), posting and publication of foreclosure and auction notices, title searches, document preparation and recording services, and referrals for legal and property brokerage services. Revenue derived from these services was recognized as the services were performed in accordance with SAB No. 104 as described above.</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43" w:name="page44"/>
    <w:bookmarkEnd w:id="43"/>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jc w:val="both"/>
        <w:ind w:left="680" w:right="1240" w:firstLine="399"/>
        <w:spacing w:after="0" w:line="269" w:lineRule="auto"/>
        <w:rPr>
          <w:sz w:val="20"/>
          <w:szCs w:val="20"/>
          <w:color w:val="auto"/>
        </w:rPr>
      </w:pPr>
      <w:r>
        <w:rPr>
          <w:rFonts w:ascii="Times New Roman" w:cs="Times New Roman" w:eastAsia="Times New Roman" w:hAnsi="Times New Roman"/>
          <w:sz w:val="13"/>
          <w:szCs w:val="13"/>
          <w:color w:val="auto"/>
        </w:rPr>
        <w:t>In its information services businesses, FIS recorded revenue from providing data or data related services. These services principally included appraisal and valuation services, property records information, real estate tax services, borrower credit and flood zone information and multiple listing software and services. Revenue derived from these services was recognized as the services were performed in accordance with SAB No. 104 as described above.</w:t>
      </w:r>
    </w:p>
    <w:p>
      <w:pPr>
        <w:spacing w:after="0" w:line="58" w:lineRule="exact"/>
        <w:rPr>
          <w:sz w:val="20"/>
          <w:szCs w:val="20"/>
          <w:color w:val="auto"/>
        </w:rPr>
      </w:pPr>
    </w:p>
    <w:p>
      <w:pPr>
        <w:ind w:left="680" w:right="800" w:firstLine="399"/>
        <w:spacing w:after="0" w:line="263" w:lineRule="auto"/>
        <w:rPr>
          <w:sz w:val="20"/>
          <w:szCs w:val="20"/>
          <w:color w:val="auto"/>
        </w:rPr>
      </w:pPr>
      <w:r>
        <w:rPr>
          <w:rFonts w:ascii="Times New Roman" w:cs="Times New Roman" w:eastAsia="Times New Roman" w:hAnsi="Times New Roman"/>
          <w:sz w:val="13"/>
          <w:szCs w:val="13"/>
          <w:color w:val="auto"/>
        </w:rPr>
        <w:t>FIS’s flood and tax units provided various services including life of loan-monitoring services. Revenue for life of loan services was deferred and recognized ratably over the estimated average life of the loan service period, which was determined based on FIS’s historical experience. FIS evaluated its historical experience on a periodic basis, and adjusted the estimated life of the loan service period prospectively. Revenue derived from software and service arrangements included in this segment was recognized in accordance with SOP No. 97-2 as discussed above. Revenues from other services in this segment were recognized as the services were performed in accordance with SAB No. 104 as described above.</w:t>
      </w:r>
    </w:p>
    <w:p>
      <w:pPr>
        <w:spacing w:after="0" w:line="60" w:lineRule="exact"/>
        <w:rPr>
          <w:sz w:val="20"/>
          <w:szCs w:val="20"/>
          <w:color w:val="auto"/>
        </w:rPr>
      </w:pPr>
    </w:p>
    <w:p>
      <w:pPr>
        <w:ind w:left="680" w:right="860" w:firstLine="399"/>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Accounting for Income Taxes. </w:t>
      </w:r>
      <w:r>
        <w:rPr>
          <w:rFonts w:ascii="Times New Roman" w:cs="Times New Roman" w:eastAsia="Times New Roman" w:hAnsi="Times New Roman"/>
          <w:sz w:val="13"/>
          <w:szCs w:val="13"/>
          <w:color w:val="auto"/>
        </w:rPr>
        <w:t>This process involves estimating actual current tax expense together with assessing temporary differences resulting from differing recognition of items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 income tax and accounting purposes. These differences result in deferred income tax assets and liabilities, which are included within the consolidated balance sheet. We must then assess the likelihood that deferred income tax assets will be recovered from future taxable income and, to the extent we believe that recovery is not likely, establish a valuation allowance. To the extent FNF establishes a valuation allowance or increases this allowance in a period, it must reflect this increase as an expense within income tax expense in the statement of earnings. Determination of the income tax expense requires estimates and can involve complex issues that may require an extended period to resolve. Further, changes in the geographic mix of revenues or in the estimated level of annual pre-tax income can cause the overall effective income tax rate to vary from period to period.</w:t>
      </w:r>
    </w:p>
    <w:p>
      <w:pPr>
        <w:spacing w:after="0" w:line="1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Certain Factors Affecting Comparability</w:t>
      </w:r>
    </w:p>
    <w:p>
      <w:pPr>
        <w:spacing w:after="0" w:line="96" w:lineRule="exact"/>
        <w:rPr>
          <w:sz w:val="20"/>
          <w:szCs w:val="20"/>
          <w:color w:val="auto"/>
        </w:rPr>
      </w:pPr>
    </w:p>
    <w:p>
      <w:pPr>
        <w:ind w:left="680" w:right="800" w:firstLine="399"/>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Year ended December 31, 2006. </w:t>
      </w:r>
      <w:r>
        <w:rPr>
          <w:rFonts w:ascii="Times New Roman" w:cs="Times New Roman" w:eastAsia="Times New Roman" w:hAnsi="Times New Roman"/>
          <w:sz w:val="13"/>
          <w:szCs w:val="13"/>
          <w:color w:val="auto"/>
        </w:rPr>
        <w:t>Beginning October 24, 2006, with the closing of the SEDA, our Consolidated Statements of Earnings no longer include the results of FIS.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operations of FIS continue to be included in our Consolidated Financial Statements for periods prior to October 24, 2006. (See Note A of the Notes to Consolidated Financial Statements for a description of the accounting treatment of the Asset Contribution and 2006 Distribution). In addition, our Consolidated Statements of Earnings for 2006 include the results of operations of Certegy, Inc. (“Certegy”), which was acquired by FIS on February 1, 2006, as discussed in Note B of Notes to Consolidated Financial Statements. This acquisition may affect the comparability of our 2006 and 2005 results of operations, particularly with respect to FIS in which the operating results of Certegy are included since its merger date.</w:t>
      </w:r>
    </w:p>
    <w:p>
      <w:pPr>
        <w:spacing w:after="0" w:line="62" w:lineRule="exact"/>
        <w:rPr>
          <w:sz w:val="20"/>
          <w:szCs w:val="20"/>
          <w:color w:val="auto"/>
        </w:rPr>
      </w:pPr>
    </w:p>
    <w:p>
      <w:pPr>
        <w:ind w:left="680" w:right="88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Year ended December 31, 2005. </w:t>
      </w:r>
      <w:r>
        <w:rPr>
          <w:rFonts w:ascii="Times New Roman" w:cs="Times New Roman" w:eastAsia="Times New Roman" w:hAnsi="Times New Roman"/>
          <w:sz w:val="13"/>
          <w:szCs w:val="13"/>
          <w:color w:val="auto"/>
        </w:rPr>
        <w:t>Our Consolidated Statements of Earnings for 2005 include a full year of results for the 2004 FIS acquisitions of Aurum Technology, Inc., Sanchez</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Computer Associates, Inc., KORDOBA Gesellschaft fur Bankensoftware mbH &amp; Co. KG, Munich, and InterCept, Inc., and the 2004 FNT acquisition of American Pioneer Title Insurance Company (“APTIC”). 2005 results also include additional interest expense incurred due to $2.8 billion of borrowings incurred as part of the recapitalization of FIS, a $318.2 million gain on sale of a minority interest in FIS and additional minority interest expense relating to that transaction and to the 2005 distribution of a minority interest in FNT to shareholders of Old FNF.</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Consolidated Results of Operations</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color w:val="auto"/>
        </w:rPr>
        <w:t xml:space="preserve">Net Earnings. </w:t>
      </w:r>
      <w:r>
        <w:rPr>
          <w:rFonts w:ascii="Times New Roman" w:cs="Times New Roman" w:eastAsia="Times New Roman" w:hAnsi="Times New Roman"/>
          <w:sz w:val="13"/>
          <w:szCs w:val="13"/>
          <w:color w:val="auto"/>
        </w:rPr>
        <w:t>The following table presents certain financial data for the years indicated: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98"/>
        </w:trPr>
        <w:tc>
          <w:tcPr>
            <w:tcW w:w="6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8"/>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8"/>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8"/>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3"/>
        </w:trPr>
        <w:tc>
          <w:tcPr>
            <w:tcW w:w="6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3"/>
              </w:rPr>
              <w:t>(Dollars in thousands)</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1"/>
        </w:trPr>
        <w:tc>
          <w:tcPr>
            <w:tcW w:w="680" w:type="dxa"/>
            <w:vAlign w:val="bottom"/>
          </w:tcPr>
          <w:p>
            <w:pPr>
              <w:spacing w:after="0"/>
              <w:rPr>
                <w:sz w:val="14"/>
                <w:szCs w:val="14"/>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37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9,436,101</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9,654,580</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8,295,820</w:t>
            </w:r>
          </w:p>
        </w:tc>
        <w:tc>
          <w:tcPr>
            <w:tcW w:w="800" w:type="dxa"/>
            <w:vAlign w:val="bottom"/>
          </w:tcPr>
          <w:p>
            <w:pPr>
              <w:spacing w:after="0"/>
              <w:rPr>
                <w:sz w:val="14"/>
                <w:szCs w:val="14"/>
                <w:color w:val="auto"/>
              </w:rPr>
            </w:pPr>
          </w:p>
        </w:tc>
      </w:tr>
      <w:tr>
        <w:trPr>
          <w:trHeight w:val="181"/>
        </w:trPr>
        <w:tc>
          <w:tcPr>
            <w:tcW w:w="680" w:type="dxa"/>
            <w:vAlign w:val="bottom"/>
          </w:tcPr>
          <w:p>
            <w:pPr>
              <w:spacing w:after="0"/>
              <w:rPr>
                <w:sz w:val="15"/>
                <w:szCs w:val="15"/>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Total expenses</w:t>
            </w:r>
          </w:p>
        </w:tc>
        <w:tc>
          <w:tcPr>
            <w:tcW w:w="35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8,492,899</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8,046,640</w:t>
            </w:r>
          </w:p>
        </w:tc>
        <w:tc>
          <w:tcPr>
            <w:tcW w:w="4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7,111,729</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2"/>
        </w:trPr>
        <w:tc>
          <w:tcPr>
            <w:tcW w:w="680" w:type="dxa"/>
            <w:vAlign w:val="bottom"/>
          </w:tcPr>
          <w:p>
            <w:pPr>
              <w:spacing w:after="0"/>
              <w:rPr>
                <w:sz w:val="14"/>
                <w:szCs w:val="14"/>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earnings</w:t>
            </w:r>
          </w:p>
        </w:tc>
        <w:tc>
          <w:tcPr>
            <w:tcW w:w="37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437,761</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964,106</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740,962</w:t>
            </w:r>
          </w:p>
        </w:tc>
        <w:tc>
          <w:tcPr>
            <w:tcW w:w="800" w:type="dxa"/>
            <w:vAlign w:val="bottom"/>
          </w:tcPr>
          <w:p>
            <w:pPr>
              <w:spacing w:after="0"/>
              <w:rPr>
                <w:sz w:val="14"/>
                <w:szCs w:val="14"/>
                <w:color w:val="auto"/>
              </w:rPr>
            </w:pPr>
          </w:p>
        </w:tc>
      </w:tr>
      <w:tr>
        <w:trPr>
          <w:trHeight w:val="463"/>
        </w:trPr>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540" w:type="dxa"/>
            <w:vAlign w:val="bottom"/>
          </w:tcPr>
          <w:p>
            <w:pPr>
              <w:jc w:val="right"/>
              <w:ind w:right="1274"/>
              <w:spacing w:after="0"/>
              <w:rPr>
                <w:sz w:val="20"/>
                <w:szCs w:val="20"/>
                <w:color w:val="auto"/>
              </w:rPr>
            </w:pPr>
            <w:r>
              <w:rPr>
                <w:rFonts w:ascii="Times New Roman" w:cs="Times New Roman" w:eastAsia="Times New Roman" w:hAnsi="Times New Roman"/>
                <w:sz w:val="13"/>
                <w:szCs w:val="13"/>
                <w:color w:val="auto"/>
              </w:rPr>
              <w:t>41</w:t>
            </w: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2860" w:type="dxa"/>
            <w:vAlign w:val="bottom"/>
            <w:tcBorders>
              <w:bottom w:val="single" w:sz="8" w:color="808080"/>
            </w:tcBorders>
          </w:tcPr>
          <w:p>
            <w:pPr>
              <w:spacing w:after="0"/>
              <w:rPr>
                <w:sz w:val="14"/>
                <w:szCs w:val="14"/>
                <w:color w:val="auto"/>
              </w:rPr>
            </w:pPr>
          </w:p>
        </w:tc>
        <w:tc>
          <w:tcPr>
            <w:tcW w:w="35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44" w:name="page45"/>
    <w:bookmarkEnd w:id="44"/>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color w:val="auto"/>
        </w:rPr>
        <w:t xml:space="preserve">Revenue. </w:t>
      </w:r>
      <w:r>
        <w:rPr>
          <w:rFonts w:ascii="Times New Roman" w:cs="Times New Roman" w:eastAsia="Times New Roman" w:hAnsi="Times New Roman"/>
          <w:sz w:val="13"/>
          <w:szCs w:val="13"/>
          <w:color w:val="auto"/>
        </w:rPr>
        <w:t>The following table presents the components of our revenue:</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64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6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5"/>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5"/>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5"/>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8"/>
                <w:szCs w:val="8"/>
                <w:color w:val="auto"/>
              </w:rPr>
            </w:pPr>
          </w:p>
        </w:tc>
      </w:tr>
      <w:tr>
        <w:trPr>
          <w:trHeight w:val="133"/>
        </w:trPr>
        <w:tc>
          <w:tcPr>
            <w:tcW w:w="6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3"/>
              </w:rPr>
              <w:t>(Dollars in thousands)</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Direct title insurance premiums</w:t>
            </w: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1,957,064</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2,261,499</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2,128,902</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Agency title insurance premiums</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2,649,136</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2,683,545</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2,610,426</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Escrow and other title related fees</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1,061,469</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1,157,022</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1,042,243</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Transaction processing</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3,094,370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2,570,372</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2,118,672</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Specialty insurance</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394,613</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428,939</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239,256</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investment income</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208,309</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144,966</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70,692</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Gain on sale of minority interest in FIS</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318,209</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Realized gains and losses, net</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18,562</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41,071</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36,961</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52,578</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48,957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48,668</w:t>
            </w:r>
          </w:p>
        </w:tc>
      </w:tr>
      <w:tr>
        <w:trPr>
          <w:trHeight w:val="171"/>
        </w:trPr>
        <w:tc>
          <w:tcPr>
            <w:tcW w:w="6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revenue</w:t>
            </w: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9,436,101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9,654,580</w:t>
            </w:r>
          </w:p>
        </w:tc>
        <w:tc>
          <w:tcPr>
            <w:tcW w:w="4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8,295,820</w:t>
            </w:r>
          </w:p>
        </w:tc>
        <w:tc>
          <w:tcPr>
            <w:tcW w:w="100" w:type="dxa"/>
            <w:vAlign w:val="bottom"/>
          </w:tcPr>
          <w:p>
            <w:pPr>
              <w:spacing w:after="0"/>
              <w:rPr>
                <w:sz w:val="14"/>
                <w:szCs w:val="14"/>
                <w:color w:val="auto"/>
              </w:rPr>
            </w:pPr>
          </w:p>
        </w:tc>
      </w:tr>
      <w:tr>
        <w:trPr>
          <w:trHeight w:val="162"/>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Orders opened by direct title operations</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3,146,200</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3,615,400</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3,680,200</w:t>
            </w:r>
          </w:p>
        </w:tc>
      </w:tr>
      <w:tr>
        <w:trPr>
          <w:trHeight w:val="171"/>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Orders closed by direct title operations</w:t>
            </w: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2,051,500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2,487,000</w:t>
            </w:r>
          </w:p>
        </w:tc>
        <w:tc>
          <w:tcPr>
            <w:tcW w:w="2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2,636,300</w:t>
            </w:r>
          </w:p>
        </w:tc>
      </w:tr>
    </w:tbl>
    <w:p>
      <w:pPr>
        <w:spacing w:after="0" w:line="62"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Total revenue in 2006 decreased $218.5 million to $9,436.1 million, a decrease of 2.2% compared to 2005. The decrease in 2006 is primarily attributable to decreases in title revenues and revenues from our specialty insurance group and a net $318.2 million non-operating gain on the issuance of subsidiary stock relating to the sale of a minority interest in FIS in 2005, partially offset by an increase in transaction processing revenues. Total revenue in 2005 increased $1,358.8 million to $9,654.6 million, an increase of 16.4% over 2004. The increase in revenue in 2005 is attributable to a full year of results from the 2004 acquisitions by FIS, increased title revenues, and an increase in revenues from our specialty insurance group attributable to growth and substantial flood claim processing revenues recorded in the fourth quarter of 2005. Also included in this revenue growth was the $318.2 million gain on the issuance of subsidiary stock relating to the sale of a minority interest in FIS.</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presents the percentages of title insurance premiums generated by our direct and agency operations:</w:t>
      </w:r>
    </w:p>
    <w:p>
      <w:pPr>
        <w:spacing w:after="0" w:line="21" w:lineRule="exact"/>
        <w:rPr>
          <w:sz w:val="20"/>
          <w:szCs w:val="20"/>
          <w:color w:val="auto"/>
        </w:rPr>
      </w:pPr>
    </w:p>
    <w:tbl>
      <w:tblPr>
        <w:tblLayout w:type="fixed"/>
        <w:tblInd w:w="680" w:type="dxa"/>
        <w:tblCellMar>
          <w:top w:w="0" w:type="dxa"/>
          <w:left w:w="0" w:type="dxa"/>
          <w:bottom w:w="0" w:type="dxa"/>
          <w:right w:w="0" w:type="dxa"/>
        </w:tblCellMar>
      </w:tblPr>
      <w:tr>
        <w:trPr>
          <w:trHeight w:val="117"/>
        </w:trPr>
        <w:tc>
          <w:tcPr>
            <w:tcW w:w="13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1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340"/>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288"/>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340"/>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tcPr>
          <w:p>
            <w:pPr>
              <w:jc w:val="right"/>
              <w:ind w:right="660"/>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400" w:type="dxa"/>
            <w:vAlign w:val="bottom"/>
          </w:tcPr>
          <w:p>
            <w:pPr>
              <w:jc w:val="right"/>
              <w:ind w:right="7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3"/>
          </w:tcPr>
          <w:p>
            <w:pPr>
              <w:ind w:left="100"/>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320" w:type="dxa"/>
            <w:vAlign w:val="bottom"/>
          </w:tcPr>
          <w:p>
            <w:pPr>
              <w:jc w:val="right"/>
              <w:ind w:right="9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tcPr>
          <w:p>
            <w:pPr>
              <w:jc w:val="right"/>
              <w:ind w:right="660"/>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380" w:type="dxa"/>
            <w:vAlign w:val="bottom"/>
          </w:tcPr>
          <w:p>
            <w:pPr>
              <w:jc w:val="right"/>
              <w:ind w:right="7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8"/>
                <w:szCs w:val="8"/>
                <w:color w:val="auto"/>
              </w:rPr>
            </w:pPr>
          </w:p>
        </w:tc>
      </w:tr>
      <w:tr>
        <w:trPr>
          <w:trHeight w:val="133"/>
        </w:trPr>
        <w:tc>
          <w:tcPr>
            <w:tcW w:w="13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0"/>
                <w:szCs w:val="10"/>
                <w:b w:val="1"/>
                <w:bCs w:val="1"/>
                <w:color w:val="auto"/>
              </w:rPr>
              <w:t>(Dollars in</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81"/>
              </w:rPr>
              <w:t>thousands)</w:t>
            </w: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Direct(1)</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1,957,064</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42.5%</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2,261,499</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45.7%</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2,128,902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w:t>
            </w:r>
          </w:p>
        </w:tc>
      </w:tr>
      <w:tr>
        <w:trPr>
          <w:trHeight w:val="157"/>
        </w:trPr>
        <w:tc>
          <w:tcPr>
            <w:tcW w:w="4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Agency(1)</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2,649,136</w:t>
            </w: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2,683,545</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54.3</w:t>
            </w: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2,610,426</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55.1</w:t>
            </w:r>
          </w:p>
        </w:tc>
      </w:tr>
      <w:tr>
        <w:trPr>
          <w:trHeight w:val="20"/>
        </w:trPr>
        <w:tc>
          <w:tcPr>
            <w:tcW w:w="1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6"/>
        </w:trPr>
        <w:tc>
          <w:tcPr>
            <w:tcW w:w="4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title insurance premiums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4,606,200</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100.0%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4,945,044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9"/>
              </w:rPr>
              <w:t>100.0%</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4,739,328</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08"/>
        </w:trPr>
        <w:tc>
          <w:tcPr>
            <w:tcW w:w="1300" w:type="dxa"/>
            <w:vAlign w:val="bottom"/>
            <w:tcBorders>
              <w:bottom w:val="single" w:sz="8" w:color="auto"/>
            </w:tcBorders>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bl>
    <w:p>
      <w:pPr>
        <w:spacing w:after="0" w:line="36" w:lineRule="exact"/>
        <w:rPr>
          <w:sz w:val="20"/>
          <w:szCs w:val="20"/>
          <w:color w:val="auto"/>
        </w:rPr>
      </w:pPr>
    </w:p>
    <w:p>
      <w:pPr>
        <w:ind w:left="1180" w:right="300" w:hanging="243"/>
        <w:spacing w:after="0" w:line="286" w:lineRule="auto"/>
        <w:tabs>
          <w:tab w:leader="none" w:pos="11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premiums reported by us and, for periods prior to October 24, 2006, the portion of title premiums FIS reported as commissions in its mortgage origination business in connection with the policies issued by us with respect to which FIS acted as title agent.</w:t>
      </w:r>
    </w:p>
    <w:p>
      <w:pPr>
        <w:spacing w:after="0" w:line="47" w:lineRule="exact"/>
        <w:rPr>
          <w:sz w:val="20"/>
          <w:szCs w:val="20"/>
          <w:color w:val="auto"/>
        </w:rPr>
      </w:pPr>
    </w:p>
    <w:p>
      <w:pPr>
        <w:jc w:val="both"/>
        <w:ind w:left="680" w:firstLine="399"/>
        <w:spacing w:after="0" w:line="259" w:lineRule="auto"/>
        <w:rPr>
          <w:sz w:val="20"/>
          <w:szCs w:val="20"/>
          <w:color w:val="auto"/>
        </w:rPr>
      </w:pPr>
      <w:r>
        <w:rPr>
          <w:rFonts w:ascii="Times New Roman" w:cs="Times New Roman" w:eastAsia="Times New Roman" w:hAnsi="Times New Roman"/>
          <w:sz w:val="13"/>
          <w:szCs w:val="13"/>
          <w:color w:val="auto"/>
        </w:rPr>
        <w:t>Title insurance premiums were $4,606.2 million in 2006, $4,945.0 million in 2005, and $4,739.3 million in 2004. Both direct and agency title premiums decreased from 2005 to 2006 and increased from 2004 to 2005. The decrease in direct title premiums from 2005 to 2006 is primarily due to a decrease in the number of orders, partially offset by an increase in average fee per file. The increase in direct title premiums in 2005 as compared to 2004 is primarily due to an increase in the average fee per file, partially offset by a decrease in the number of orders.</w:t>
      </w:r>
    </w:p>
    <w:p>
      <w:pPr>
        <w:spacing w:after="0" w:line="1" w:lineRule="exact"/>
        <w:rPr>
          <w:sz w:val="20"/>
          <w:szCs w:val="20"/>
          <w:color w:val="auto"/>
        </w:rPr>
      </w:pPr>
    </w:p>
    <w:p>
      <w:pPr>
        <w:jc w:val="both"/>
        <w:ind w:left="680" w:right="20"/>
        <w:spacing w:after="0" w:line="264" w:lineRule="auto"/>
        <w:rPr>
          <w:sz w:val="20"/>
          <w:szCs w:val="20"/>
          <w:color w:val="auto"/>
        </w:rPr>
      </w:pPr>
      <w:r>
        <w:rPr>
          <w:rFonts w:ascii="Times New Roman" w:cs="Times New Roman" w:eastAsia="Times New Roman" w:hAnsi="Times New Roman"/>
          <w:sz w:val="13"/>
          <w:szCs w:val="13"/>
          <w:color w:val="auto"/>
        </w:rPr>
        <w:t>The average fee per file in our direct operations was $1,428 in 2006, compared to $1,356 in 2005, and $1,212 in 2004, reflecting a strong commercial market in 2006 and 2005 and continued appreciation in home prices through 2005 and 2004. The decrease in closed order levels in 2006 reflects a declining purchase market and a relatively stable</w:t>
      </w:r>
    </w:p>
    <w:p>
      <w:pPr>
        <w:spacing w:after="0" w:line="2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5" w:name="page46"/>
    <w:bookmarkEnd w:id="45"/>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refinance market. The decrease in closed order levels in 2005 reflects a weaker refinance market, partially offset by a strong, stable purchase market.</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 2006, our mix of direct and agency title premiums stayed relatively consistent, with agency premiums making up 57.5% of total premiums compared with 54.3% in 2005 and</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55.1% in 2004. During the second quarter of 2005, we reevaluated our method of estimation for accruing agency title revenues and commissions and refined the method which resulted in our</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recording approximately $50 million more in agency revenue in the second quarter of 2005 than we would have under our prior method. The impact on net earnings of this adjustment was</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approximately $2 million. A change in agency premiums has a much smaller effect on profitability than the same change in direct premiums would have because our margins as a percentage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of premiums for agency business are significantly lower than the margins realized from our direct operations due to commissions paid to our agents and other costs related to the agency</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business.</w:t>
      </w:r>
    </w:p>
    <w:p>
      <w:pPr>
        <w:spacing w:after="0" w:line="83" w:lineRule="exact"/>
        <w:rPr>
          <w:sz w:val="20"/>
          <w:szCs w:val="20"/>
          <w:color w:val="auto"/>
        </w:rPr>
      </w:pPr>
    </w:p>
    <w:p>
      <w:pPr>
        <w:jc w:val="both"/>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Trends in escrow and other title related fees are primarily related to title insurance activity generated by our direct operations. Escrow and other title related fees during the three-year period ended December 31, 2006, fluctuated in a pattern generally consistent with the fluctuation in direct title insurance premiums and order counts. Escrow and other title related fees were $1,061.5 million, $1,157.0 million, and $1,042.2 million during 2006, 2005 and 2004, respectively.</w:t>
      </w:r>
    </w:p>
    <w:p>
      <w:pPr>
        <w:spacing w:after="0" w:line="58" w:lineRule="exact"/>
        <w:rPr>
          <w:sz w:val="20"/>
          <w:szCs w:val="20"/>
          <w:color w:val="auto"/>
        </w:rPr>
      </w:pPr>
    </w:p>
    <w:p>
      <w:pPr>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Interest and investment income levels are primarily a function of securities markets, interest rates and the amount of cash available for investment. Interest and investment income in 2006 was $208.3 million compared with $145.0 million in 2005 and $70.7 million in 2004. Average invested assets increased 8.0% to $5,088.9 million in 2006, and 30.1% to</w:t>
      </w:r>
    </w:p>
    <w:p>
      <w:pPr>
        <w:ind w:left="680"/>
        <w:spacing w:after="0"/>
        <w:rPr>
          <w:sz w:val="20"/>
          <w:szCs w:val="20"/>
          <w:color w:val="auto"/>
        </w:rPr>
      </w:pPr>
      <w:r>
        <w:rPr>
          <w:rFonts w:ascii="Times New Roman" w:cs="Times New Roman" w:eastAsia="Times New Roman" w:hAnsi="Times New Roman"/>
          <w:sz w:val="13"/>
          <w:szCs w:val="13"/>
          <w:color w:val="auto"/>
        </w:rPr>
        <w:t>$4,711.4 million in 2005 from $3,622.0 million in 2004. The tax equivalent yield in 2006, excluding realized gains and losses, was 4.8% as compared with 3.8% in 2005 and 2.6% in 2004.</w:t>
      </w:r>
    </w:p>
    <w:p>
      <w:pPr>
        <w:spacing w:after="0" w:line="83"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Net realized gains and losses for 2006, 2005 and 2004 were $18.6 million, $41.1 million, and $37.0 million, respectively. Net realized gains in 2004 include $16.2 million relating to the investment in Covansys Corporation warrants at FIS.</w:t>
      </w:r>
    </w:p>
    <w:p>
      <w:pPr>
        <w:spacing w:after="0" w:line="47" w:lineRule="exact"/>
        <w:rPr>
          <w:sz w:val="20"/>
          <w:szCs w:val="20"/>
          <w:color w:val="auto"/>
        </w:rPr>
      </w:pPr>
    </w:p>
    <w:p>
      <w:pPr>
        <w:ind w:left="680" w:right="620" w:firstLine="399"/>
        <w:spacing w:after="0" w:line="286" w:lineRule="auto"/>
        <w:rPr>
          <w:sz w:val="20"/>
          <w:szCs w:val="20"/>
          <w:color w:val="auto"/>
        </w:rPr>
      </w:pPr>
      <w:r>
        <w:rPr>
          <w:rFonts w:ascii="Times New Roman" w:cs="Times New Roman" w:eastAsia="Times New Roman" w:hAnsi="Times New Roman"/>
          <w:sz w:val="13"/>
          <w:szCs w:val="13"/>
          <w:color w:val="auto"/>
        </w:rPr>
        <w:t>Other income represents revenue generated by other smaller businesses included within our segments. Other income was $52.6 million in 2006, $49.0 million in 2005, and $48.7 million in 2004.</w:t>
      </w:r>
    </w:p>
    <w:p>
      <w:pPr>
        <w:spacing w:after="0" w:line="4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color w:val="auto"/>
        </w:rPr>
        <w:t xml:space="preserve">Expenses. </w:t>
      </w:r>
      <w:r>
        <w:rPr>
          <w:rFonts w:ascii="Times New Roman" w:cs="Times New Roman" w:eastAsia="Times New Roman" w:hAnsi="Times New Roman"/>
          <w:sz w:val="13"/>
          <w:szCs w:val="13"/>
          <w:color w:val="auto"/>
        </w:rPr>
        <w:t>The following table presents the components of our expenses: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64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6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6"/>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6"/>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6"/>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8"/>
                <w:szCs w:val="8"/>
                <w:color w:val="auto"/>
              </w:rPr>
            </w:pPr>
          </w:p>
        </w:tc>
      </w:tr>
      <w:tr>
        <w:trPr>
          <w:trHeight w:val="133"/>
        </w:trPr>
        <w:tc>
          <w:tcPr>
            <w:tcW w:w="6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3"/>
              </w:rPr>
              <w:t>(Dollars in thousands)</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Personnel costs</w:t>
            </w: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3,225,319</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3,224,678</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2,786,297</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Other operating expenses</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2,075,101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1,702,353</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1,598,942</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Agent commissions</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2,035,423</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2,060,467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2,028,926</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460,750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406,259</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338,434</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claim losses</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486,334</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480,556</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311,916</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209,972</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172,327</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47,214</w:t>
            </w:r>
          </w:p>
        </w:tc>
      </w:tr>
      <w:tr>
        <w:trPr>
          <w:trHeight w:val="20"/>
        </w:trPr>
        <w:tc>
          <w:tcPr>
            <w:tcW w:w="6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expenses</w:t>
            </w: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8,492,899</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8,046,640</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7,111,729</w:t>
            </w:r>
          </w:p>
        </w:tc>
      </w:tr>
      <w:tr>
        <w:trPr>
          <w:trHeight w:val="29"/>
        </w:trPr>
        <w:tc>
          <w:tcPr>
            <w:tcW w:w="6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680" w:right="60" w:firstLine="399"/>
        <w:spacing w:after="0" w:line="259" w:lineRule="auto"/>
        <w:rPr>
          <w:sz w:val="20"/>
          <w:szCs w:val="20"/>
          <w:color w:val="auto"/>
        </w:rPr>
      </w:pPr>
      <w:r>
        <w:rPr>
          <w:rFonts w:ascii="Times New Roman" w:cs="Times New Roman" w:eastAsia="Times New Roman" w:hAnsi="Times New Roman"/>
          <w:sz w:val="13"/>
          <w:szCs w:val="13"/>
          <w:color w:val="auto"/>
        </w:rPr>
        <w:t>Our operating expenses consist primarily of personnel costs, other operating expenses, which in our title insurance business are incurred as orders are received and processed, and agent commissions, which are incurred as revenue is recognized. Title insurance premiums, escrow and other title related fees are generally recognized as income at the time the underlying transaction closes. As a result, direct title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6" w:name="page47"/>
    <w:bookmarkEnd w:id="46"/>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Personnel costs include base salaries, commissions, benefits and bonuses paid to employees, and are one of our most significant operating expenses. Personnel costs totaled</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$3,225.3 million, $3,224.7 million, and $2,786.3 million for the years ended December 31, 2006, 2005 and 2004, respectively. Personnel costs, as a percentage of total revenue, were 34.2%</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in 2006, compared with 33.4% in 2005 and 33.6% in 2004. Included in personnel costs for 2006, 2005 and 2004 is approximately $65.0 million, $34.1 million, and $21.5 million,</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respectively, in compensation expense relating to stock based compensation plans. Personnel costs attributable to FIS were $1,357.4 million, $1,276.6 million, and $1,073.4 million in 2006,</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2005, and 2004, respectively. The increase in expense related to stock based compensation plans in 2006 is primarily due to an acceleration charge of $24.5 million recorded by FIS relating</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to performance based options. See Note M of Notes to Consolidated Financial Statements.</w:t>
      </w:r>
    </w:p>
    <w:p>
      <w:pPr>
        <w:spacing w:after="0" w:line="83" w:lineRule="exact"/>
        <w:rPr>
          <w:sz w:val="20"/>
          <w:szCs w:val="20"/>
          <w:color w:val="auto"/>
        </w:rPr>
      </w:pPr>
    </w:p>
    <w:p>
      <w:pPr>
        <w:ind w:left="680" w:right="60" w:firstLine="399"/>
        <w:spacing w:after="0" w:line="259" w:lineRule="auto"/>
        <w:rPr>
          <w:sz w:val="20"/>
          <w:szCs w:val="20"/>
          <w:color w:val="auto"/>
        </w:rPr>
      </w:pPr>
      <w:r>
        <w:rPr>
          <w:rFonts w:ascii="Times New Roman" w:cs="Times New Roman" w:eastAsia="Times New Roman" w:hAnsi="Times New Roman"/>
          <w:sz w:val="13"/>
          <w:szCs w:val="13"/>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advertising expenses, general insurance, and trade and notes receivable allowances. Other operating expenses as a percentage of total revenue were 22.0% in 2006, 17.6% in 2005, and 19.3% in 2004. The fluctuation in other operating expenses as a percentage of total revenue is in part due to the inclusion in revenues of the gain on issuance of subsidiary stock in 2005. Excluding this gain, other operating expenses were 18.2% of revenues in 2005. The additional increase in other operating expenses as a percentage of total revenue in 2006 as compared to 2005 was primarily due to the lack of variability of some of these expenses, which limits our ability to reduce them as revenues decrease. Expenses attributable to FIS were $1,115.2 million, $751.3 million, and $719.8 million in 2006, 2005, and 2004, respectively.</w:t>
      </w:r>
    </w:p>
    <w:p>
      <w:pPr>
        <w:spacing w:after="0" w:line="64" w:lineRule="exact"/>
        <w:rPr>
          <w:sz w:val="20"/>
          <w:szCs w:val="20"/>
          <w:color w:val="auto"/>
        </w:rPr>
      </w:pPr>
    </w:p>
    <w:p>
      <w:pPr>
        <w:jc w:val="both"/>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47" w:lineRule="exact"/>
        <w:rPr>
          <w:sz w:val="20"/>
          <w:szCs w:val="20"/>
          <w:color w:val="auto"/>
        </w:rPr>
      </w:pPr>
    </w:p>
    <w:p>
      <w:pPr>
        <w:ind w:left="680" w:right="40" w:firstLine="399"/>
        <w:spacing w:after="0" w:line="286" w:lineRule="auto"/>
        <w:rPr>
          <w:sz w:val="20"/>
          <w:szCs w:val="20"/>
          <w:color w:val="auto"/>
        </w:rPr>
      </w:pPr>
      <w:r>
        <w:rPr>
          <w:rFonts w:ascii="Times New Roman" w:cs="Times New Roman" w:eastAsia="Times New Roman" w:hAnsi="Times New Roman"/>
          <w:sz w:val="13"/>
          <w:szCs w:val="13"/>
          <w:color w:val="auto"/>
        </w:rPr>
        <w:t>Depreciation and amortization expense was $460.8 million, $406.3 million, and $338.4 million in 2006, 2005, and 2004, respectively, with the increases in each year primarily due to FIS acquisitions.</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illustrates the relationship of agent title premiums and agent commissions: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4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98"/>
        </w:trPr>
        <w:tc>
          <w:tcPr>
            <w:tcW w:w="4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340"/>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288"/>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340"/>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tcPr>
          <w:p>
            <w:pPr>
              <w:jc w:val="right"/>
              <w:ind w:right="660"/>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400" w:type="dxa"/>
            <w:vAlign w:val="bottom"/>
          </w:tcPr>
          <w:p>
            <w:pPr>
              <w:jc w:val="right"/>
              <w:ind w:right="7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3"/>
          </w:tcPr>
          <w:p>
            <w:pPr>
              <w:ind w:left="100"/>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320" w:type="dxa"/>
            <w:vAlign w:val="bottom"/>
          </w:tcPr>
          <w:p>
            <w:pPr>
              <w:jc w:val="right"/>
              <w:ind w:right="9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tcPr>
          <w:p>
            <w:pPr>
              <w:jc w:val="right"/>
              <w:ind w:right="660"/>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380" w:type="dxa"/>
            <w:vAlign w:val="bottom"/>
          </w:tcPr>
          <w:p>
            <w:pPr>
              <w:jc w:val="right"/>
              <w:ind w:right="7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8"/>
                <w:szCs w:val="8"/>
                <w:color w:val="auto"/>
              </w:rPr>
            </w:pPr>
          </w:p>
        </w:tc>
      </w:tr>
      <w:tr>
        <w:trPr>
          <w:trHeight w:val="133"/>
        </w:trPr>
        <w:tc>
          <w:tcPr>
            <w:tcW w:w="40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0"/>
                <w:szCs w:val="10"/>
                <w:b w:val="1"/>
                <w:bCs w:val="1"/>
                <w:color w:val="auto"/>
              </w:rPr>
              <w:t>(Dollars in</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81"/>
              </w:rPr>
              <w:t>thousands)</w:t>
            </w: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Agent title premiums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2,649,136</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100.0%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2,683,545</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9"/>
              </w:rPr>
              <w:t>100.0%</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2,610,426</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57"/>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Agent commissions</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2,035,423</w:t>
            </w: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2,060,467</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76.8</w:t>
            </w: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2,028,926</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77.7</w:t>
            </w:r>
          </w:p>
        </w:tc>
      </w:tr>
      <w:tr>
        <w:trPr>
          <w:trHeight w:val="20"/>
        </w:trPr>
        <w:tc>
          <w:tcPr>
            <w:tcW w:w="4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613,713</w:t>
            </w:r>
          </w:p>
        </w:tc>
        <w:tc>
          <w:tcPr>
            <w:tcW w:w="3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23.2%</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623,078</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23.2%</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581,500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r>
      <w:tr>
        <w:trPr>
          <w:trHeight w:val="29"/>
        </w:trPr>
        <w:tc>
          <w:tcPr>
            <w:tcW w:w="4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86" w:lineRule="exact"/>
        <w:rPr>
          <w:sz w:val="20"/>
          <w:szCs w:val="20"/>
          <w:color w:val="auto"/>
        </w:rPr>
      </w:pPr>
    </w:p>
    <w:p>
      <w:pPr>
        <w:jc w:val="both"/>
        <w:ind w:left="680" w:right="100" w:firstLine="399"/>
        <w:spacing w:after="0" w:line="263" w:lineRule="auto"/>
        <w:rPr>
          <w:sz w:val="20"/>
          <w:szCs w:val="20"/>
          <w:color w:val="auto"/>
        </w:rPr>
      </w:pPr>
      <w:r>
        <w:rPr>
          <w:rFonts w:ascii="Times New Roman" w:cs="Times New Roman" w:eastAsia="Times New Roman" w:hAnsi="Times New Roman"/>
          <w:sz w:val="13"/>
          <w:szCs w:val="13"/>
          <w:color w:val="auto"/>
        </w:rPr>
        <w:t>The provision for claim losses includes an estimate of anticipated title and title related claims and specialty insurance claims. The estimate of anticipated title and title related claims is accrued as a percentage of title premium revenue based on our historical loss experience and other relevant factors. We monitor our claims loss experience on a continual basis and adjust the provision for claim losses accordingly. The provision for claim losses was $486.3 million, $480.6 million, and $311.9 million for 2006, 2005, and 2004, respectively. For analysis of the title insurance loss reserve and specialty insurance loss reserve, see their respective segment results of operations.</w:t>
      </w:r>
    </w:p>
    <w:p>
      <w:pPr>
        <w:spacing w:after="0" w:line="62"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Interest expense for the years ended December 31, 2006, 2005 and 2004 was $210.0 million, $172.3 million, and $47.2 million, respectively. The increase in interest expense in 2006 is primarily due to increases in interest rates and average borrowings, and was partially offset by the consolidation of FIS for a full year in 2005 compared to 2006, which includes FIS activity only through the closing of the SEDA. The increase in interest expense in 2005 is attributable to $2.8 billion in borrowings relating to the recapitalization of FIS in the first quarter of 2005. Excluding interest expense attributable to FIS, interest expense was $55.8 million, $45.5 million, and $42.7 million in 2006, 2005, and 2004, respectively.</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7" w:name="page48"/>
    <w:bookmarkEnd w:id="47"/>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Income tax expense as a percentage of earnings before income taxes for 2006, 2005 and 2004 was 37.2%, 35.6%, and 37.0%, respectively. The fluctuation in income tax expense as a percentage of earnings before income taxes is attributable to our estimate of ultimate income tax liability, and changes in the characteristics of net earnings year to year, such as the weighting of operating income versus investment income. The decrease in 2005 is partially attributable to the fact that no income taxes were provided for the gain on the issuance of subsidiary stock as Old FNF’s tax basis in its investment in FIS exceeded the book basis on the date of the sale and the payment of a $10 per share dividend on shares held by the FNF 401(k) Plan. This was partially offset by the approximately $100.0 million in tax expense recorded by Old FNF in connection with its 2005 distribution of a minority interest in FNT.</w:t>
      </w:r>
    </w:p>
    <w:p>
      <w:pPr>
        <w:spacing w:after="0" w:line="62" w:lineRule="exact"/>
        <w:rPr>
          <w:sz w:val="20"/>
          <w:szCs w:val="20"/>
          <w:color w:val="auto"/>
        </w:rPr>
      </w:pPr>
    </w:p>
    <w:p>
      <w:pPr>
        <w:ind w:left="680" w:right="100" w:firstLine="399"/>
        <w:spacing w:after="0" w:line="269" w:lineRule="auto"/>
        <w:rPr>
          <w:sz w:val="20"/>
          <w:szCs w:val="20"/>
          <w:color w:val="auto"/>
        </w:rPr>
      </w:pPr>
      <w:r>
        <w:rPr>
          <w:rFonts w:ascii="Times New Roman" w:cs="Times New Roman" w:eastAsia="Times New Roman" w:hAnsi="Times New Roman"/>
          <w:sz w:val="13"/>
          <w:szCs w:val="13"/>
          <w:color w:val="auto"/>
        </w:rPr>
        <w:t>Minority interest expense for 2006, 2005 and 2004 was $154.6 million, $70.4 million, and $5.0 million, respectively. The increases in minority interest expense in 2006 and 2005 each relate primarily to recording minority interest expense on the earnings of FIS since the March 9, 2005 sale of a 25% minority interest and recording minority interest on the earnings of FNT since the October 17, 2005 minority interest distribution to Old FNF shareholders.</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Segment Results of Operations</w:t>
      </w:r>
    </w:p>
    <w:p>
      <w:pPr>
        <w:spacing w:after="0" w:line="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Fidelity National Title Group</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presents certain financial data for the years indicated:</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64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6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5"/>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5"/>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5"/>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8"/>
                <w:szCs w:val="8"/>
                <w:color w:val="auto"/>
              </w:rPr>
            </w:pPr>
          </w:p>
        </w:tc>
      </w:tr>
      <w:tr>
        <w:trPr>
          <w:trHeight w:val="133"/>
        </w:trPr>
        <w:tc>
          <w:tcPr>
            <w:tcW w:w="6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3"/>
              </w:rPr>
              <w:t>(Dollars in thousands)</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Direct title insurance premiums</w:t>
            </w: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1,883,357</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2,184,993</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2,003,447</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Agency title insurance premiums</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2,724,972</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2,763,973</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2,714,770</w:t>
            </w:r>
          </w:p>
        </w:tc>
      </w:tr>
      <w:tr>
        <w:trPr>
          <w:trHeight w:val="20"/>
        </w:trPr>
        <w:tc>
          <w:tcPr>
            <w:tcW w:w="6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title premiums</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4,608,329</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4,948,966</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4,718,217</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Escrow and other title-related fees</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1,064,307</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1,162,344</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1,039,835</w:t>
            </w:r>
          </w:p>
        </w:tc>
      </w:tr>
      <w:tr>
        <w:trPr>
          <w:trHeight w:val="20"/>
        </w:trPr>
        <w:tc>
          <w:tcPr>
            <w:tcW w:w="6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title and escrow</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5,672,636</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6,111,310</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5,758,052</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investment income</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167,007</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111,628</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64,703</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Realized gains and losses, net</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14,627</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36,782</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22,948</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44,986</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41,783</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43,528</w:t>
            </w:r>
          </w:p>
        </w:tc>
      </w:tr>
      <w:tr>
        <w:trPr>
          <w:trHeight w:val="20"/>
        </w:trPr>
        <w:tc>
          <w:tcPr>
            <w:tcW w:w="6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5,899,256</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6,301,503</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5,889,231</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Personnel costs</w:t>
            </w: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1,789,805</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1,897,904</w:t>
            </w:r>
          </w:p>
        </w:tc>
        <w:tc>
          <w:tcPr>
            <w:tcW w:w="4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1,680,805</w:t>
            </w:r>
          </w:p>
        </w:tc>
        <w:tc>
          <w:tcPr>
            <w:tcW w:w="100" w:type="dxa"/>
            <w:vAlign w:val="bottom"/>
          </w:tcPr>
          <w:p>
            <w:pPr>
              <w:spacing w:after="0"/>
              <w:rPr>
                <w:sz w:val="13"/>
                <w:szCs w:val="13"/>
                <w:color w:val="auto"/>
              </w:rPr>
            </w:pP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operating expenses</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891,111</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920,905</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849,372</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Agent commissions</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2,099,244</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2,140,912</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2,117,122</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110,486</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102,105</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95,718</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Provision for claim losses</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345,578</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354,710</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259,402</w:t>
            </w: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12,232</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16,663</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3,885</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Total expenses</w:t>
            </w:r>
          </w:p>
        </w:tc>
        <w:tc>
          <w:tcPr>
            <w:tcW w:w="2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5,248,456</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5,433,199</w:t>
            </w:r>
          </w:p>
        </w:tc>
        <w:tc>
          <w:tcPr>
            <w:tcW w:w="4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5,006,304</w:t>
            </w:r>
          </w:p>
        </w:tc>
        <w:tc>
          <w:tcPr>
            <w:tcW w:w="100" w:type="dxa"/>
            <w:vAlign w:val="bottom"/>
          </w:tcPr>
          <w:p>
            <w:pPr>
              <w:spacing w:after="0"/>
              <w:rPr>
                <w:sz w:val="13"/>
                <w:szCs w:val="13"/>
                <w:color w:val="auto"/>
              </w:rPr>
            </w:pP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before income taxes and minority interest</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650,800</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868,304</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882,927</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231,034</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327,351</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323,598</w:t>
            </w:r>
          </w:p>
        </w:tc>
      </w:tr>
      <w:tr>
        <w:trPr>
          <w:trHeight w:val="20"/>
        </w:trPr>
        <w:tc>
          <w:tcPr>
            <w:tcW w:w="6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before minority interest</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419,766</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540,953</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559,329</w:t>
            </w:r>
          </w:p>
        </w:tc>
      </w:tr>
      <w:tr>
        <w:trPr>
          <w:trHeight w:val="15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Minority interest</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1,354</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1,972</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1,165</w:t>
            </w:r>
          </w:p>
        </w:tc>
      </w:tr>
      <w:tr>
        <w:trPr>
          <w:trHeight w:val="20"/>
        </w:trPr>
        <w:tc>
          <w:tcPr>
            <w:tcW w:w="6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earnings</w:t>
            </w: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418,412</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538,981</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558,164</w:t>
            </w:r>
          </w:p>
        </w:tc>
      </w:tr>
      <w:tr>
        <w:trPr>
          <w:trHeight w:val="167"/>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Orders opened by direct title operations</w:t>
            </w: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2,661,300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3,052,800</w:t>
            </w:r>
          </w:p>
        </w:tc>
        <w:tc>
          <w:tcPr>
            <w:tcW w:w="4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3,142,900</w:t>
            </w:r>
          </w:p>
        </w:tc>
        <w:tc>
          <w:tcPr>
            <w:tcW w:w="100" w:type="dxa"/>
            <w:vAlign w:val="bottom"/>
          </w:tcPr>
          <w:p>
            <w:pPr>
              <w:spacing w:after="0"/>
              <w:rPr>
                <w:sz w:val="14"/>
                <w:szCs w:val="14"/>
                <w:color w:val="auto"/>
              </w:rPr>
            </w:pPr>
          </w:p>
        </w:tc>
      </w:tr>
      <w:tr>
        <w:trPr>
          <w:trHeight w:val="15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Orders closed by direct title operations</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1,777,900</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2,169,700</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2,249,800</w:t>
            </w:r>
          </w:p>
        </w:tc>
      </w:tr>
    </w:tbl>
    <w:p>
      <w:pPr>
        <w:spacing w:after="0" w:line="76" w:lineRule="exact"/>
        <w:rPr>
          <w:sz w:val="20"/>
          <w:szCs w:val="20"/>
          <w:color w:val="auto"/>
        </w:rPr>
      </w:pPr>
    </w:p>
    <w:p>
      <w:pPr>
        <w:jc w:val="both"/>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Total revenue in 2006 decreased $402.2 million to $5,899.3 million, a decrease of 6.4%, compared to 2005, with decreases in direct and agency title premiums and escrow and other title-related fees. Total revenue in 2005</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8" w:name="page49"/>
    <w:bookmarkEnd w:id="48"/>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increased $412.3 million, or 7.0%, to $6,301.5 million from $5,889.2 million in 2004 with increases in direct and agency title premiums and escrow and other title-related fees.</w:t>
      </w:r>
    </w:p>
    <w:p>
      <w:pPr>
        <w:spacing w:after="0" w:line="96" w:lineRule="exact"/>
        <w:rPr>
          <w:sz w:val="20"/>
          <w:szCs w:val="20"/>
          <w:color w:val="auto"/>
        </w:rPr>
      </w:pPr>
    </w:p>
    <w:p>
      <w:pPr>
        <w:ind w:left="680" w:right="360" w:firstLine="399"/>
        <w:spacing w:after="0" w:line="286" w:lineRule="auto"/>
        <w:rPr>
          <w:sz w:val="20"/>
          <w:szCs w:val="20"/>
          <w:color w:val="auto"/>
        </w:rPr>
      </w:pPr>
      <w:r>
        <w:rPr>
          <w:rFonts w:ascii="Times New Roman" w:cs="Times New Roman" w:eastAsia="Times New Roman" w:hAnsi="Times New Roman"/>
          <w:sz w:val="13"/>
          <w:szCs w:val="13"/>
          <w:color w:val="auto"/>
        </w:rPr>
        <w:t>Title insurance premiums were $4,608.3 million in 2006, $4,949.0 million in 2005, and $4,718.2 million in 2004. The following table presents the percentages of title insurance premiums generated by our direct and agency operations:</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4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98"/>
        </w:trPr>
        <w:tc>
          <w:tcPr>
            <w:tcW w:w="4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340"/>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288"/>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340"/>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tcPr>
          <w:p>
            <w:pPr>
              <w:jc w:val="right"/>
              <w:ind w:right="660"/>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400" w:type="dxa"/>
            <w:vAlign w:val="bottom"/>
          </w:tcPr>
          <w:p>
            <w:pPr>
              <w:jc w:val="right"/>
              <w:ind w:right="7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3"/>
          </w:tcPr>
          <w:p>
            <w:pPr>
              <w:ind w:left="100"/>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320" w:type="dxa"/>
            <w:vAlign w:val="bottom"/>
          </w:tcPr>
          <w:p>
            <w:pPr>
              <w:jc w:val="right"/>
              <w:ind w:right="9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tcPr>
          <w:p>
            <w:pPr>
              <w:jc w:val="right"/>
              <w:ind w:right="660"/>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380" w:type="dxa"/>
            <w:vAlign w:val="bottom"/>
          </w:tcPr>
          <w:p>
            <w:pPr>
              <w:jc w:val="right"/>
              <w:ind w:right="7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8"/>
                <w:szCs w:val="8"/>
                <w:color w:val="auto"/>
              </w:rPr>
            </w:pPr>
          </w:p>
        </w:tc>
      </w:tr>
      <w:tr>
        <w:trPr>
          <w:trHeight w:val="133"/>
        </w:trPr>
        <w:tc>
          <w:tcPr>
            <w:tcW w:w="40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0"/>
                <w:szCs w:val="10"/>
                <w:b w:val="1"/>
                <w:bCs w:val="1"/>
                <w:color w:val="auto"/>
              </w:rPr>
              <w:t>(Dollars in</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81"/>
              </w:rPr>
              <w:t>thousands)</w:t>
            </w: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Direct</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1,883,357</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40.9%</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2,184,993</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44.2%</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2,003,447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r>
      <w:tr>
        <w:trPr>
          <w:trHeight w:val="157"/>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Agency</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2,724,972</w:t>
            </w: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2,763,973</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55.8</w:t>
            </w: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2,714,770</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57.5</w:t>
            </w:r>
          </w:p>
        </w:tc>
      </w:tr>
      <w:tr>
        <w:trPr>
          <w:trHeight w:val="20"/>
        </w:trPr>
        <w:tc>
          <w:tcPr>
            <w:tcW w:w="4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title insurance premiums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4,608,329</w:t>
            </w:r>
          </w:p>
        </w:tc>
        <w:tc>
          <w:tcPr>
            <w:tcW w:w="3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100.0%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4,948,966</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9"/>
              </w:rPr>
              <w:t>100.0%</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4,718,217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29"/>
        </w:trPr>
        <w:tc>
          <w:tcPr>
            <w:tcW w:w="4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86"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Direct title premiums decreased from 2005 to 2006 with a decrease in closed order levels partially offset by an increase in average fee per file. Direct title premiums increased from 2004 to 2005 with an increase in average fee per file partially offset by a decrease in closed order levels. The average fee per file in our direct operations was $1,580, $1,487, and $1,324 in 2006, 2005, and 2004, respectively, reflecting a strong commercial market in 2006 and 2005 and continued appreciation in home prices in 2005 and 2004. The decrease in closed order levels in 2006 reflects a declining purchase market and a relatively stable refinance market. The decrease in closed order levels in 2005 reflects a weaker refinance market, partially offset by a strong, stable purchase market.</w:t>
      </w:r>
    </w:p>
    <w:p>
      <w:pPr>
        <w:spacing w:after="0" w:line="62" w:lineRule="exact"/>
        <w:rPr>
          <w:sz w:val="20"/>
          <w:szCs w:val="20"/>
          <w:color w:val="auto"/>
        </w:rPr>
      </w:pPr>
    </w:p>
    <w:p>
      <w:pPr>
        <w:ind w:left="680" w:right="100" w:firstLine="399"/>
        <w:spacing w:after="0" w:line="259" w:lineRule="auto"/>
        <w:rPr>
          <w:sz w:val="20"/>
          <w:szCs w:val="20"/>
          <w:color w:val="auto"/>
        </w:rPr>
      </w:pPr>
      <w:r>
        <w:rPr>
          <w:rFonts w:ascii="Times New Roman" w:cs="Times New Roman" w:eastAsia="Times New Roman" w:hAnsi="Times New Roman"/>
          <w:sz w:val="13"/>
          <w:szCs w:val="13"/>
          <w:color w:val="auto"/>
        </w:rPr>
        <w:t>Agency premiums decreased $39.0 million in 2006 and increased $49.2 million in 2005. During the second quarter of 2005, we reevaluated our method of estimation for accruing agency title revenues and commissions and refined the method which resulted in our recording approximately $50.0 million more in agency revenue in the second quarter of 2005 than we would have under our prior method. The impact on net earnings of this adjustment was approximately $2.0 million. A change in agency premiums has a much smaller effect on profitability than the same change in direct premiums would have because our margins as a percentage of gross premiums for agency business are significantly lower than the margins realized from our direct operations due to commissions paid to our agents and other costs related to the agency business. Agency revenues from FIS title agency businesses were $95.5 million, $91.9 million, and $106.3 million in 2006, 2005, and 2004, respectively.</w:t>
      </w:r>
    </w:p>
    <w:p>
      <w:pPr>
        <w:spacing w:after="0" w:line="64" w:lineRule="exact"/>
        <w:rPr>
          <w:sz w:val="20"/>
          <w:szCs w:val="20"/>
          <w:color w:val="auto"/>
        </w:rPr>
      </w:pPr>
    </w:p>
    <w:p>
      <w:pPr>
        <w:jc w:val="both"/>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Trends in escrow and other title-related fees are primarily related to title insurance activity generated by our direct operations. Escrow and other title-related fees during the three-year period ended December 31, 2006, fluctuated in a pattern generally consistent with the fluctuation in direct title insurance premiums and order counts. Escrow and other title-related fees were $1,064.3 million, $1,162.3 million, and $1,039.8 million during 2006, 2005, and 2004, respectively.</w:t>
      </w:r>
    </w:p>
    <w:p>
      <w:pPr>
        <w:spacing w:after="0" w:line="58"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Interest and investment income levels are primarily a function of securities markets, interest rates and the amount of cash available for investment. Interest and investment income in 2006 was $167.0 million, compared with $111.6 million in 2005 and $64.7 million in 2004. The increases in interest and investment income in 2006 and 2005 were primarily due to increases in the short-term investment and fixed income asset base and increases in interest rates in both periods. Average invested assets were $4,009.4 million, $3,732.6 million, and $3,226.2 million in 2006, 2005, and 2004, respectively. The tax equivalent yield in 2006, excluding realized gains and losses, was 4.1%, as compared with 3.8% in 2005 and 2.7% in 2004.</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Net realized gains and losses for 2006, 2005, and 2004 were $14.6 million, $36.8 million, and $22.9 million, respectively.</w:t>
      </w:r>
    </w:p>
    <w:p>
      <w:pPr>
        <w:spacing w:after="0" w:line="96" w:lineRule="exact"/>
        <w:rPr>
          <w:sz w:val="20"/>
          <w:szCs w:val="20"/>
          <w:color w:val="auto"/>
        </w:rPr>
      </w:pPr>
    </w:p>
    <w:p>
      <w:pPr>
        <w:ind w:left="680" w:right="400" w:firstLine="399"/>
        <w:spacing w:after="0" w:line="286" w:lineRule="auto"/>
        <w:rPr>
          <w:sz w:val="20"/>
          <w:szCs w:val="20"/>
          <w:color w:val="auto"/>
        </w:rPr>
      </w:pPr>
      <w:r>
        <w:rPr>
          <w:rFonts w:ascii="Times New Roman" w:cs="Times New Roman" w:eastAsia="Times New Roman" w:hAnsi="Times New Roman"/>
          <w:sz w:val="13"/>
          <w:szCs w:val="13"/>
          <w:color w:val="auto"/>
        </w:rPr>
        <w:t>Other income represents revenue generated by other smaller real-estate related businesses that are not directly title-related. Other income was $45.0 million, $41.8 million, and $43.5 million in 2006, 2005, and 2004, respectively.</w:t>
      </w:r>
    </w:p>
    <w:p>
      <w:pPr>
        <w:spacing w:after="0" w:line="47" w:lineRule="exact"/>
        <w:rPr>
          <w:sz w:val="20"/>
          <w:szCs w:val="20"/>
          <w:color w:val="auto"/>
        </w:rPr>
      </w:pPr>
    </w:p>
    <w:p>
      <w:pPr>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Our operating expenses consist primarily of personnel costs and other operating expenses, which are incurred as orders are received and processed, and agent commissions which are incurred as revenue is recognized. Title</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9" w:name="page50"/>
    <w:bookmarkEnd w:id="49"/>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
        <w:spacing w:after="0" w:line="261" w:lineRule="auto"/>
        <w:rPr>
          <w:sz w:val="20"/>
          <w:szCs w:val="20"/>
          <w:color w:val="auto"/>
        </w:rPr>
      </w:pPr>
      <w:r>
        <w:rPr>
          <w:rFonts w:ascii="Times New Roman" w:cs="Times New Roman" w:eastAsia="Times New Roman" w:hAnsi="Times New Roman"/>
          <w:sz w:val="13"/>
          <w:szCs w:val="13"/>
          <w:color w:val="auto"/>
        </w:rPr>
        <w:t>insurance premiums, escrow and other title-related fees are generally recognized as income at the time the underlying transaction closes. As a result, direct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 We have taken significant measures to maintain appropriate personnel levels and costs relative to the volume and mix of business while maintaining customer service standards and quality controls.</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Personnel costs include base salaries, commissions, benefits and bonuses paid to employees, and are one of our most significant operating expenses. Personnel costs totaled</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$1,789.8 million, $1,897.9 million, and $1,680.8 million for the years ended December 31, 2006, 2005, and 2004, respectively. Personnel costs, as a percentage of direct title insurance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premiums and escrow and other title-related fees, were 60.7% in 2006, 56.6% in 2005, and 55.2% in 2004. The increase in personnel costs as a percentage of related revenue in 2006 was</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primarily due to increased salary and benefit costs due to competition. The increase in personnel costs as a percentage of related revenue in 2005 is primarily due to declining order volumes</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resulting in revenue declines outpacing personnel cost reductions as well as salary increases relating to increased competition and a strong real estate environment during that period. Average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annualized personnel cost per employee decreased slightly, reflecting decreases in variable personnel costs such as overtime, commissions and bonuses, partially offset by increases in fixed</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personnel costs caused by the increased competition. Average employee count decreased to 18,352 in 2006 from 19,302 in 2005.</w:t>
      </w:r>
    </w:p>
    <w:p>
      <w:pPr>
        <w:spacing w:after="0" w:line="83"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advertising expenses, general insurance, and trade and notes receivable allowances. Other operating expenses totaled $891.1 million, $920.9 million, and $849.4 million for the years ended December 31, 2006, 2005, and 2004, respectively. Other operating expenses as a percentage of direct title insurance premiums and escrow and other title-related fees were 30.2% in 2006, 27.5% in 2005, and 27.9% in 2004, with the increase in 2006 primarily due to declining order volumes, which resulted in revenue declines outpacing cost reductions.</w:t>
      </w:r>
    </w:p>
    <w:p>
      <w:pPr>
        <w:spacing w:after="0" w:line="62"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illustrates the relationship of agent title premiums and agent commissions: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4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98"/>
        </w:trPr>
        <w:tc>
          <w:tcPr>
            <w:tcW w:w="4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340"/>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288"/>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340"/>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tcPr>
          <w:p>
            <w:pPr>
              <w:jc w:val="right"/>
              <w:ind w:right="660"/>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400" w:type="dxa"/>
            <w:vAlign w:val="bottom"/>
          </w:tcPr>
          <w:p>
            <w:pPr>
              <w:jc w:val="right"/>
              <w:ind w:right="7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3"/>
          </w:tcPr>
          <w:p>
            <w:pPr>
              <w:ind w:left="100"/>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320" w:type="dxa"/>
            <w:vAlign w:val="bottom"/>
          </w:tcPr>
          <w:p>
            <w:pPr>
              <w:jc w:val="right"/>
              <w:ind w:right="9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tcPr>
          <w:p>
            <w:pPr>
              <w:jc w:val="right"/>
              <w:ind w:right="660"/>
              <w:spacing w:after="0" w:line="98" w:lineRule="exact"/>
              <w:rPr>
                <w:sz w:val="20"/>
                <w:szCs w:val="20"/>
                <w:color w:val="auto"/>
              </w:rPr>
            </w:pPr>
            <w:r>
              <w:rPr>
                <w:rFonts w:ascii="Times New Roman" w:cs="Times New Roman" w:eastAsia="Times New Roman" w:hAnsi="Times New Roman"/>
                <w:sz w:val="10"/>
                <w:szCs w:val="10"/>
                <w:b w:val="1"/>
                <w:bCs w:val="1"/>
                <w:color w:val="auto"/>
              </w:rPr>
              <w:t>Amount</w:t>
            </w:r>
          </w:p>
        </w:tc>
        <w:tc>
          <w:tcPr>
            <w:tcW w:w="380" w:type="dxa"/>
            <w:vAlign w:val="bottom"/>
          </w:tcPr>
          <w:p>
            <w:pPr>
              <w:jc w:val="right"/>
              <w:ind w:right="78"/>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8"/>
                <w:szCs w:val="8"/>
                <w:color w:val="auto"/>
              </w:rPr>
            </w:pPr>
          </w:p>
        </w:tc>
      </w:tr>
      <w:tr>
        <w:trPr>
          <w:trHeight w:val="133"/>
        </w:trPr>
        <w:tc>
          <w:tcPr>
            <w:tcW w:w="40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0"/>
                <w:szCs w:val="10"/>
                <w:b w:val="1"/>
                <w:bCs w:val="1"/>
                <w:color w:val="auto"/>
              </w:rPr>
              <w:t>(Dollars in</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81"/>
              </w:rPr>
              <w:t>thousands)</w:t>
            </w: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Agent title premiums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2,724,972</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100.0%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2,763,973</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99"/>
              </w:rPr>
              <w:t>100.0%</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2,714,770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57"/>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Agent commissions</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2,099,244</w:t>
            </w: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2,140,912</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77.5</w:t>
            </w: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2,117,122</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78.0</w:t>
            </w:r>
          </w:p>
        </w:tc>
      </w:tr>
      <w:tr>
        <w:trPr>
          <w:trHeight w:val="20"/>
        </w:trPr>
        <w:tc>
          <w:tcPr>
            <w:tcW w:w="4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margin</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625,728</w:t>
            </w:r>
          </w:p>
        </w:tc>
        <w:tc>
          <w:tcPr>
            <w:tcW w:w="3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23.0%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623,061</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22.5%</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597,648</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r>
      <w:tr>
        <w:trPr>
          <w:trHeight w:val="29"/>
        </w:trPr>
        <w:tc>
          <w:tcPr>
            <w:tcW w:w="4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86" w:lineRule="exact"/>
        <w:rPr>
          <w:sz w:val="20"/>
          <w:szCs w:val="20"/>
          <w:color w:val="auto"/>
        </w:rPr>
      </w:pPr>
    </w:p>
    <w:p>
      <w:pPr>
        <w:jc w:val="both"/>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The provision for claim losses includes an estimate of anticipated title and title-related claims and escrow losses. The estimate of anticipated title and title-related claims is accrued as a percentage of title premium revenue based on our historical loss experience and other relevant factors. We monitor our claims loss experience on a continual basis and adjust the provision for claim losses accordingly.</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0" w:name="page51"/>
    <w:bookmarkEnd w:id="50"/>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 summary of the reserve for claim losses is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130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6"/>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6"/>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16"/>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30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Beginning balance</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1,068,072</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987,076</w:t>
            </w: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940,217</w:t>
            </w:r>
          </w:p>
        </w:tc>
        <w:tc>
          <w:tcPr>
            <w:tcW w:w="0" w:type="dxa"/>
            <w:vAlign w:val="bottom"/>
          </w:tcPr>
          <w:p>
            <w:pPr>
              <w:spacing w:after="0"/>
              <w:rPr>
                <w:sz w:val="1"/>
                <w:szCs w:val="1"/>
                <w:color w:val="auto"/>
              </w:rPr>
            </w:pPr>
          </w:p>
        </w:tc>
      </w:tr>
      <w:tr>
        <w:trPr>
          <w:trHeight w:val="157"/>
        </w:trPr>
        <w:tc>
          <w:tcPr>
            <w:tcW w:w="64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Reserves assumed/transferred(1)</w:t>
            </w:r>
          </w:p>
        </w:tc>
        <w:tc>
          <w:tcPr>
            <w:tcW w:w="2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(8,515)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1,000</w:t>
            </w:r>
          </w:p>
        </w:tc>
        <w:tc>
          <w:tcPr>
            <w:tcW w:w="2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38,597</w:t>
            </w:r>
          </w:p>
        </w:tc>
        <w:tc>
          <w:tcPr>
            <w:tcW w:w="0" w:type="dxa"/>
            <w:vAlign w:val="bottom"/>
          </w:tcPr>
          <w:p>
            <w:pPr>
              <w:spacing w:after="0"/>
              <w:rPr>
                <w:sz w:val="1"/>
                <w:szCs w:val="1"/>
                <w:color w:val="auto"/>
              </w:rPr>
            </w:pPr>
          </w:p>
        </w:tc>
      </w:tr>
      <w:tr>
        <w:trPr>
          <w:trHeight w:val="157"/>
        </w:trPr>
        <w:tc>
          <w:tcPr>
            <w:tcW w:w="6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Claim loss provision related to:</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4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Current year</w:t>
            </w:r>
          </w:p>
        </w:tc>
        <w:tc>
          <w:tcPr>
            <w:tcW w:w="2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306,179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319,870</w:t>
            </w:r>
          </w:p>
        </w:tc>
        <w:tc>
          <w:tcPr>
            <w:tcW w:w="2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278,449</w:t>
            </w:r>
          </w:p>
        </w:tc>
        <w:tc>
          <w:tcPr>
            <w:tcW w:w="0" w:type="dxa"/>
            <w:vAlign w:val="bottom"/>
          </w:tcPr>
          <w:p>
            <w:pPr>
              <w:spacing w:after="0"/>
              <w:rPr>
                <w:sz w:val="1"/>
                <w:szCs w:val="1"/>
                <w:color w:val="auto"/>
              </w:rPr>
            </w:pPr>
          </w:p>
        </w:tc>
      </w:tr>
      <w:tr>
        <w:trPr>
          <w:trHeight w:val="157"/>
        </w:trPr>
        <w:tc>
          <w:tcPr>
            <w:tcW w:w="6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Prior years</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39,399</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36,631</w:t>
            </w: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(17,787)</w:t>
            </w:r>
          </w:p>
        </w:tc>
        <w:tc>
          <w:tcPr>
            <w:tcW w:w="0" w:type="dxa"/>
            <w:vAlign w:val="bottom"/>
          </w:tcPr>
          <w:p>
            <w:pPr>
              <w:spacing w:after="0"/>
              <w:rPr>
                <w:sz w:val="1"/>
                <w:szCs w:val="1"/>
                <w:color w:val="auto"/>
              </w:rPr>
            </w:pPr>
          </w:p>
        </w:tc>
      </w:tr>
      <w:tr>
        <w:trPr>
          <w:trHeight w:val="157"/>
        </w:trPr>
        <w:tc>
          <w:tcPr>
            <w:tcW w:w="64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Total claim loss provision</w:t>
            </w: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345,578</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356,501</w:t>
            </w:r>
          </w:p>
        </w:tc>
        <w:tc>
          <w:tcPr>
            <w:tcW w:w="4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260,662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Claims paid, net of recoupments related to:</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4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Current year</w:t>
            </w:r>
          </w:p>
        </w:tc>
        <w:tc>
          <w:tcPr>
            <w:tcW w:w="2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(18,815)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(14,478)</w:t>
            </w:r>
          </w:p>
        </w:tc>
        <w:tc>
          <w:tcPr>
            <w:tcW w:w="20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(19,547)</w:t>
            </w:r>
          </w:p>
        </w:tc>
        <w:tc>
          <w:tcPr>
            <w:tcW w:w="0" w:type="dxa"/>
            <w:vAlign w:val="bottom"/>
          </w:tcPr>
          <w:p>
            <w:pPr>
              <w:spacing w:after="0"/>
              <w:rPr>
                <w:sz w:val="1"/>
                <w:szCs w:val="1"/>
                <w:color w:val="auto"/>
              </w:rPr>
            </w:pPr>
          </w:p>
        </w:tc>
      </w:tr>
      <w:tr>
        <w:trPr>
          <w:trHeight w:val="157"/>
        </w:trPr>
        <w:tc>
          <w:tcPr>
            <w:tcW w:w="6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Prior years</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(231,448)</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(262,027)</w:t>
            </w: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(232,853)</w:t>
            </w:r>
          </w:p>
        </w:tc>
        <w:tc>
          <w:tcPr>
            <w:tcW w:w="0" w:type="dxa"/>
            <w:vAlign w:val="bottom"/>
          </w:tcPr>
          <w:p>
            <w:pPr>
              <w:spacing w:after="0"/>
              <w:rPr>
                <w:sz w:val="1"/>
                <w:szCs w:val="1"/>
                <w:color w:val="auto"/>
              </w:rPr>
            </w:pPr>
          </w:p>
        </w:tc>
      </w:tr>
      <w:tr>
        <w:trPr>
          <w:trHeight w:val="157"/>
        </w:trPr>
        <w:tc>
          <w:tcPr>
            <w:tcW w:w="64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Total claims paid, net of recoupments</w:t>
            </w: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(250,263)</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(276,505)</w:t>
            </w:r>
          </w:p>
        </w:tc>
        <w:tc>
          <w:tcPr>
            <w:tcW w:w="4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(252,400)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Ending balance</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1,154,872</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1,068,072</w:t>
            </w: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987,076</w:t>
            </w:r>
          </w:p>
        </w:tc>
        <w:tc>
          <w:tcPr>
            <w:tcW w:w="0" w:type="dxa"/>
            <w:vAlign w:val="bottom"/>
          </w:tcPr>
          <w:p>
            <w:pPr>
              <w:spacing w:after="0"/>
              <w:rPr>
                <w:sz w:val="1"/>
                <w:szCs w:val="1"/>
                <w:color w:val="auto"/>
              </w:rPr>
            </w:pPr>
          </w:p>
        </w:tc>
      </w:tr>
      <w:tr>
        <w:trPr>
          <w:trHeight w:val="29"/>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Provision for claim losses as a percentage of title insurance premiums</w:t>
            </w: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4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7.2%</w:t>
            </w:r>
          </w:p>
        </w:tc>
        <w:tc>
          <w:tcPr>
            <w:tcW w:w="2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1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80" w:right="120" w:hanging="243"/>
        <w:spacing w:after="0" w:line="286" w:lineRule="auto"/>
        <w:tabs>
          <w:tab w:leader="none" w:pos="11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2006, we transferred $8.5 million in reserves to FIS in connection with the distribution of FIS. We assumed the outstanding reserve for claim losses of Service Link and APTIC in connection with their acquisitions in 2005 and 2004, respectively.</w:t>
      </w:r>
    </w:p>
    <w:p>
      <w:pPr>
        <w:spacing w:after="0" w:line="47" w:lineRule="exact"/>
        <w:rPr>
          <w:sz w:val="20"/>
          <w:szCs w:val="20"/>
          <w:color w:val="auto"/>
        </w:rPr>
      </w:pPr>
    </w:p>
    <w:p>
      <w:pPr>
        <w:ind w:left="680" w:right="260" w:firstLine="399"/>
        <w:spacing w:after="0" w:line="263" w:lineRule="auto"/>
        <w:rPr>
          <w:sz w:val="20"/>
          <w:szCs w:val="20"/>
          <w:color w:val="auto"/>
        </w:rPr>
      </w:pPr>
      <w:r>
        <w:rPr>
          <w:rFonts w:ascii="Times New Roman" w:cs="Times New Roman" w:eastAsia="Times New Roman" w:hAnsi="Times New Roman"/>
          <w:sz w:val="13"/>
          <w:szCs w:val="13"/>
          <w:color w:val="auto"/>
        </w:rPr>
        <w:t>Management continually updates loss reserve estimates as new information becomes known, new loss patterns emerge, or as other contributing factors are considered and incorporated into the analysis of reserve for claim losses. The prior year title loss provision amounts were favorable in 2004 and unfavorable in 2005 and 2006. Estimated ultimate losses increased for several policy years due to changes in claim reporting and payment patterns in 2005 and 2006. In response to the unfavorable prior year development, as well as to address higher expected costs for policies issued in 2005 and 2006, the title loss provision amounts as a percentage of title premiums increased in 2005 and 2006.</w:t>
      </w:r>
    </w:p>
    <w:p>
      <w:pPr>
        <w:spacing w:after="0" w:line="62"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Interest expense for the years ended December 31, 2006, 2005, and 2004 was $12.2 million, $16.7 million, and $3.9 million, respectively. The decrease in 2006 relates primarily to a decrease in average borrowings due to the reclassification of certain debt into the corporate and other segment in 2006, and was partially offset by an increase in interest rates. The increase in 2005 relates primarily to an increase in average borrowings as compared to the prior year including $500 million in notes due to Old FNF and borrowings on a credit facility in 2005.</w:t>
      </w:r>
    </w:p>
    <w:p>
      <w:pPr>
        <w:spacing w:after="0" w:line="58" w:lineRule="exact"/>
        <w:rPr>
          <w:sz w:val="20"/>
          <w:szCs w:val="20"/>
          <w:color w:val="auto"/>
        </w:rPr>
      </w:pPr>
    </w:p>
    <w:p>
      <w:pPr>
        <w:jc w:val="both"/>
        <w:ind w:left="680" w:firstLine="399"/>
        <w:spacing w:after="0" w:line="269" w:lineRule="auto"/>
        <w:rPr>
          <w:sz w:val="20"/>
          <w:szCs w:val="20"/>
          <w:color w:val="auto"/>
        </w:rPr>
      </w:pPr>
      <w:r>
        <w:rPr>
          <w:rFonts w:ascii="Times New Roman" w:cs="Times New Roman" w:eastAsia="Times New Roman" w:hAnsi="Times New Roman"/>
          <w:sz w:val="13"/>
          <w:szCs w:val="13"/>
          <w:color w:val="auto"/>
        </w:rPr>
        <w:t>Income tax expense as a percentage of earnings before income taxes for 2006, 2005, and 2004 was 35.5%, 37.7%, and 36.6%, respectively. The fluctuation in income tax expense as a percentage of earnings before income taxes is attributable to our estimate of ultimate income tax liability, and changes in the characteristics of net earnings year to year, such as underwriting income versus investment income.</w:t>
      </w:r>
    </w:p>
    <w:p>
      <w:pPr>
        <w:spacing w:after="0" w:line="25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1" w:name="page52"/>
    <w:bookmarkEnd w:id="51"/>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Specialty Insurance Segment</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5"/>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center"/>
              <w:ind w:right="75"/>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2005</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5"/>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8"/>
                <w:szCs w:val="8"/>
                <w:color w:val="auto"/>
              </w:rPr>
            </w:pPr>
          </w:p>
        </w:tc>
      </w:tr>
      <w:tr>
        <w:trPr>
          <w:trHeight w:val="133"/>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4"/>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394,613</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428,939</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239,256</w:t>
            </w:r>
          </w:p>
        </w:tc>
      </w:tr>
      <w:tr>
        <w:trPr>
          <w:trHeight w:val="157"/>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investment income</w:t>
            </w: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15,565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8,991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3,315</w:t>
            </w:r>
          </w:p>
        </w:tc>
      </w:tr>
      <w:tr>
        <w:trPr>
          <w:trHeight w:val="15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Realized gains and losses, net</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249</w:t>
            </w:r>
          </w:p>
        </w:tc>
      </w:tr>
      <w:tr>
        <w:trPr>
          <w:trHeight w:val="157"/>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410,195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438,003</w:t>
            </w:r>
          </w:p>
        </w:tc>
        <w:tc>
          <w:tcPr>
            <w:tcW w:w="4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242,820</w:t>
            </w:r>
          </w:p>
        </w:tc>
        <w:tc>
          <w:tcPr>
            <w:tcW w:w="100" w:type="dxa"/>
            <w:vAlign w:val="bottom"/>
          </w:tcPr>
          <w:p>
            <w:pPr>
              <w:spacing w:after="0"/>
              <w:rPr>
                <w:sz w:val="13"/>
                <w:szCs w:val="13"/>
                <w:color w:val="auto"/>
              </w:rPr>
            </w:pPr>
          </w:p>
        </w:tc>
      </w:tr>
      <w:tr>
        <w:trPr>
          <w:trHeight w:val="15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Personnel costs</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45,145</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40,451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28,815</w:t>
            </w:r>
          </w:p>
        </w:tc>
      </w:tr>
      <w:tr>
        <w:trPr>
          <w:trHeight w:val="157"/>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Other operating expenses</w:t>
            </w: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144,702</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135,320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127,936</w:t>
            </w:r>
          </w:p>
        </w:tc>
      </w:tr>
      <w:tr>
        <w:trPr>
          <w:trHeight w:val="15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6,254</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4,279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3,259</w:t>
            </w:r>
          </w:p>
        </w:tc>
      </w:tr>
      <w:tr>
        <w:trPr>
          <w:trHeight w:val="157"/>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Provision for claim losses</w:t>
            </w: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140,625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124,055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51,254</w:t>
            </w:r>
          </w:p>
        </w:tc>
      </w:tr>
      <w:tr>
        <w:trPr>
          <w:trHeight w:val="15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1,443</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377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w:t>
            </w:r>
          </w:p>
        </w:tc>
      </w:tr>
      <w:tr>
        <w:trPr>
          <w:trHeight w:val="157"/>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Total expenses</w:t>
            </w: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338,169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304,482</w:t>
            </w:r>
          </w:p>
        </w:tc>
        <w:tc>
          <w:tcPr>
            <w:tcW w:w="4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211,268</w:t>
            </w:r>
          </w:p>
        </w:tc>
        <w:tc>
          <w:tcPr>
            <w:tcW w:w="100" w:type="dxa"/>
            <w:vAlign w:val="bottom"/>
          </w:tcPr>
          <w:p>
            <w:pPr>
              <w:spacing w:after="0"/>
              <w:rPr>
                <w:sz w:val="13"/>
                <w:szCs w:val="13"/>
                <w:color w:val="auto"/>
              </w:rPr>
            </w:pPr>
          </w:p>
        </w:tc>
      </w:tr>
      <w:tr>
        <w:trPr>
          <w:trHeight w:val="15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before income taxes</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72,026</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133,521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31,552</w:t>
            </w:r>
          </w:p>
        </w:tc>
      </w:tr>
      <w:tr>
        <w:trPr>
          <w:trHeight w:val="157"/>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28,920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50,204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11,674</w:t>
            </w: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earnings</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43,106</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83,317</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19,878</w:t>
            </w:r>
          </w:p>
        </w:tc>
      </w:tr>
      <w:tr>
        <w:trPr>
          <w:trHeight w:val="29"/>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u w:val="single" w:color="auto"/>
          <w:color w:val="auto"/>
        </w:rPr>
        <w:t>Revenues</w:t>
      </w:r>
    </w:p>
    <w:p>
      <w:pPr>
        <w:spacing w:after="0" w:line="98" w:lineRule="exact"/>
        <w:rPr>
          <w:sz w:val="20"/>
          <w:szCs w:val="20"/>
          <w:color w:val="auto"/>
        </w:rPr>
      </w:pPr>
    </w:p>
    <w:p>
      <w:pPr>
        <w:ind w:left="680" w:right="100" w:firstLine="399"/>
        <w:spacing w:after="0" w:line="259" w:lineRule="auto"/>
        <w:rPr>
          <w:sz w:val="20"/>
          <w:szCs w:val="20"/>
          <w:color w:val="auto"/>
        </w:rPr>
      </w:pPr>
      <w:r>
        <w:rPr>
          <w:rFonts w:ascii="Times New Roman" w:cs="Times New Roman" w:eastAsia="Times New Roman" w:hAnsi="Times New Roman"/>
          <w:sz w:val="13"/>
          <w:szCs w:val="13"/>
          <w:color w:val="auto"/>
        </w:rPr>
        <w:t>Revenues from specialty insurance were $410.2 million, $438.0 million, and $242.8 million in 2006, 2005 and 2004, respectively, and include revenues from the issuance of flood, home warranty and homeowners’ insurance policies. In our flood insurance business, we provide coverage under NFIP, the U.S. federal flood insurance program, and receive fees for assistance in settling claims. The decrease in revenues in 2006 as compared to 2005 was primarily the result of a decrease in revenues generated by the processing of flood claims due to the large volume of claims processed in 2005 related to three hurricanes, Katrina, Wilma, and Rita, partially offset by organic growth in our homeowners’ insurance business. The increase in revenues in 2005 as compared with 2004 was primarily the result of the significant revenues generated by the processing of flood claims relating to the 2005 hurricane season that were recorded in the fourth quarter of 2005 and organic growth of these business lines in 2005.</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u w:val="single" w:color="auto"/>
          <w:color w:val="auto"/>
        </w:rPr>
        <w:t>Expenses</w:t>
      </w:r>
    </w:p>
    <w:p>
      <w:pPr>
        <w:spacing w:after="0" w:line="98"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Personnel costs were $45.1 million, $40.5 million, and $28.8 million in 2006, 2005 and 2004, respectively. As a percentage of total specialty insurance revenues, personnel costs were 11.0%, 9.2%, and 11.9% in 2006, 2005 and 2004, respectively. Excluding $100.0 million in revenues generated by the processing of flood claims associated with hurricanes Katrina, Wilma and Rita, this percentage was 12.3% in 2005 and the decrease as a percentage of revenues in 2006 was primarily the result of growth of the business lines, which has not required a proportionate increase in personnel.</w:t>
      </w:r>
    </w:p>
    <w:p>
      <w:pPr>
        <w:spacing w:after="0" w:line="62" w:lineRule="exact"/>
        <w:rPr>
          <w:sz w:val="20"/>
          <w:szCs w:val="20"/>
          <w:color w:val="auto"/>
        </w:rPr>
      </w:pPr>
    </w:p>
    <w:p>
      <w:pPr>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Other operating expenses in the specialty insurance segment were $144.7 million, $135.3 million, and $127.9 million in 2006, 2005 and 2004, respectively. The increases in 2006 and 2005 were due to an increase in premiums written in our homeowners’ insurance business.</w:t>
      </w:r>
    </w:p>
    <w:p>
      <w:pPr>
        <w:spacing w:after="0" w:line="47" w:lineRule="exact"/>
        <w:rPr>
          <w:sz w:val="20"/>
          <w:szCs w:val="20"/>
          <w:color w:val="auto"/>
        </w:rPr>
      </w:pPr>
    </w:p>
    <w:p>
      <w:pPr>
        <w:ind w:left="680" w:right="60" w:firstLine="399"/>
        <w:spacing w:after="0" w:line="269" w:lineRule="auto"/>
        <w:rPr>
          <w:sz w:val="20"/>
          <w:szCs w:val="20"/>
          <w:color w:val="auto"/>
        </w:rPr>
      </w:pPr>
      <w:r>
        <w:rPr>
          <w:rFonts w:ascii="Times New Roman" w:cs="Times New Roman" w:eastAsia="Times New Roman" w:hAnsi="Times New Roman"/>
          <w:sz w:val="13"/>
          <w:szCs w:val="13"/>
          <w:color w:val="auto"/>
        </w:rPr>
        <w:t>Claim loss expense was $140.6 million, $124.1 million, and $51.3 million in 2006, 2005 and 2004, respectively. In 2005, the Company experienced increased homeowners insurance claims as a result of Hurricanes Katrina, Rita, and Wilma. In addition, reserves were increased for apparent development trends of prior accident years. The 2006 provision reflects positive development in this reserve. As a percentage of premiums earned the claim loss provision was 62.7%, 65.8%, and 43.0% in 2006, 2005 and 2004, respectively, with the increase in 2005.</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2" w:name="page53"/>
    <w:bookmarkEnd w:id="52"/>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 summary of the reserve for claim losses is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69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69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6"/>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8"/>
                <w:szCs w:val="8"/>
                <w:color w:val="auto"/>
              </w:rPr>
            </w:pPr>
          </w:p>
        </w:tc>
      </w:tr>
      <w:tr>
        <w:trPr>
          <w:trHeight w:val="133"/>
        </w:trPr>
        <w:tc>
          <w:tcPr>
            <w:tcW w:w="6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Beginning balance</w:t>
            </w: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45,434</w:t>
            </w: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13,398</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5,020</w:t>
            </w:r>
          </w:p>
        </w:tc>
      </w:tr>
      <w:tr>
        <w:trPr>
          <w:trHeight w:val="157"/>
        </w:trPr>
        <w:tc>
          <w:tcPr>
            <w:tcW w:w="6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Claim loss provision related to:</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Current year</w:t>
            </w: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148,328</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121,421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50,485</w:t>
            </w:r>
          </w:p>
        </w:tc>
      </w:tr>
      <w:tr>
        <w:trPr>
          <w:trHeight w:val="157"/>
        </w:trPr>
        <w:tc>
          <w:tcPr>
            <w:tcW w:w="69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Prior years</w:t>
            </w:r>
          </w:p>
        </w:tc>
        <w:tc>
          <w:tcPr>
            <w:tcW w:w="200" w:type="dxa"/>
            <w:vAlign w:val="bottom"/>
          </w:tcPr>
          <w:p>
            <w:pPr>
              <w:spacing w:after="0"/>
              <w:rPr>
                <w:sz w:val="13"/>
                <w:szCs w:val="13"/>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(7,703)</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2,634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769</w:t>
            </w:r>
          </w:p>
        </w:tc>
      </w:tr>
      <w:tr>
        <w:trPr>
          <w:trHeight w:val="20"/>
        </w:trPr>
        <w:tc>
          <w:tcPr>
            <w:tcW w:w="6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claim loss provision</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140,625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124,055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51,254</w:t>
            </w:r>
          </w:p>
        </w:tc>
      </w:tr>
      <w:tr>
        <w:trPr>
          <w:trHeight w:val="157"/>
        </w:trPr>
        <w:tc>
          <w:tcPr>
            <w:tcW w:w="6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Claims paid, net of recoupments related to:</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Current year</w:t>
            </w:r>
          </w:p>
        </w:tc>
        <w:tc>
          <w:tcPr>
            <w:tcW w:w="20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(92,893)</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(81,113)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(40,368)</w:t>
            </w:r>
          </w:p>
        </w:tc>
      </w:tr>
      <w:tr>
        <w:trPr>
          <w:trHeight w:val="157"/>
        </w:trPr>
        <w:tc>
          <w:tcPr>
            <w:tcW w:w="69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Prior years</w:t>
            </w:r>
          </w:p>
        </w:tc>
        <w:tc>
          <w:tcPr>
            <w:tcW w:w="200" w:type="dxa"/>
            <w:vAlign w:val="bottom"/>
          </w:tcPr>
          <w:p>
            <w:pPr>
              <w:spacing w:after="0"/>
              <w:rPr>
                <w:sz w:val="13"/>
                <w:szCs w:val="13"/>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(27,402)</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(10,906)</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(2,508)</w:t>
            </w:r>
          </w:p>
        </w:tc>
      </w:tr>
      <w:tr>
        <w:trPr>
          <w:trHeight w:val="20"/>
        </w:trPr>
        <w:tc>
          <w:tcPr>
            <w:tcW w:w="6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claims paid, net of recoupments</w:t>
            </w:r>
          </w:p>
        </w:tc>
        <w:tc>
          <w:tcPr>
            <w:tcW w:w="20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(120,295)</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(92,019)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(42,876)</w:t>
            </w:r>
          </w:p>
        </w:tc>
      </w:tr>
      <w:tr>
        <w:trPr>
          <w:trHeight w:val="166"/>
        </w:trPr>
        <w:tc>
          <w:tcPr>
            <w:tcW w:w="6900" w:type="dxa"/>
            <w:vAlign w:val="bottom"/>
          </w:tcPr>
          <w:p>
            <w:pPr>
              <w:spacing w:after="0"/>
              <w:rPr>
                <w:sz w:val="20"/>
                <w:szCs w:val="20"/>
                <w:color w:val="auto"/>
              </w:rPr>
            </w:pPr>
            <w:r>
              <w:rPr>
                <w:rFonts w:ascii="Times New Roman" w:cs="Times New Roman" w:eastAsia="Times New Roman" w:hAnsi="Times New Roman"/>
                <w:sz w:val="13"/>
                <w:szCs w:val="13"/>
                <w:color w:val="auto"/>
              </w:rPr>
              <w:t>Ending balance</w:t>
            </w: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65,764</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45,434</w:t>
            </w: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13,398</w:t>
            </w:r>
          </w:p>
        </w:tc>
        <w:tc>
          <w:tcPr>
            <w:tcW w:w="100" w:type="dxa"/>
            <w:vAlign w:val="bottom"/>
          </w:tcPr>
          <w:p>
            <w:pPr>
              <w:spacing w:after="0"/>
              <w:rPr>
                <w:sz w:val="14"/>
                <w:szCs w:val="14"/>
                <w:color w:val="auto"/>
              </w:rPr>
            </w:pPr>
          </w:p>
        </w:tc>
      </w:tr>
    </w:tbl>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Corporate and Other Segment</w:t>
      </w:r>
    </w:p>
    <w:p>
      <w:pPr>
        <w:spacing w:after="0" w:line="100" w:lineRule="exact"/>
        <w:rPr>
          <w:sz w:val="20"/>
          <w:szCs w:val="20"/>
          <w:color w:val="auto"/>
        </w:rPr>
      </w:pPr>
    </w:p>
    <w:p>
      <w:pPr>
        <w:ind w:left="680" w:right="920" w:firstLine="399"/>
        <w:spacing w:after="0" w:line="269" w:lineRule="auto"/>
        <w:rPr>
          <w:sz w:val="20"/>
          <w:szCs w:val="20"/>
          <w:color w:val="auto"/>
        </w:rPr>
      </w:pPr>
      <w:r>
        <w:rPr>
          <w:rFonts w:ascii="Times New Roman" w:cs="Times New Roman" w:eastAsia="Times New Roman" w:hAnsi="Times New Roman"/>
          <w:sz w:val="13"/>
          <w:szCs w:val="13"/>
          <w:color w:val="auto"/>
        </w:rPr>
        <w:t>The corporate and other segment is primarily comprised of the operations of our parent holding company and smaller entities not included in our operating subsidiaries. It generated $145.3 million in net income in 2005, largely due to the gain on sale of subsidiary securities in connection with the sale of a minority interest in FIS, offset by income tax and by minority interest expense related to the distribution of a minority interest in FNT.</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Fidelity National Information Services, Inc.</w:t>
      </w:r>
    </w:p>
    <w:p>
      <w:pPr>
        <w:spacing w:after="0" w:line="100" w:lineRule="exact"/>
        <w:rPr>
          <w:sz w:val="20"/>
          <w:szCs w:val="20"/>
          <w:color w:val="auto"/>
        </w:rPr>
      </w:pPr>
    </w:p>
    <w:p>
      <w:pPr>
        <w:ind w:left="680" w:right="900" w:firstLine="399"/>
        <w:spacing w:after="0" w:line="286" w:lineRule="auto"/>
        <w:rPr>
          <w:sz w:val="20"/>
          <w:szCs w:val="20"/>
          <w:color w:val="auto"/>
        </w:rPr>
      </w:pPr>
      <w:r>
        <w:rPr>
          <w:rFonts w:ascii="Times New Roman" w:cs="Times New Roman" w:eastAsia="Times New Roman" w:hAnsi="Times New Roman"/>
          <w:sz w:val="13"/>
          <w:szCs w:val="13"/>
          <w:color w:val="auto"/>
        </w:rPr>
        <w:t>The Company’s consolidated results of operations include FIS’ results of operations through October 23, 2006. Thus, while a full year of activity is presented for 2005 and 2004, the 2006 results of operations only include activity until October 24, 2006, the closing date of the SEDA.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98"/>
        </w:trPr>
        <w:tc>
          <w:tcPr>
            <w:tcW w:w="68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5"/>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5"/>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5"/>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3"/>
        </w:trPr>
        <w:tc>
          <w:tcPr>
            <w:tcW w:w="68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3"/>
              </w:rPr>
              <w:t>(Dollars in thousands)</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1"/>
        </w:trPr>
        <w:tc>
          <w:tcPr>
            <w:tcW w:w="68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28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3,280,373</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2,766,085</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2,331,527</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investment income</w:t>
            </w:r>
          </w:p>
        </w:tc>
        <w:tc>
          <w:tcPr>
            <w:tcW w:w="2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9,594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6,392</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1,232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Realized gains and losses, net</w:t>
            </w:r>
          </w:p>
        </w:tc>
        <w:tc>
          <w:tcPr>
            <w:tcW w:w="2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(820)</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3,768</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12,874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26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3,289,147</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2,776,245</w:t>
            </w:r>
          </w:p>
        </w:tc>
        <w:tc>
          <w:tcPr>
            <w:tcW w:w="4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2,345,633</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Personnel costs</w:t>
            </w:r>
          </w:p>
        </w:tc>
        <w:tc>
          <w:tcPr>
            <w:tcW w:w="2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1,357,397</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1,276,557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1,073,395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Other operating expenses</w:t>
            </w:r>
          </w:p>
        </w:tc>
        <w:tc>
          <w:tcPr>
            <w:tcW w:w="2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1,115,190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751,282</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719,770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343,563</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299,637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238,400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Provision for claim loss</w:t>
            </w:r>
          </w:p>
        </w:tc>
        <w:tc>
          <w:tcPr>
            <w:tcW w:w="2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436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1,928</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2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154,195</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126,778</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4,496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Total expenses</w:t>
            </w:r>
          </w:p>
        </w:tc>
        <w:tc>
          <w:tcPr>
            <w:tcW w:w="26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2,970,781</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2,456,182</w:t>
            </w:r>
          </w:p>
        </w:tc>
        <w:tc>
          <w:tcPr>
            <w:tcW w:w="4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2,036,194</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before income taxes and minority interest</w:t>
            </w:r>
          </w:p>
        </w:tc>
        <w:tc>
          <w:tcPr>
            <w:tcW w:w="2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318,366</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320,063</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309,439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2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118,432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119,063</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116,350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Minority interest expense</w:t>
            </w:r>
          </w:p>
        </w:tc>
        <w:tc>
          <w:tcPr>
            <w:tcW w:w="2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4,450</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3,673</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Net earnings</w:t>
            </w:r>
          </w:p>
        </w:tc>
        <w:tc>
          <w:tcPr>
            <w:tcW w:w="26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199,964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196,550</w:t>
            </w:r>
          </w:p>
        </w:tc>
        <w:tc>
          <w:tcPr>
            <w:tcW w:w="4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189,416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63"/>
        </w:trPr>
        <w:tc>
          <w:tcPr>
            <w:tcW w:w="6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0" w:type="dxa"/>
            <w:vAlign w:val="bottom"/>
          </w:tcPr>
          <w:p>
            <w:pPr>
              <w:jc w:val="right"/>
              <w:ind w:right="1274"/>
              <w:spacing w:after="0"/>
              <w:rPr>
                <w:sz w:val="20"/>
                <w:szCs w:val="20"/>
                <w:color w:val="auto"/>
              </w:rPr>
            </w:pPr>
            <w:r>
              <w:rPr>
                <w:rFonts w:ascii="Times New Roman" w:cs="Times New Roman" w:eastAsia="Times New Roman" w:hAnsi="Times New Roman"/>
                <w:sz w:val="13"/>
                <w:szCs w:val="13"/>
                <w:color w:val="auto"/>
              </w:rPr>
              <w:t>50</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26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53" w:name="page54"/>
    <w:bookmarkEnd w:id="53"/>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u w:val="single" w:color="auto"/>
          <w:color w:val="auto"/>
        </w:rPr>
        <w:t>Revenues</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Total operating revenues for FIS were $3,289.1 million, $2,776.2 million, and $2,345.6 million in 2006, 2005 and 2004, respectively. The increase in revenues in 2006 of</w:t>
      </w:r>
    </w:p>
    <w:p>
      <w:pPr>
        <w:spacing w:after="0" w:line="21" w:lineRule="exact"/>
        <w:rPr>
          <w:sz w:val="20"/>
          <w:szCs w:val="20"/>
          <w:color w:val="auto"/>
        </w:rPr>
      </w:pPr>
    </w:p>
    <w:p>
      <w:pPr>
        <w:ind w:left="680" w:right="40"/>
        <w:spacing w:after="0" w:line="252" w:lineRule="auto"/>
        <w:rPr>
          <w:sz w:val="20"/>
          <w:szCs w:val="20"/>
          <w:color w:val="auto"/>
        </w:rPr>
      </w:pPr>
      <w:r>
        <w:rPr>
          <w:rFonts w:ascii="Times New Roman" w:cs="Times New Roman" w:eastAsia="Times New Roman" w:hAnsi="Times New Roman"/>
          <w:sz w:val="13"/>
          <w:szCs w:val="13"/>
          <w:color w:val="auto"/>
        </w:rPr>
        <w:t>$512.9 million as compared to 2005 is primarily due to the inclusion of revenues from Certegy following the February 2006 merger, and was partially offset by the exclusion of FIS from our results of operations after the closing of the SEDA. The increase in revenue in 2005 of $430.6 million as compared to 2004 is primarily attributable to an increase of $355.2 million, or</w:t>
      </w:r>
    </w:p>
    <w:p>
      <w:pPr>
        <w:spacing w:after="0" w:line="1" w:lineRule="exact"/>
        <w:rPr>
          <w:sz w:val="20"/>
          <w:szCs w:val="20"/>
          <w:color w:val="auto"/>
        </w:rPr>
      </w:pPr>
    </w:p>
    <w:p>
      <w:pPr>
        <w:ind w:left="680" w:right="120"/>
        <w:spacing w:after="0" w:line="256" w:lineRule="auto"/>
        <w:rPr>
          <w:sz w:val="20"/>
          <w:szCs w:val="20"/>
          <w:color w:val="auto"/>
        </w:rPr>
      </w:pPr>
      <w:r>
        <w:rPr>
          <w:rFonts w:ascii="Times New Roman" w:cs="Times New Roman" w:eastAsia="Times New Roman" w:hAnsi="Times New Roman"/>
          <w:sz w:val="13"/>
          <w:szCs w:val="13"/>
          <w:color w:val="auto"/>
        </w:rPr>
        <w:t>28.0%, from our financial institution processing and mortgage loan processing businesses which is the result of including a full year of results for the 2004 acquisitions of Aurum, Sanchez, Kordoba, and InterCept. The 2004 acquisitions of Aurum, Sanchez, Kordoba and InterCept and other smaller acquisitions contributed $301.1 million of the increase in 2005 compared with 2004. Revenues from information services businesses increased $122.8 million in 2005, as compared to 2004, primarily due to organic growth of these businesses. These increases were partially offset by a $24.3 million decrease in revenues in the mortgage origination and default management businesses in 2005 as compared to 2004.</w:t>
      </w:r>
    </w:p>
    <w:p>
      <w:pPr>
        <w:spacing w:after="0" w:line="14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u w:val="single" w:color="auto"/>
          <w:color w:val="auto"/>
        </w:rPr>
        <w:t>Expenses</w:t>
      </w:r>
    </w:p>
    <w:p>
      <w:pPr>
        <w:spacing w:after="0" w:line="98"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Personnel costs were $1,357.4 million, $1,276.6 million, and $1,073.4 million in 2006, 2005 and 2004, respectively. As a percentage of revenues, personnel costs were 41.3%, 46.0%, and 45.8% in 2006, 2005 and 2004, respectively. The $80.8 million increase in 2006 was primarily due to the 2006 merger with Certegy and the inclusion of a $24.5 million expense relating to performance based options granted at FIS in March 2005 for which the performance criteria were met during the first quarter of 2006, partially offset by the exclusion of FIS from our results of operations after the closing of the SEDA. The $203.2 million increase in 2005 as compared to 2004 was primarily related to an increase of $179.3 million in our financial institution processing and mortgage loan processing businesses which resulted from a full year’s activity being included for our 2004 acquisitions in this area. Personnel costs relating to mortgage origination and default management services were relatively steady in 2005 and 2004, while there was an $18.7 million increase in our personnel costs relating to our information services businesses.</w:t>
      </w:r>
    </w:p>
    <w:p>
      <w:pPr>
        <w:spacing w:after="0" w:line="64" w:lineRule="exact"/>
        <w:rPr>
          <w:sz w:val="20"/>
          <w:szCs w:val="20"/>
          <w:color w:val="auto"/>
        </w:rPr>
      </w:pPr>
    </w:p>
    <w:p>
      <w:pPr>
        <w:ind w:left="680" w:right="80" w:firstLine="399"/>
        <w:spacing w:after="0" w:line="261" w:lineRule="auto"/>
        <w:rPr>
          <w:sz w:val="20"/>
          <w:szCs w:val="20"/>
          <w:color w:val="auto"/>
        </w:rPr>
      </w:pPr>
      <w:r>
        <w:rPr>
          <w:rFonts w:ascii="Times New Roman" w:cs="Times New Roman" w:eastAsia="Times New Roman" w:hAnsi="Times New Roman"/>
          <w:sz w:val="13"/>
          <w:szCs w:val="13"/>
          <w:color w:val="auto"/>
        </w:rPr>
        <w:t>Other operating expenses consist primarily of data processing costs, professional fees, facilities expenses, postage and courier services, computer services, advertising expenses, general insurance, and trade and notes receivable allowances. Other operating expenses were $1,115.2 million, $751.3 million, and $719.8 million in 2006, 2005 and 2004, respectively. The increase in 2006 was primarily due to the merger with Certegy, partially offset by the exclusion of FIS from our results of operations after the closing of the SEDA. The increase in 2005 as compared to 2004 included an increase in data processing costs of approximately $35.0 million which primarily related to our financial institution processing and mortgage loan processing businesses. As a percentage of revenues, other operating costs were 33.9%, 27.1%, and 30.7% in 2006, 2005 and 2004, respectively.</w:t>
      </w:r>
    </w:p>
    <w:p>
      <w:pPr>
        <w:spacing w:after="0" w:line="62" w:lineRule="exact"/>
        <w:rPr>
          <w:sz w:val="20"/>
          <w:szCs w:val="20"/>
          <w:color w:val="auto"/>
        </w:rPr>
      </w:pPr>
    </w:p>
    <w:p>
      <w:pPr>
        <w:ind w:left="680" w:right="60" w:firstLine="399"/>
        <w:spacing w:after="0" w:line="269" w:lineRule="auto"/>
        <w:rPr>
          <w:sz w:val="20"/>
          <w:szCs w:val="20"/>
          <w:color w:val="auto"/>
        </w:rPr>
      </w:pPr>
      <w:r>
        <w:rPr>
          <w:rFonts w:ascii="Times New Roman" w:cs="Times New Roman" w:eastAsia="Times New Roman" w:hAnsi="Times New Roman"/>
          <w:sz w:val="13"/>
          <w:szCs w:val="13"/>
          <w:color w:val="auto"/>
        </w:rPr>
        <w:t>Depreciation and amortization expenses were $343.6 million, $299.6 million, and $238.4 million in 2006, 2005 and 2004, respectively. The increase in 2006 was primarily due to the merger with Certegy, and was partially offset by the exclusion of FIS from our results of operations after the closing of the SEDA. The increase in 2005 primarily relates to amortization of computer software and other intangible assets acquired over the past three year period.</w:t>
      </w:r>
    </w:p>
    <w:p>
      <w:pPr>
        <w:spacing w:after="0" w:line="58" w:lineRule="exact"/>
        <w:rPr>
          <w:sz w:val="20"/>
          <w:szCs w:val="20"/>
          <w:color w:val="auto"/>
        </w:rPr>
      </w:pPr>
    </w:p>
    <w:p>
      <w:pPr>
        <w:ind w:left="680" w:right="200" w:firstLine="399"/>
        <w:spacing w:after="0" w:line="263" w:lineRule="auto"/>
        <w:rPr>
          <w:sz w:val="20"/>
          <w:szCs w:val="20"/>
          <w:color w:val="auto"/>
        </w:rPr>
      </w:pPr>
      <w:r>
        <w:rPr>
          <w:rFonts w:ascii="Times New Roman" w:cs="Times New Roman" w:eastAsia="Times New Roman" w:hAnsi="Times New Roman"/>
          <w:sz w:val="13"/>
          <w:szCs w:val="13"/>
          <w:color w:val="auto"/>
        </w:rPr>
        <w:t>Interest expense was $154.2 million, $126.8 million, and $4.5 million in 2006, 2005 and 2004, respectively. The increase in 2006 is primarily due to increased borrowings of $2.8 billion relating to the recapitalization transaction in March 2005 and $250 million relating to the merger with Certegy, partially offset by the exclusion of FIS from our results of operations after the closing of the SEDA. The increase in 2005 relates primarily to interest expense incurred on the $2.8 billion of borrowings relating to the recapitalization transaction in March of 2005.</w:t>
      </w:r>
    </w:p>
    <w:p>
      <w:pPr>
        <w:spacing w:after="0" w:line="62" w:lineRule="exact"/>
        <w:rPr>
          <w:sz w:val="20"/>
          <w:szCs w:val="20"/>
          <w:color w:val="auto"/>
        </w:rPr>
      </w:pPr>
    </w:p>
    <w:p>
      <w:pPr>
        <w:jc w:val="both"/>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Income tax expense as a percentage of earnings before income taxes for 2006, 2005, and 2004 was 37.0%. 37.2%, and 37.6%, respectively. Through March 9, 2005, FIS was included in FNF’s consolidated tax return, but on that date, it became a separate entity for tax purposes. The provision for income taxes is calculated as though FIS were a stand-alone taxpaying entity during the annual periods presented. The fluctuation in income tax expense as a percentage of earnings before income taxes is attributable to our estimate of ultimate income tax liability and changes in its components from year to year.</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4" w:name="page55"/>
    <w:bookmarkEnd w:id="54"/>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96" w:lineRule="exact"/>
        <w:rPr>
          <w:sz w:val="20"/>
          <w:szCs w:val="20"/>
          <w:color w:val="auto"/>
        </w:rPr>
      </w:pPr>
    </w:p>
    <w:p>
      <w:pPr>
        <w:ind w:left="680" w:right="80" w:firstLine="399"/>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Cash Requirements. </w:t>
      </w:r>
      <w:r>
        <w:rPr>
          <w:rFonts w:ascii="Times New Roman" w:cs="Times New Roman" w:eastAsia="Times New Roman" w:hAnsi="Times New Roman"/>
          <w:sz w:val="13"/>
          <w:szCs w:val="13"/>
          <w:color w:val="auto"/>
        </w:rPr>
        <w:t>Our cash requirements include operating expenses, taxes, payments of interest and principal on our debt, capital expenditures, business acquisitions,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dividends on our common stock. We intend to pay an annual dividend of $1.20 per share on our common stock, payable quarterly, or an aggregate of approximately $265 million per year, although the declaration of any future dividends is at the discretion of our board of directors. We believe that all anticipated cash requirements for current operations will be met from internally generated funds, through cash dividends from subsidiaries, cash generated by investment securities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these projections.</w:t>
      </w:r>
    </w:p>
    <w:p>
      <w:pPr>
        <w:spacing w:after="0" w:line="66"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claims loss reserves, we do not specifically match durations of our investments to the cash outflows required to pay claims, but do manage outflows on a shorter time frame.</w:t>
      </w:r>
    </w:p>
    <w:p>
      <w:pPr>
        <w:spacing w:after="0" w:line="58" w:lineRule="exact"/>
        <w:rPr>
          <w:sz w:val="20"/>
          <w:szCs w:val="20"/>
          <w:color w:val="auto"/>
        </w:rPr>
      </w:pPr>
    </w:p>
    <w:p>
      <w:pPr>
        <w:ind w:left="680" w:right="20" w:firstLine="399"/>
        <w:spacing w:after="0" w:line="258" w:lineRule="auto"/>
        <w:rPr>
          <w:sz w:val="20"/>
          <w:szCs w:val="20"/>
          <w:color w:val="auto"/>
        </w:rPr>
      </w:pPr>
      <w:r>
        <w:rPr>
          <w:rFonts w:ascii="Times New Roman" w:cs="Times New Roman" w:eastAsia="Times New Roman" w:hAnsi="Times New Roman"/>
          <w:sz w:val="13"/>
          <w:szCs w:val="13"/>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other distributions to us. As of December 31, 2006, $2.0 billion of our net assets were restricted from dividend payments without prior approval from the relevant departments of insurance. During 2007, our first tier title subsidiaries can pay or make distributions to us of approximately $264.8 million without prior regulatory approval. Our underwritten title companies and non-title insurance subsidiaries collect revenue and pay operating expenses. However, they are not regulated to the same extent as our insurance subsidiaries.</w:t>
      </w:r>
    </w:p>
    <w:p>
      <w:pPr>
        <w:spacing w:after="0" w:line="62" w:lineRule="exact"/>
        <w:rPr>
          <w:sz w:val="20"/>
          <w:szCs w:val="20"/>
          <w:color w:val="auto"/>
        </w:rPr>
      </w:pPr>
    </w:p>
    <w:p>
      <w:pPr>
        <w:ind w:left="680" w:right="12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Capital Expenditures. </w:t>
      </w:r>
      <w:r>
        <w:rPr>
          <w:rFonts w:ascii="Times New Roman" w:cs="Times New Roman" w:eastAsia="Times New Roman" w:hAnsi="Times New Roman"/>
          <w:sz w:val="13"/>
          <w:szCs w:val="13"/>
          <w:color w:val="auto"/>
        </w:rPr>
        <w:t>Total capital expenditures for property and equipment were $145.4 million, $149.9 million, and $134.3 million in 2006, 2005, and 2004, respectively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included FIS expenditures of $87.7 million, $79.6 million, and $72.9 million, respectively. Total capital expenditures for software were $180.9 million, $166.1 million, and $94.9 million in 2006, 2005, and 2004, respectively, and were primarily comprised of FIS expenditures.</w:t>
      </w:r>
    </w:p>
    <w:p>
      <w:pPr>
        <w:spacing w:after="0" w:line="54"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i w:val="1"/>
          <w:iCs w:val="1"/>
          <w:color w:val="auto"/>
        </w:rPr>
        <w:t xml:space="preserve">Financing. </w:t>
      </w:r>
      <w:r>
        <w:rPr>
          <w:rFonts w:ascii="Times New Roman" w:cs="Times New Roman" w:eastAsia="Times New Roman" w:hAnsi="Times New Roman"/>
          <w:sz w:val="13"/>
          <w:szCs w:val="13"/>
          <w:color w:val="auto"/>
        </w:rPr>
        <w:t>Effective October 24, 2006, we entered into a credit agreement (the “New Credit Agreement”) with Bank of America, N.A. as Administrative Agent and Swing Line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Lender, and the other financial institutions party thereto. The New Credit Agreement, which replaced our previous credit agreement, provides for an $800 million unsecured revolving credit facility maturing on the fifth anniversary of the closing date. We have the option to increase the size of the credit facility by an additional $300 million, subject to certain requirements. Amounts under the revolving credit facility may be borrowed, repaid and reborrowed by the borrower thereunder from time to time until the maturity of the revolving credit facility. Voluntary prepayment of the revolving credit facility under the New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 (b) Bank of America’s “prime rate” or (ii) a rate per annum equal to the British Bankers Association London Interbank Offered Rate (“LIBOR”) rate plus a margin of between 0.23%-0.675%, depending on our then current senior unsecured long-term debt rating from the rating agencies. In addition, we will pay a commitment fee between .07%-.175% on the entire facility, also depending on our senior unsecured long-term debt rating.</w:t>
      </w:r>
    </w:p>
    <w:p>
      <w:pPr>
        <w:spacing w:after="0" w:line="65" w:lineRule="exact"/>
        <w:rPr>
          <w:sz w:val="20"/>
          <w:szCs w:val="20"/>
          <w:color w:val="auto"/>
        </w:rPr>
      </w:pPr>
    </w:p>
    <w:p>
      <w:pPr>
        <w:jc w:val="both"/>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The New Credit Agreement contains affirmative, negative and financial covenants customary for financings of this type, including, among other things, limits on the creation of liens, sales of assets, the incurrence of indebtedness, restricted payments, transactions with affiliates, and certain amendments. The New Credit Agreement requires us to maintain certain financial ratios and levels of capitalization. The New Credit Agreement also includes customary events of default for facilities of this type (with customary grace periods, as applicable) and</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5" w:name="page56"/>
    <w:bookmarkEnd w:id="55"/>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
        <w:spacing w:after="0" w:line="269" w:lineRule="auto"/>
        <w:rPr>
          <w:sz w:val="20"/>
          <w:szCs w:val="20"/>
          <w:color w:val="auto"/>
        </w:rPr>
      </w:pPr>
      <w:r>
        <w:rPr>
          <w:rFonts w:ascii="Times New Roman" w:cs="Times New Roman" w:eastAsia="Times New Roman" w:hAnsi="Times New Roman"/>
          <w:sz w:val="13"/>
          <w:szCs w:val="13"/>
          <w:color w:val="auto"/>
        </w:rPr>
        <w:t>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New Credit Agreement shall automatically become immediately due and payable, and the lenders’ commitments will automatically terminate.</w:t>
      </w:r>
    </w:p>
    <w:p>
      <w:pPr>
        <w:spacing w:after="0" w:line="58"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In connection with the 2005 distribution of FNT stock by Old FNF, we issued two $250 million intercompany notes payable to Old FNF (the “Mirror Notes”), with terms that mirrored Old FNF’s existing $250 million 7.30% public debentures due in August 2011 and $250 million 5.25% public debentures due in March 2013. Following issuance of the Mirror Notes, we filed a Registration Statement on Form S-4, pursuant to which we offered to exchange the outstanding Old FNF notes for notes we would issue having substantially the same terms and deliver the Old FNF notes received to Old FNF to reduce our debt under the Mirror Notes. On January 17, 2006, the offers expired, with $241.3 million aggregate principal amount of the 7.30% notes due 2011 and the entire $250.0 million aggregate principal amount of the 5.25% notes due 2013 validly tendered and not withdrawn in the exchange offers. Following the completion of the exchange offers, we issued a new 7.30% Mirror Note due 2011 in the amount of $8.7 million, representing the principal amount of the portion of the original Mirror Notes that was not exchanged. On October 23, 2006, the remaining balance of these notes was redeemed and no balance remains at December 31, 2006. Interest on the Mirror Notes accrued from the last date on which interest on the corresponding FNF notes was paid and at the same rate.</w:t>
      </w:r>
    </w:p>
    <w:p>
      <w:pPr>
        <w:spacing w:after="0" w:line="66"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During the second quarter of 2005, we began lending fixed maturity and equity securities to financial institutions in short-term security lending transactions. Our security lending policy requires that the cash received as collateral be 102% or more of the fair value of the loaned securities. These short-term security lending arrangements increase investment income with minimal risk. At December 31, 2006, we had security loans outstanding with a fair value of $316.0 million included in accounts payable and accrued liabilities and we held cash in the same amount as collateral for the loaned securities.</w:t>
      </w:r>
    </w:p>
    <w:p>
      <w:pPr>
        <w:spacing w:after="0" w:line="60" w:lineRule="exact"/>
        <w:rPr>
          <w:sz w:val="20"/>
          <w:szCs w:val="20"/>
          <w:color w:val="auto"/>
        </w:rPr>
      </w:pPr>
    </w:p>
    <w:p>
      <w:pPr>
        <w:ind w:left="680" w:right="6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Seasonality. </w:t>
      </w:r>
      <w:r>
        <w:rPr>
          <w:rFonts w:ascii="Times New Roman" w:cs="Times New Roman" w:eastAsia="Times New Roman" w:hAnsi="Times New Roman"/>
          <w:sz w:val="13"/>
          <w:szCs w:val="13"/>
          <w:color w:val="auto"/>
        </w:rPr>
        <w:t>Historically, real estate transactions have produced seasonal revenue levels for title insurers. The first calendar quarter is typically the weakest quarter in terms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revenue due to the generally low volume of home sales during January and February. The third calendar quarter has been typically the strongest in terms of revenue primarily due to a higher volume of home sales in the summer months and the fourth calendar quarter is usually also strong due to commercial entities desiring to complete transactions by year-end. Significant changes in interest rates may alter these traditional seasonal patterns due to the effect the cost of financing has on the volume of real estate transactions.</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 addition to the foregoing financing arrangements of FNT, our historical financial statements reflect debt and interest expense of FNF and its other subsidiaries, principally FIS.</w:t>
      </w:r>
    </w:p>
    <w:p>
      <w:pPr>
        <w:spacing w:after="0" w:line="94" w:lineRule="exact"/>
        <w:rPr>
          <w:sz w:val="20"/>
          <w:szCs w:val="20"/>
          <w:color w:val="auto"/>
        </w:rPr>
      </w:pPr>
    </w:p>
    <w:p>
      <w:pPr>
        <w:ind w:left="680" w:right="16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Contractual Obligations. </w:t>
      </w:r>
      <w:r>
        <w:rPr>
          <w:rFonts w:ascii="Times New Roman" w:cs="Times New Roman" w:eastAsia="Times New Roman" w:hAnsi="Times New Roman"/>
          <w:sz w:val="13"/>
          <w:szCs w:val="13"/>
          <w:color w:val="auto"/>
        </w:rPr>
        <w:t>Our long term contractual obligations generally include our loss reserves, our credit agreements and other debt facilities and operating lease payments 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certain of our premises and equipment. As of December 31, 2006, our required annual payments relating to these contractual obligations were as follows:</w:t>
      </w:r>
    </w:p>
    <w:p>
      <w:pPr>
        <w:spacing w:after="0" w:line="49"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3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2007</w:t>
            </w: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2008</w:t>
            </w: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2009</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2010</w:t>
            </w: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2011</w:t>
            </w: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0"/>
                <w:szCs w:val="10"/>
                <w:b w:val="1"/>
                <w:bCs w:val="1"/>
                <w:color w:val="auto"/>
              </w:rPr>
              <w:t>Thereafter</w:t>
            </w:r>
          </w:p>
        </w:tc>
        <w:tc>
          <w:tcPr>
            <w:tcW w:w="3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00" w:type="dxa"/>
            <w:vAlign w:val="bottom"/>
          </w:tcPr>
          <w:p>
            <w:pPr>
              <w:spacing w:after="0"/>
              <w:rPr>
                <w:sz w:val="11"/>
                <w:szCs w:val="11"/>
                <w:color w:val="auto"/>
              </w:rPr>
            </w:pPr>
          </w:p>
        </w:tc>
      </w:tr>
      <w:tr>
        <w:trPr>
          <w:trHeight w:val="133"/>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1"/>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Notes payable</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1,437</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240,881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248,849</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491,167</w:t>
            </w:r>
          </w:p>
        </w:tc>
      </w:tr>
      <w:tr>
        <w:trPr>
          <w:trHeight w:val="147"/>
        </w:trPr>
        <w:tc>
          <w:tcPr>
            <w:tcW w:w="302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payments</w:t>
            </w:r>
          </w:p>
        </w:tc>
        <w:tc>
          <w:tcPr>
            <w:tcW w:w="120" w:type="dxa"/>
            <w:vAlign w:val="bottom"/>
          </w:tcPr>
          <w:p>
            <w:pPr>
              <w:spacing w:after="0"/>
              <w:rPr>
                <w:sz w:val="12"/>
                <w:szCs w:val="12"/>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125,850</w:t>
            </w:r>
          </w:p>
        </w:tc>
        <w:tc>
          <w:tcPr>
            <w:tcW w:w="120" w:type="dxa"/>
            <w:vAlign w:val="bottom"/>
          </w:tcPr>
          <w:p>
            <w:pPr>
              <w:spacing w:after="0"/>
              <w:rPr>
                <w:sz w:val="12"/>
                <w:szCs w:val="12"/>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97,932</w:t>
            </w:r>
          </w:p>
        </w:tc>
        <w:tc>
          <w:tcPr>
            <w:tcW w:w="12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68,457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42,248</w:t>
            </w:r>
          </w:p>
        </w:tc>
        <w:tc>
          <w:tcPr>
            <w:tcW w:w="140" w:type="dxa"/>
            <w:vAlign w:val="bottom"/>
          </w:tcPr>
          <w:p>
            <w:pPr>
              <w:spacing w:after="0"/>
              <w:rPr>
                <w:sz w:val="12"/>
                <w:szCs w:val="12"/>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21,549</w:t>
            </w:r>
          </w:p>
        </w:tc>
        <w:tc>
          <w:tcPr>
            <w:tcW w:w="10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13,724</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369,760</w:t>
            </w:r>
          </w:p>
        </w:tc>
      </w:tr>
      <w:tr>
        <w:trPr>
          <w:trHeight w:val="147"/>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Pension and post retirement payments</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12,608</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16,627</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13,914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15,144</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15,919</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103,958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178,170</w:t>
            </w:r>
          </w:p>
        </w:tc>
      </w:tr>
      <w:tr>
        <w:trPr>
          <w:trHeight w:val="147"/>
        </w:trPr>
        <w:tc>
          <w:tcPr>
            <w:tcW w:w="3020" w:type="dxa"/>
            <w:vAlign w:val="bottom"/>
          </w:tcPr>
          <w:p>
            <w:pPr>
              <w:spacing w:after="0"/>
              <w:rPr>
                <w:sz w:val="20"/>
                <w:szCs w:val="20"/>
                <w:color w:val="auto"/>
              </w:rPr>
            </w:pPr>
            <w:r>
              <w:rPr>
                <w:rFonts w:ascii="Times New Roman" w:cs="Times New Roman" w:eastAsia="Times New Roman" w:hAnsi="Times New Roman"/>
                <w:sz w:val="12"/>
                <w:szCs w:val="12"/>
                <w:color w:val="auto"/>
              </w:rPr>
              <w:t>Title claim losses</w:t>
            </w:r>
          </w:p>
        </w:tc>
        <w:tc>
          <w:tcPr>
            <w:tcW w:w="120" w:type="dxa"/>
            <w:vAlign w:val="bottom"/>
          </w:tcPr>
          <w:p>
            <w:pPr>
              <w:spacing w:after="0"/>
              <w:rPr>
                <w:sz w:val="12"/>
                <w:szCs w:val="12"/>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219,731</w:t>
            </w:r>
          </w:p>
        </w:tc>
        <w:tc>
          <w:tcPr>
            <w:tcW w:w="120" w:type="dxa"/>
            <w:vAlign w:val="bottom"/>
          </w:tcPr>
          <w:p>
            <w:pPr>
              <w:spacing w:after="0"/>
              <w:rPr>
                <w:sz w:val="12"/>
                <w:szCs w:val="12"/>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185,669</w:t>
            </w:r>
          </w:p>
        </w:tc>
        <w:tc>
          <w:tcPr>
            <w:tcW w:w="12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146,000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116,322</w:t>
            </w:r>
          </w:p>
        </w:tc>
        <w:tc>
          <w:tcPr>
            <w:tcW w:w="140" w:type="dxa"/>
            <w:vAlign w:val="bottom"/>
          </w:tcPr>
          <w:p>
            <w:pPr>
              <w:spacing w:after="0"/>
              <w:rPr>
                <w:sz w:val="12"/>
                <w:szCs w:val="12"/>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90,878</w:t>
            </w:r>
          </w:p>
        </w:tc>
        <w:tc>
          <w:tcPr>
            <w:tcW w:w="10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396,272</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1,154,872</w:t>
            </w:r>
          </w:p>
        </w:tc>
      </w:tr>
      <w:tr>
        <w:trPr>
          <w:trHeight w:val="20"/>
        </w:trPr>
        <w:tc>
          <w:tcPr>
            <w:tcW w:w="3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359,626</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300,228</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228,371</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173,714</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369,227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762,803</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2,193,969</w:t>
            </w:r>
          </w:p>
        </w:tc>
      </w:tr>
      <w:tr>
        <w:trPr>
          <w:trHeight w:val="29"/>
        </w:trPr>
        <w:tc>
          <w:tcPr>
            <w:tcW w:w="3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680" w:right="180" w:firstLine="399"/>
        <w:spacing w:after="0" w:line="286" w:lineRule="auto"/>
        <w:rPr>
          <w:sz w:val="20"/>
          <w:szCs w:val="20"/>
          <w:color w:val="auto"/>
        </w:rPr>
      </w:pPr>
      <w:r>
        <w:rPr>
          <w:rFonts w:ascii="Times New Roman" w:cs="Times New Roman" w:eastAsia="Times New Roman" w:hAnsi="Times New Roman"/>
          <w:sz w:val="13"/>
          <w:szCs w:val="13"/>
          <w:color w:val="auto"/>
        </w:rPr>
        <w:t>As of December 31, 2006 we had title insurance reserves of $1,154.9 million. The amounts and timing of these obligations are estimated and are not set contractually. Nonetheless, based on historical title insurance claim experience, we anticipate the above payment patterns. While we believe that historical loss payments are a</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6" w:name="page57"/>
    <w:bookmarkEnd w:id="56"/>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reasonable source for projecting future claim payments, there is significant inherent uncertainty in this payment pattern estimate because of the potential impact of changes in:</w:t>
      </w:r>
    </w:p>
    <w:p>
      <w:pPr>
        <w:spacing w:after="0" w:line="96" w:lineRule="exact"/>
        <w:rPr>
          <w:sz w:val="20"/>
          <w:szCs w:val="20"/>
          <w:color w:val="auto"/>
        </w:rPr>
      </w:pPr>
    </w:p>
    <w:p>
      <w:pPr>
        <w:ind w:left="1280" w:hanging="190"/>
        <w:spacing w:after="0"/>
        <w:tabs>
          <w:tab w:leader="none" w:pos="12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future mortgage interest rates, which will affect the number of real estate and refinancing transactions and, therefore, the rate at which title insurance claims will emerge;</w:t>
      </w:r>
    </w:p>
    <w:p>
      <w:pPr>
        <w:spacing w:after="0" w:line="86" w:lineRule="exact"/>
        <w:rPr>
          <w:rFonts w:ascii="Times New Roman" w:cs="Times New Roman" w:eastAsia="Times New Roman" w:hAnsi="Times New Roman"/>
          <w:sz w:val="13"/>
          <w:szCs w:val="13"/>
          <w:color w:val="auto"/>
        </w:rPr>
      </w:pPr>
    </w:p>
    <w:p>
      <w:pPr>
        <w:ind w:left="1280" w:right="200" w:hanging="190"/>
        <w:spacing w:after="0" w:line="286" w:lineRule="auto"/>
        <w:tabs>
          <w:tab w:leader="none" w:pos="12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legal environment whereby court decisions and reinterpretations of title insurance policy language to broaden coverage could increase total obligations and influence claim payout patterns;</w:t>
      </w:r>
    </w:p>
    <w:p>
      <w:pPr>
        <w:spacing w:after="0" w:line="36" w:lineRule="exact"/>
        <w:rPr>
          <w:rFonts w:ascii="Times New Roman" w:cs="Times New Roman" w:eastAsia="Times New Roman" w:hAnsi="Times New Roman"/>
          <w:sz w:val="13"/>
          <w:szCs w:val="13"/>
          <w:color w:val="auto"/>
        </w:rPr>
      </w:pPr>
    </w:p>
    <w:p>
      <w:pPr>
        <w:ind w:left="1280" w:right="360" w:hanging="190"/>
        <w:spacing w:after="0" w:line="286" w:lineRule="auto"/>
        <w:tabs>
          <w:tab w:leader="none" w:pos="12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events such as fraud, defalcation, and multiple property title defects that can substantially and unexpectedly cause increases in both the amount and timing of estimated title insurance loss payments;</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loss cost trends whereby increases or decreases in inflationary factors (including the value of real estate) will influence the ultimate amount of title insurance loss payments; and</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claims staffing levels whereby claims may be settled at a different rate based on the future staffing levels of the claims department.</w:t>
      </w:r>
    </w:p>
    <w:p>
      <w:pPr>
        <w:spacing w:after="0" w:line="96" w:lineRule="exact"/>
        <w:rPr>
          <w:sz w:val="20"/>
          <w:szCs w:val="20"/>
          <w:color w:val="auto"/>
        </w:rPr>
      </w:pPr>
    </w:p>
    <w:p>
      <w:pPr>
        <w:ind w:left="680" w:right="60" w:firstLine="399"/>
        <w:spacing w:after="0" w:line="269" w:lineRule="auto"/>
        <w:rPr>
          <w:sz w:val="20"/>
          <w:szCs w:val="20"/>
          <w:color w:val="auto"/>
        </w:rPr>
      </w:pPr>
      <w:r>
        <w:rPr>
          <w:rFonts w:ascii="Times New Roman" w:cs="Times New Roman" w:eastAsia="Times New Roman" w:hAnsi="Times New Roman"/>
          <w:sz w:val="13"/>
          <w:szCs w:val="13"/>
          <w:color w:val="auto"/>
        </w:rPr>
        <w:t>In addition to the amounts shown in the table, at December 31, 2006, we held claim reserves of $65.8 million in respect of our specialty insurance reserves. Because of uncertainty with respect to the precise payout pattern of these reserves, and their small size, we have not allocated them to the periods shown, although we would expect the substantial majority of these amounts to be paid in 2007.</w:t>
      </w:r>
    </w:p>
    <w:p>
      <w:pPr>
        <w:spacing w:after="0" w:line="56" w:lineRule="exact"/>
        <w:rPr>
          <w:sz w:val="20"/>
          <w:szCs w:val="20"/>
          <w:color w:val="auto"/>
        </w:rPr>
      </w:pPr>
    </w:p>
    <w:p>
      <w:pPr>
        <w:ind w:left="680" w:right="8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Capital Stock Transactions. </w:t>
      </w:r>
      <w:r>
        <w:rPr>
          <w:rFonts w:ascii="Times New Roman" w:cs="Times New Roman" w:eastAsia="Times New Roman" w:hAnsi="Times New Roman"/>
          <w:sz w:val="13"/>
          <w:szCs w:val="13"/>
          <w:color w:val="auto"/>
        </w:rPr>
        <w:t>On October 25, 2006, our Board of Directors approved a three-year stock repurchase program under which we can repurchase up to 25 million shares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common stock. We may make purchases from time to time in the open market, in block purchases or in privately negotiated transactions, depending on market conditions and other factors. None of our common stock was repurchased under this plan in 2006.</w:t>
      </w:r>
    </w:p>
    <w:p>
      <w:pPr>
        <w:spacing w:after="0" w:line="54" w:lineRule="exact"/>
        <w:rPr>
          <w:sz w:val="20"/>
          <w:szCs w:val="20"/>
          <w:color w:val="auto"/>
        </w:rPr>
      </w:pPr>
    </w:p>
    <w:p>
      <w:pPr>
        <w:ind w:left="680" w:right="12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Additional Minimum Pension Liability Adjustment. </w:t>
      </w:r>
      <w:r>
        <w:rPr>
          <w:rFonts w:ascii="Times New Roman" w:cs="Times New Roman" w:eastAsia="Times New Roman" w:hAnsi="Times New Roman"/>
          <w:sz w:val="13"/>
          <w:szCs w:val="13"/>
          <w:color w:val="auto"/>
        </w:rPr>
        <w:t>We recorded a net-of-tax credit of $10.5 million to accumulated other comprehensive loss in 2006 in accordance with Statement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Financial Accounting Standards No. 87, “Employers’ Accounting for Pensions” for the change in our minimum pension liability.</w:t>
      </w:r>
    </w:p>
    <w:p>
      <w:pPr>
        <w:spacing w:after="0" w:line="43" w:lineRule="exact"/>
        <w:rPr>
          <w:sz w:val="20"/>
          <w:szCs w:val="20"/>
          <w:color w:val="auto"/>
        </w:rPr>
      </w:pPr>
    </w:p>
    <w:p>
      <w:pPr>
        <w:ind w:left="680" w:right="6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Equity Investments. </w:t>
      </w:r>
      <w:r>
        <w:rPr>
          <w:rFonts w:ascii="Times New Roman" w:cs="Times New Roman" w:eastAsia="Times New Roman" w:hAnsi="Times New Roman"/>
          <w:sz w:val="13"/>
          <w:szCs w:val="13"/>
          <w:color w:val="auto"/>
        </w:rPr>
        <w:t>Our equity investments are in public companies whose security prices are subject to significant volatility. Should the fair value of these investments fall below</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cost bases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54"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i w:val="1"/>
          <w:iCs w:val="1"/>
          <w:color w:val="auto"/>
        </w:rPr>
        <w:t xml:space="preserve">Off-Balance Sheet Arrangements. </w:t>
      </w:r>
      <w:r>
        <w:rPr>
          <w:rFonts w:ascii="Times New Roman" w:cs="Times New Roman" w:eastAsia="Times New Roman" w:hAnsi="Times New Roman"/>
          <w:sz w:val="13"/>
          <w:szCs w:val="13"/>
          <w:color w:val="auto"/>
        </w:rPr>
        <w:t>We do not engage in off-balance sheet activities other than facility and equipment leasing arrangements. On June 29, 2004 Old FNF entered into 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off-balance sheet financing arrangement (commonly referred to as a “synthetic lease”). The owner/lessor in this arrangement acquired land and various real property improvements associated with new construction of an office building in Jacksonville, Florida that is part of our corporate campus and headquarters. The lease expires on June 28, 2011, with renewal subject to consent of the lessor and the lenders. The lessor is a third-party limited liability company. The synthetic lease facility provides for amounts up to $75.0 million. As of December 31, 2006, the full $75.0 million had been drawn on the facility to finance land costs and related fees and expenses. The leases include guarantees by us of up to 86.7% of the outstanding lease balance, and options to purchase the facilities at the outstanding lease balance. The guarantee becomes effective if we decline to purchase the facilities at the end of the lease and also decline to renew the lease. The lessor financed the acquisition of the facilities through funding provided by third-party financial institutions. We have no affiliation or relationship with the lessor or any of its employees, directors or affiliates, and our transactions with the lessor are limited to the operating lease agreements and the associated rent expense that will be included in other operating expenses in the Consolidated Statements of Earnings after the end of the construction period.</w:t>
      </w:r>
    </w:p>
    <w:p>
      <w:pPr>
        <w:spacing w:after="0" w:line="65" w:lineRule="exact"/>
        <w:rPr>
          <w:sz w:val="20"/>
          <w:szCs w:val="20"/>
          <w:color w:val="auto"/>
        </w:rPr>
      </w:pPr>
    </w:p>
    <w:p>
      <w:pPr>
        <w:ind w:left="680" w:right="240" w:firstLine="399"/>
        <w:spacing w:after="0" w:line="286" w:lineRule="auto"/>
        <w:rPr>
          <w:sz w:val="20"/>
          <w:szCs w:val="20"/>
          <w:color w:val="auto"/>
        </w:rPr>
      </w:pPr>
      <w:r>
        <w:rPr>
          <w:rFonts w:ascii="Times New Roman" w:cs="Times New Roman" w:eastAsia="Times New Roman" w:hAnsi="Times New Roman"/>
          <w:sz w:val="13"/>
          <w:szCs w:val="13"/>
          <w:color w:val="auto"/>
        </w:rPr>
        <w:t>We do not believe the lessor is a variable interest entity, as defined in FASB Interpretation No. 46R, “Consolidation of Variable Interest Entities” (“FIN 46”). In addition, we have verified that even if the lessor was determined to be a variable interest entity, we would not be required to consolidate the lessor or the assets and</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7" w:name="page58"/>
    <w:bookmarkEnd w:id="57"/>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80"/>
        <w:spacing w:after="0" w:line="286" w:lineRule="auto"/>
        <w:rPr>
          <w:sz w:val="20"/>
          <w:szCs w:val="20"/>
          <w:color w:val="auto"/>
        </w:rPr>
      </w:pPr>
      <w:r>
        <w:rPr>
          <w:rFonts w:ascii="Times New Roman" w:cs="Times New Roman" w:eastAsia="Times New Roman" w:hAnsi="Times New Roman"/>
          <w:sz w:val="13"/>
          <w:szCs w:val="13"/>
          <w:color w:val="auto"/>
        </w:rPr>
        <w:t>liabilities associated with the assets leased to us. This is because the assets leased by us will not exceed 50% of the total fair value of the lessor’s assets excluding any assets that should be excluded from such calculation under FIN 46, nor did the lessor finance 95% or more of the leased balance with non-recourse debt, target equity or similar funding.</w:t>
      </w:r>
    </w:p>
    <w:p>
      <w:pPr>
        <w:spacing w:after="0" w:line="47"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In conducting our operations, we routinely hold customers’ assets in escrow, pending completion of real estate transactions. Certain of these amounts are maintained in segregated bank accounts and have not been included in the Consolidated Balance Sheets. As a result of holding these customers’ assets in escrow, we have ongoing programs for realizing economic benefits during the year through favorable borrowing and vendor arrangements with various banks. There were no investments or loans outstanding as of December 31, 2006 related to these arrangements.</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Recent Accounting Pronouncements</w:t>
      </w:r>
    </w:p>
    <w:p>
      <w:pPr>
        <w:spacing w:after="0" w:line="98" w:lineRule="exact"/>
        <w:rPr>
          <w:sz w:val="20"/>
          <w:szCs w:val="20"/>
          <w:color w:val="auto"/>
        </w:rPr>
      </w:pPr>
    </w:p>
    <w:p>
      <w:pPr>
        <w:ind w:left="680" w:right="100" w:firstLine="399"/>
        <w:spacing w:after="0" w:line="258" w:lineRule="auto"/>
        <w:rPr>
          <w:sz w:val="20"/>
          <w:szCs w:val="20"/>
          <w:color w:val="auto"/>
        </w:rPr>
      </w:pPr>
      <w:r>
        <w:rPr>
          <w:rFonts w:ascii="Times New Roman" w:cs="Times New Roman" w:eastAsia="Times New Roman" w:hAnsi="Times New Roman"/>
          <w:sz w:val="13"/>
          <w:szCs w:val="13"/>
          <w:color w:val="auto"/>
        </w:rPr>
        <w:t>In September 2006, the FASB issued Statement of Financial Accounting Standards (“SFAS”) No. 158, “Employers’ Accounting for Defined Benefit Pension and Other Post Retirement Plans” (“SFAS 158”). SFAS 158 requires entities to recognize on their balance sheets the funded status of pension and other postretirement benefit plans. Entities are required to recognize actuarial gains and losses, prior service cost, and any remaining transition amounts from the initial application of Statement of Financial Accounting Standards No. 87, “Employers’ Accounting for Pensions,” and Statement of Financial Accounting Standards No. 106, “Employers’ Accounting for Postretirement Benefits Other Than Pensions,” when recognizing a plan’s funded status, with the offset to accumulated other comprehensive income. SFAS 158 will not change the amounts recognized in the income statement as net periodic benefit cost. All of the requirements of SFAS 158 are effective as of December 31, 2006 for calendar-year public companies, except for a requirement for fiscal-year-end measurements of plan assets and benefit obligations with which the Company is already in compliance. The Company has adopted SFAS 158. See Note M.</w:t>
      </w:r>
    </w:p>
    <w:p>
      <w:pPr>
        <w:spacing w:after="0" w:line="64" w:lineRule="exact"/>
        <w:rPr>
          <w:sz w:val="20"/>
          <w:szCs w:val="20"/>
          <w:color w:val="auto"/>
        </w:rPr>
      </w:pPr>
    </w:p>
    <w:p>
      <w:pPr>
        <w:ind w:left="680" w:right="80" w:firstLine="399"/>
        <w:spacing w:after="0" w:line="258" w:lineRule="auto"/>
        <w:rPr>
          <w:sz w:val="20"/>
          <w:szCs w:val="20"/>
          <w:color w:val="auto"/>
        </w:rPr>
      </w:pPr>
      <w:r>
        <w:rPr>
          <w:rFonts w:ascii="Times New Roman" w:cs="Times New Roman" w:eastAsia="Times New Roman" w:hAnsi="Times New Roman"/>
          <w:sz w:val="13"/>
          <w:szCs w:val="13"/>
          <w:color w:val="auto"/>
        </w:rPr>
        <w:t>In September 2006, the Securities and Exchange Commission (SEC) issued Staff Accounting Bulletin No. 108 (Topic 1N), “Considering the Effects of Prior Year Misstatements when Quantifying Misstatements in Current Year Financial Statements” (SAB 108). This SAB addresses how the effects of prior-year uncorrected misstatements should be considered when quantifying misstatements in current-year financial statements. SAB 108 requires registrants to quantify misstatements using both the balance sheet and income statement approaches and to evaluate whether either approach results in quantifying an error that is material in light of relevant quantitative and qualitative factors. When the effect of initial adoption is determined to be material, the SAB allows registrants to record that effect as a cumulative effect adjustment to beginning-of-year retained earnings. SAB 108 is effective for annual financial statements covering the first fiscal year ending after November 15, 2006. Management has analyzed the effects of SAB 108 and determined that there are no adjustments required to be made to the Company’s statements of financial condition or results of operations pursuant to SAB 108.</w:t>
      </w:r>
    </w:p>
    <w:p>
      <w:pPr>
        <w:spacing w:after="0" w:line="64"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In June 2006, the FASB issued Interpretation No. 48, “Accounting for Uncertainty in Income Taxes — an interpretation of FASB Statement No. 109” (“FIN 48”). FIN 48 requires an evaluation to determine the likelihood that an uncertain tax position will be sustained upon examination, including resolution of any related appeals or litigation processes. If it is determined that it is more likely than not that an uncertain tax position will be sustained upon examination, the next step is to determine the amount to be recognized. FIN 48 prescribes recognition of the largest amount of tax benefit that is greater than 50 percent likely of being recognized upon ultimate settlement of an uncertain tax position. Such amounts are to be recognized as of the first financial reporting period during which the more-likely-than-not recognition threshold is met. Similarly, an amount that has previously been recognized will be reversed as of the first financial reporting period during which the more-likely-than-not recognition threshold is not met. FIN 48 is effective for fiscal years beginning after December 15, 2006. Management is currently evaluating the impact on the Company’s statements of financial position and operations.</w:t>
      </w:r>
    </w:p>
    <w:p>
      <w:pPr>
        <w:spacing w:after="0" w:line="64" w:lineRule="exact"/>
        <w:rPr>
          <w:sz w:val="20"/>
          <w:szCs w:val="20"/>
          <w:color w:val="auto"/>
        </w:rPr>
      </w:pPr>
    </w:p>
    <w:p>
      <w:pPr>
        <w:jc w:val="both"/>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In December 2004, the FASB issued SFAS No. 123R, which requires that compensation cost relating to share-based payments be recognized in our financial statements. During 2003, we adopted the fair value recognition provision of Statement of Financial Accounting Standards No. 123, “Accounting for Stock-Based Compensation” (“SFAS No. 123”), effective as of the beginning of 2003. Using the fair value method of accounting, compensation cost is measured based on the fair value of the award at the grant date and recognized over the service period. Upon</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8" w:name="page59"/>
    <w:bookmarkEnd w:id="58"/>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20"/>
        <w:spacing w:after="0" w:line="258" w:lineRule="auto"/>
        <w:rPr>
          <w:sz w:val="20"/>
          <w:szCs w:val="20"/>
          <w:color w:val="auto"/>
        </w:rPr>
      </w:pPr>
      <w:r>
        <w:rPr>
          <w:rFonts w:ascii="Times New Roman" w:cs="Times New Roman" w:eastAsia="Times New Roman" w:hAnsi="Times New Roman"/>
          <w:sz w:val="13"/>
          <w:szCs w:val="13"/>
          <w:color w:val="auto"/>
        </w:rPr>
        <w:t xml:space="preserve">adoption of SFAS No. 123, we elected to use the prospective method of transition, as permitted by Statement of Financial Accounting Standards No. 148, “Accounting for Stock-Based Compensation — Transition and Disclosure” (“SFAS No. 148”). Using this method, stock-based employee compensation cost has been recognized from the beginning of 2003 as if the fair value method of accounting had been used to account for all employee awards granted, modified, or settled in years beginning after December 31, 2002. SFAS No. 123R does not allow for the prospective method, but requires the recording of expense relating to the vesting of all unvested options beginning in the first quarter of 2006. The adoption of SFAS No. 123R on January 1, 2006 had no significant impact on our financial condition or results of operations due to the fact that all options accounted for using the intrinsic value method under Accounting Principles Board Opinion No. 25, </w:t>
      </w:r>
      <w:r>
        <w:rPr>
          <w:rFonts w:ascii="Times New Roman" w:cs="Times New Roman" w:eastAsia="Times New Roman" w:hAnsi="Times New Roman"/>
          <w:sz w:val="13"/>
          <w:szCs w:val="13"/>
          <w:i w:val="1"/>
          <w:iCs w:val="1"/>
          <w:color w:val="auto"/>
        </w:rPr>
        <w:t>Accounting for Stock Issued to Employees</w:t>
      </w:r>
      <w:r>
        <w:rPr>
          <w:rFonts w:ascii="Times New Roman" w:cs="Times New Roman" w:eastAsia="Times New Roman" w:hAnsi="Times New Roman"/>
          <w:sz w:val="13"/>
          <w:szCs w:val="13"/>
          <w:color w:val="auto"/>
        </w:rPr>
        <w:t>, were fully vested at December 31, 2005. In accordance with the provisions of SFAS No. 123R, we have not restated our share-based compensation expense for the 2005 and 2004 periods presented.</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 xml:space="preserve">Item 7A. </w:t>
      </w:r>
      <w:r>
        <w:rPr>
          <w:rFonts w:ascii="Times New Roman" w:cs="Times New Roman" w:eastAsia="Times New Roman" w:hAnsi="Times New Roman"/>
          <w:sz w:val="13"/>
          <w:szCs w:val="13"/>
          <w:b w:val="1"/>
          <w:bCs w:val="1"/>
          <w:i w:val="1"/>
          <w:iCs w:val="1"/>
          <w:color w:val="auto"/>
        </w:rPr>
        <w:t>Quantitative and Qualitative Disclosure About Market Risk</w:t>
      </w:r>
    </w:p>
    <w:p>
      <w:pPr>
        <w:spacing w:after="0" w:line="100" w:lineRule="exact"/>
        <w:rPr>
          <w:sz w:val="20"/>
          <w:szCs w:val="20"/>
          <w:color w:val="auto"/>
        </w:rPr>
      </w:pPr>
    </w:p>
    <w:p>
      <w:pPr>
        <w:ind w:left="680" w:right="180" w:firstLine="399"/>
        <w:spacing w:after="0" w:line="269" w:lineRule="auto"/>
        <w:rPr>
          <w:sz w:val="20"/>
          <w:szCs w:val="20"/>
          <w:color w:val="auto"/>
        </w:rPr>
      </w:pPr>
      <w:r>
        <w:rPr>
          <w:rFonts w:ascii="Times New Roman" w:cs="Times New Roman" w:eastAsia="Times New Roman" w:hAnsi="Times New Roman"/>
          <w:sz w:val="13"/>
          <w:szCs w:val="13"/>
          <w:color w:val="auto"/>
        </w:rPr>
        <w:t>Our Consolidated Balance Sheet includes a substantial amount of assets and liabilities whose fair values are subject to market risks. See “Business — Investment Policies and Investment Portfolio” and Note C of Notes to Consolidated Financial Statements. The following sections address the significant market risks associated with our financial activities for the year ended December 31, 2006.</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Interest Rate Risk</w:t>
      </w:r>
    </w:p>
    <w:p>
      <w:pPr>
        <w:spacing w:after="0" w:line="98" w:lineRule="exact"/>
        <w:rPr>
          <w:sz w:val="20"/>
          <w:szCs w:val="20"/>
          <w:color w:val="auto"/>
        </w:rPr>
      </w:pPr>
    </w:p>
    <w:p>
      <w:pPr>
        <w:ind w:left="680" w:right="140" w:firstLine="399"/>
        <w:spacing w:after="0" w:line="269" w:lineRule="auto"/>
        <w:rPr>
          <w:sz w:val="20"/>
          <w:szCs w:val="20"/>
          <w:color w:val="auto"/>
        </w:rPr>
      </w:pPr>
      <w:r>
        <w:rPr>
          <w:rFonts w:ascii="Times New Roman" w:cs="Times New Roman" w:eastAsia="Times New Roman" w:hAnsi="Times New Roman"/>
          <w:sz w:val="13"/>
          <w:szCs w:val="13"/>
          <w:color w:val="auto"/>
        </w:rPr>
        <w:t>Our fixed maturity investments and borrowings are subject to interest rate risk.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 of alternative investments, the liquidity of the instrument and other general market conditions.</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Equity Price Risk</w:t>
      </w:r>
    </w:p>
    <w:p>
      <w:pPr>
        <w:spacing w:after="0" w:line="98"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Effects of Certain Hypothetical Changes</w:t>
      </w:r>
    </w:p>
    <w:p>
      <w:pPr>
        <w:spacing w:after="0" w:line="98" w:lineRule="exact"/>
        <w:rPr>
          <w:sz w:val="20"/>
          <w:szCs w:val="20"/>
          <w:color w:val="auto"/>
        </w:rPr>
      </w:pPr>
    </w:p>
    <w:p>
      <w:pPr>
        <w:ind w:left="680" w:right="240" w:firstLine="399"/>
        <w:spacing w:after="0" w:line="286" w:lineRule="auto"/>
        <w:rPr>
          <w:sz w:val="20"/>
          <w:szCs w:val="20"/>
          <w:color w:val="auto"/>
        </w:rPr>
      </w:pPr>
      <w:r>
        <w:rPr>
          <w:rFonts w:ascii="Times New Roman" w:cs="Times New Roman" w:eastAsia="Times New Roman" w:hAnsi="Times New Roman"/>
          <w:sz w:val="13"/>
          <w:szCs w:val="13"/>
          <w:color w:val="auto"/>
        </w:rPr>
        <w:t>Caution should be used in evaluating our overall market risk from the information below, since actual results could differ materially because the information was developed using estimates and assumptions as described below, and because our reserve for claim losses (representing 32.9% of total liabilities) is not included in the hypothetical effects.</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hypothetical effects of changes in market rates or prices on the fair values of financial instruments would have been as follows as of or for the year ended December 31, 2006:</w:t>
      </w:r>
    </w:p>
    <w:p>
      <w:pPr>
        <w:spacing w:after="0" w:line="96" w:lineRule="exact"/>
        <w:rPr>
          <w:sz w:val="20"/>
          <w:szCs w:val="20"/>
          <w:color w:val="auto"/>
        </w:rPr>
      </w:pPr>
    </w:p>
    <w:p>
      <w:pPr>
        <w:ind w:left="1080" w:firstLine="383"/>
        <w:spacing w:after="0" w:line="286" w:lineRule="auto"/>
        <w:rPr>
          <w:sz w:val="20"/>
          <w:szCs w:val="20"/>
          <w:color w:val="auto"/>
        </w:rPr>
      </w:pPr>
      <w:r>
        <w:rPr>
          <w:rFonts w:ascii="Times New Roman" w:cs="Times New Roman" w:eastAsia="Times New Roman" w:hAnsi="Times New Roman"/>
          <w:sz w:val="13"/>
          <w:szCs w:val="13"/>
          <w:color w:val="auto"/>
        </w:rPr>
        <w:t>a. An approximate $100.7 million net increase (decrease) in the fair value of fixed maturity securities would have occurred if interest rates were 100 basis points (lower) higher as of December 31, 2006. The change in fair values was determined by estimating the present value of future cash flows using various models, primarily duration modeling.</w:t>
      </w:r>
    </w:p>
    <w:p>
      <w:pPr>
        <w:spacing w:after="0" w:line="4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color w:val="auto"/>
        </w:rPr>
        <w:t>b. An approximate $43.3 million net increase (decrease) in the fair value of equity securities would have occurred if there was a 20% price increase (decrease) in market</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prices.</w:t>
      </w:r>
    </w:p>
    <w:p>
      <w:pPr>
        <w:spacing w:after="0" w:line="83" w:lineRule="exact"/>
        <w:rPr>
          <w:sz w:val="20"/>
          <w:szCs w:val="20"/>
          <w:color w:val="auto"/>
        </w:rPr>
      </w:pPr>
    </w:p>
    <w:p>
      <w:pPr>
        <w:ind w:left="1080" w:right="380" w:firstLine="383"/>
        <w:spacing w:after="0" w:line="286" w:lineRule="auto"/>
        <w:rPr>
          <w:sz w:val="20"/>
          <w:szCs w:val="20"/>
          <w:color w:val="auto"/>
        </w:rPr>
      </w:pPr>
      <w:r>
        <w:rPr>
          <w:rFonts w:ascii="Times New Roman" w:cs="Times New Roman" w:eastAsia="Times New Roman" w:hAnsi="Times New Roman"/>
          <w:sz w:val="13"/>
          <w:szCs w:val="13"/>
          <w:color w:val="auto"/>
        </w:rPr>
        <w:t>c. It is not anticipated that there would be a significant change in the fair value of other long-term investments or short-term investments if there was a change in market conditions, based on the nature and duration of the financial instruments involved.</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2"/>
          </w:tcPr>
          <w:p>
            <w:pPr>
              <w:spacing w:after="0"/>
              <w:rPr>
                <w:rFonts w:ascii="Times New Roman" w:cs="Times New Roman" w:eastAsia="Times New Roman" w:hAnsi="Times New Roman"/>
                <w:sz w:val="13"/>
                <w:szCs w:val="13"/>
                <w:b w:val="1"/>
                <w:bCs w:val="1"/>
                <w:color w:val="0000EE"/>
                <w:w w:val="96"/>
              </w:rPr>
            </w:pPr>
            <w:hyperlink w:anchor="page3">
              <w:r>
                <w:rPr>
                  <w:rFonts w:ascii="Times New Roman" w:cs="Times New Roman" w:eastAsia="Times New Roman" w:hAnsi="Times New Roman"/>
                  <w:sz w:val="13"/>
                  <w:szCs w:val="13"/>
                  <w:b w:val="1"/>
                  <w:bCs w:val="1"/>
                  <w:color w:val="0000EE"/>
                  <w:w w:val="96"/>
                </w:rPr>
                <w:t>Table of Contents</w:t>
              </w:r>
            </w:hyperlink>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394"/>
        </w:trPr>
        <w:tc>
          <w:tcPr>
            <w:tcW w:w="1280" w:type="dxa"/>
            <w:vAlign w:val="bottom"/>
            <w:gridSpan w:val="3"/>
          </w:tcPr>
          <w:p>
            <w:pPr>
              <w:ind w:left="680"/>
              <w:spacing w:after="0"/>
              <w:rPr>
                <w:sz w:val="20"/>
                <w:szCs w:val="20"/>
                <w:color w:val="auto"/>
              </w:rPr>
            </w:pPr>
            <w:r>
              <w:rPr>
                <w:rFonts w:ascii="Times New Roman" w:cs="Times New Roman" w:eastAsia="Times New Roman" w:hAnsi="Times New Roman"/>
                <w:sz w:val="13"/>
                <w:szCs w:val="13"/>
                <w:b w:val="1"/>
                <w:bCs w:val="1"/>
                <w:color w:val="auto"/>
              </w:rPr>
              <w:t>Item 8.</w:t>
            </w:r>
          </w:p>
        </w:tc>
        <w:tc>
          <w:tcPr>
            <w:tcW w:w="8960" w:type="dxa"/>
            <w:vAlign w:val="bottom"/>
            <w:gridSpan w:val="9"/>
          </w:tcPr>
          <w:p>
            <w:pPr>
              <w:ind w:left="220"/>
              <w:spacing w:after="0"/>
              <w:rPr>
                <w:sz w:val="20"/>
                <w:szCs w:val="20"/>
                <w:color w:val="auto"/>
              </w:rPr>
            </w:pPr>
            <w:r>
              <w:rPr>
                <w:rFonts w:ascii="Times New Roman" w:cs="Times New Roman" w:eastAsia="Times New Roman" w:hAnsi="Times New Roman"/>
                <w:sz w:val="13"/>
                <w:szCs w:val="13"/>
                <w:b w:val="1"/>
                <w:bCs w:val="1"/>
                <w:i w:val="1"/>
                <w:iCs w:val="1"/>
                <w:color w:val="auto"/>
              </w:rPr>
              <w:t>Financial Statements and Supplementary Data</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0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260" w:type="dxa"/>
            <w:vAlign w:val="bottom"/>
            <w:gridSpan w:val="8"/>
          </w:tcPr>
          <w:p>
            <w:pPr>
              <w:jc w:val="center"/>
              <w:ind w:right="1860"/>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160" w:type="dxa"/>
            <w:vAlign w:val="bottom"/>
            <w:gridSpan w:val="7"/>
          </w:tcPr>
          <w:p>
            <w:pPr>
              <w:jc w:val="center"/>
              <w:ind w:right="2980"/>
              <w:spacing w:after="0"/>
              <w:rPr>
                <w:sz w:val="20"/>
                <w:szCs w:val="20"/>
                <w:color w:val="auto"/>
              </w:rPr>
            </w:pPr>
            <w:r>
              <w:rPr>
                <w:rFonts w:ascii="Times New Roman" w:cs="Times New Roman" w:eastAsia="Times New Roman" w:hAnsi="Times New Roman"/>
                <w:sz w:val="13"/>
                <w:szCs w:val="13"/>
                <w:b w:val="1"/>
                <w:bCs w:val="1"/>
                <w:color w:val="auto"/>
              </w:rPr>
              <w:t>INDEX TO FINANCIAL INFORMATION</w:t>
            </w: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65"/>
        </w:trPr>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Page</w:t>
            </w:r>
          </w:p>
        </w:tc>
        <w:tc>
          <w:tcPr>
            <w:tcW w:w="800" w:type="dxa"/>
            <w:vAlign w:val="bottom"/>
          </w:tcPr>
          <w:p>
            <w:pPr>
              <w:spacing w:after="0"/>
              <w:rPr>
                <w:sz w:val="23"/>
                <w:szCs w:val="23"/>
                <w:color w:val="auto"/>
              </w:rPr>
            </w:pPr>
          </w:p>
        </w:tc>
      </w:tr>
      <w:tr>
        <w:trPr>
          <w:trHeight w:val="127"/>
        </w:trPr>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800" w:type="dxa"/>
            <w:vAlign w:val="bottom"/>
          </w:tcPr>
          <w:p>
            <w:pPr>
              <w:spacing w:after="0"/>
              <w:rPr>
                <w:sz w:val="11"/>
                <w:szCs w:val="11"/>
                <w:color w:val="auto"/>
              </w:rPr>
            </w:pPr>
          </w:p>
        </w:tc>
      </w:tr>
      <w:tr>
        <w:trPr>
          <w:trHeight w:val="157"/>
        </w:trPr>
        <w:tc>
          <w:tcPr>
            <w:tcW w:w="680" w:type="dxa"/>
            <w:vAlign w:val="bottom"/>
          </w:tcPr>
          <w:p>
            <w:pPr>
              <w:spacing w:after="0"/>
              <w:rPr>
                <w:sz w:val="13"/>
                <w:szCs w:val="13"/>
                <w:color w:val="auto"/>
              </w:rPr>
            </w:pPr>
          </w:p>
        </w:tc>
        <w:tc>
          <w:tcPr>
            <w:tcW w:w="6340" w:type="dxa"/>
            <w:vAlign w:val="bottom"/>
            <w:tcBorders>
              <w:bottom w:val="single" w:sz="8" w:color="0000EE"/>
            </w:tcBorders>
            <w:gridSpan w:val="10"/>
          </w:tcPr>
          <w:p>
            <w:pPr>
              <w:spacing w:after="0"/>
              <w:rPr>
                <w:rFonts w:ascii="Times New Roman" w:cs="Times New Roman" w:eastAsia="Times New Roman" w:hAnsi="Times New Roman"/>
                <w:sz w:val="13"/>
                <w:szCs w:val="13"/>
                <w:color w:val="0000EE"/>
              </w:rPr>
            </w:pPr>
            <w:hyperlink w:anchor="page61">
              <w:r>
                <w:rPr>
                  <w:rFonts w:ascii="Times New Roman" w:cs="Times New Roman" w:eastAsia="Times New Roman" w:hAnsi="Times New Roman"/>
                  <w:sz w:val="13"/>
                  <w:szCs w:val="13"/>
                  <w:color w:val="0000EE"/>
                </w:rPr>
                <w:t>Report of Independent Registered Public Accounting Firm on Effectiveness of Internal Control over Financial Reporting</w:t>
              </w:r>
            </w:hyperlink>
          </w:p>
        </w:tc>
        <w:tc>
          <w:tcPr>
            <w:tcW w:w="3220" w:type="dxa"/>
            <w:vAlign w:val="bottom"/>
          </w:tcPr>
          <w:p>
            <w:pPr>
              <w:spacing w:after="0"/>
              <w:rPr>
                <w:sz w:val="13"/>
                <w:szCs w:val="13"/>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58</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4380" w:type="dxa"/>
            <w:vAlign w:val="bottom"/>
            <w:tcBorders>
              <w:bottom w:val="single" w:sz="8" w:color="0000EE"/>
            </w:tcBorders>
            <w:gridSpan w:val="5"/>
          </w:tcPr>
          <w:p>
            <w:pPr>
              <w:spacing w:after="0" w:line="138" w:lineRule="exact"/>
              <w:rPr>
                <w:rFonts w:ascii="Times New Roman" w:cs="Times New Roman" w:eastAsia="Times New Roman" w:hAnsi="Times New Roman"/>
                <w:sz w:val="13"/>
                <w:szCs w:val="13"/>
                <w:color w:val="0000EE"/>
              </w:rPr>
            </w:pPr>
            <w:hyperlink w:anchor="page62">
              <w:r>
                <w:rPr>
                  <w:rFonts w:ascii="Times New Roman" w:cs="Times New Roman" w:eastAsia="Times New Roman" w:hAnsi="Times New Roman"/>
                  <w:sz w:val="13"/>
                  <w:szCs w:val="13"/>
                  <w:color w:val="0000EE"/>
                </w:rPr>
                <w:t>Report of Independent Registered Public Accounting Firm on Financial Statements</w:t>
              </w:r>
            </w:hyperlink>
          </w:p>
        </w:tc>
        <w:tc>
          <w:tcPr>
            <w:tcW w:w="5180" w:type="dxa"/>
            <w:vAlign w:val="bottom"/>
            <w:gridSpan w:val="6"/>
          </w:tcPr>
          <w:p>
            <w:pPr>
              <w:spacing w:after="0"/>
              <w:rPr>
                <w:sz w:val="11"/>
                <w:szCs w:val="11"/>
                <w:color w:val="auto"/>
              </w:rPr>
            </w:pPr>
          </w:p>
        </w:tc>
        <w:tc>
          <w:tcPr>
            <w:tcW w:w="4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59</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3400" w:type="dxa"/>
            <w:vAlign w:val="bottom"/>
            <w:tcBorders>
              <w:bottom w:val="single" w:sz="8" w:color="0000EE"/>
            </w:tcBorders>
            <w:gridSpan w:val="4"/>
          </w:tcPr>
          <w:p>
            <w:pPr>
              <w:spacing w:after="0" w:line="138" w:lineRule="exact"/>
              <w:rPr>
                <w:rFonts w:ascii="Times New Roman" w:cs="Times New Roman" w:eastAsia="Times New Roman" w:hAnsi="Times New Roman"/>
                <w:sz w:val="13"/>
                <w:szCs w:val="13"/>
                <w:color w:val="0000EE"/>
              </w:rPr>
            </w:pPr>
            <w:hyperlink w:anchor="page63">
              <w:r>
                <w:rPr>
                  <w:rFonts w:ascii="Times New Roman" w:cs="Times New Roman" w:eastAsia="Times New Roman" w:hAnsi="Times New Roman"/>
                  <w:sz w:val="13"/>
                  <w:szCs w:val="13"/>
                  <w:color w:val="0000EE"/>
                </w:rPr>
                <w:t>Consolidated Balance Sheets as of December 31, 2006 and 2005</w:t>
              </w:r>
            </w:hyperlink>
          </w:p>
        </w:tc>
        <w:tc>
          <w:tcPr>
            <w:tcW w:w="6160" w:type="dxa"/>
            <w:vAlign w:val="bottom"/>
            <w:gridSpan w:val="7"/>
          </w:tcPr>
          <w:p>
            <w:pPr>
              <w:spacing w:after="0"/>
              <w:rPr>
                <w:sz w:val="11"/>
                <w:szCs w:val="11"/>
                <w:color w:val="auto"/>
              </w:rPr>
            </w:pPr>
          </w:p>
        </w:tc>
        <w:tc>
          <w:tcPr>
            <w:tcW w:w="4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60</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560" w:type="dxa"/>
            <w:vAlign w:val="bottom"/>
            <w:gridSpan w:val="11"/>
          </w:tcPr>
          <w:p>
            <w:pPr>
              <w:spacing w:after="0" w:line="138" w:lineRule="exact"/>
              <w:rPr>
                <w:rFonts w:ascii="Times New Roman" w:cs="Times New Roman" w:eastAsia="Times New Roman" w:hAnsi="Times New Roman"/>
                <w:sz w:val="13"/>
                <w:szCs w:val="13"/>
                <w:color w:val="0000EE"/>
              </w:rPr>
            </w:pPr>
            <w:hyperlink w:anchor="page64">
              <w:r>
                <w:rPr>
                  <w:rFonts w:ascii="Times New Roman" w:cs="Times New Roman" w:eastAsia="Times New Roman" w:hAnsi="Times New Roman"/>
                  <w:sz w:val="13"/>
                  <w:szCs w:val="13"/>
                  <w:color w:val="0000EE"/>
                </w:rPr>
                <w:t>Consolidated Statements of Earnings for the years ended December 31, 2006, 2005 and 2004</w:t>
              </w:r>
            </w:hyperlink>
          </w:p>
        </w:tc>
        <w:tc>
          <w:tcPr>
            <w:tcW w:w="4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61</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9560" w:type="dxa"/>
            <w:vAlign w:val="bottom"/>
            <w:gridSpan w:val="11"/>
          </w:tcPr>
          <w:p>
            <w:pPr>
              <w:spacing w:after="0" w:line="138" w:lineRule="exact"/>
              <w:rPr>
                <w:rFonts w:ascii="Times New Roman" w:cs="Times New Roman" w:eastAsia="Times New Roman" w:hAnsi="Times New Roman"/>
                <w:sz w:val="13"/>
                <w:szCs w:val="13"/>
                <w:color w:val="0000EE"/>
              </w:rPr>
            </w:pPr>
            <w:hyperlink w:anchor="page65">
              <w:r>
                <w:rPr>
                  <w:rFonts w:ascii="Times New Roman" w:cs="Times New Roman" w:eastAsia="Times New Roman" w:hAnsi="Times New Roman"/>
                  <w:sz w:val="13"/>
                  <w:szCs w:val="13"/>
                  <w:color w:val="0000EE"/>
                </w:rPr>
                <w:t>Consolidated Statements of Comprehensive Earnings for the years ended December 31, 2006, 2005 and 2004</w:t>
              </w:r>
            </w:hyperlink>
          </w:p>
        </w:tc>
        <w:tc>
          <w:tcPr>
            <w:tcW w:w="4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62</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5540" w:type="dxa"/>
            <w:vAlign w:val="bottom"/>
            <w:tcBorders>
              <w:top w:val="single" w:sz="8" w:color="0000EE"/>
              <w:bottom w:val="single" w:sz="8" w:color="0000EE"/>
            </w:tcBorders>
            <w:gridSpan w:val="8"/>
          </w:tcPr>
          <w:p>
            <w:pPr>
              <w:spacing w:after="0" w:line="138" w:lineRule="exact"/>
              <w:rPr>
                <w:rFonts w:ascii="Times New Roman" w:cs="Times New Roman" w:eastAsia="Times New Roman" w:hAnsi="Times New Roman"/>
                <w:sz w:val="13"/>
                <w:szCs w:val="13"/>
                <w:color w:val="0000EE"/>
              </w:rPr>
            </w:pPr>
            <w:hyperlink w:anchor="page66">
              <w:r>
                <w:rPr>
                  <w:rFonts w:ascii="Times New Roman" w:cs="Times New Roman" w:eastAsia="Times New Roman" w:hAnsi="Times New Roman"/>
                  <w:sz w:val="13"/>
                  <w:szCs w:val="13"/>
                  <w:color w:val="0000EE"/>
                </w:rPr>
                <w:t>Consolidated Statements of Stockholders’ Equity for the years ended December 31, 2006, 2005 and 2004</w:t>
              </w:r>
            </w:hyperlink>
          </w:p>
        </w:tc>
        <w:tc>
          <w:tcPr>
            <w:tcW w:w="200" w:type="dxa"/>
            <w:vAlign w:val="bottom"/>
            <w:tcBorders>
              <w:top w:val="single" w:sz="8" w:color="0000EE"/>
            </w:tcBorders>
          </w:tcPr>
          <w:p>
            <w:pPr>
              <w:spacing w:after="0"/>
              <w:rPr>
                <w:sz w:val="11"/>
                <w:szCs w:val="11"/>
                <w:color w:val="auto"/>
              </w:rPr>
            </w:pPr>
          </w:p>
        </w:tc>
        <w:tc>
          <w:tcPr>
            <w:tcW w:w="3820" w:type="dxa"/>
            <w:vAlign w:val="bottom"/>
            <w:gridSpan w:val="2"/>
          </w:tcPr>
          <w:p>
            <w:pPr>
              <w:spacing w:after="0"/>
              <w:rPr>
                <w:sz w:val="11"/>
                <w:szCs w:val="11"/>
                <w:color w:val="auto"/>
              </w:rPr>
            </w:pPr>
          </w:p>
        </w:tc>
        <w:tc>
          <w:tcPr>
            <w:tcW w:w="4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63</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5040" w:type="dxa"/>
            <w:vAlign w:val="bottom"/>
            <w:tcBorders>
              <w:bottom w:val="single" w:sz="8" w:color="0000EE"/>
            </w:tcBorders>
            <w:gridSpan w:val="7"/>
          </w:tcPr>
          <w:p>
            <w:pPr>
              <w:spacing w:after="0" w:line="138" w:lineRule="exact"/>
              <w:rPr>
                <w:rFonts w:ascii="Times New Roman" w:cs="Times New Roman" w:eastAsia="Times New Roman" w:hAnsi="Times New Roman"/>
                <w:sz w:val="13"/>
                <w:szCs w:val="13"/>
                <w:color w:val="0000EE"/>
              </w:rPr>
            </w:pPr>
            <w:hyperlink w:anchor="page68">
              <w:r>
                <w:rPr>
                  <w:rFonts w:ascii="Times New Roman" w:cs="Times New Roman" w:eastAsia="Times New Roman" w:hAnsi="Times New Roman"/>
                  <w:sz w:val="13"/>
                  <w:szCs w:val="13"/>
                  <w:color w:val="0000EE"/>
                </w:rPr>
                <w:t>Consolidated Statements of Cash Flows for the years ended December 31, 2006, 2005 and 2004</w:t>
              </w:r>
            </w:hyperlink>
          </w:p>
        </w:tc>
        <w:tc>
          <w:tcPr>
            <w:tcW w:w="4520" w:type="dxa"/>
            <w:vAlign w:val="bottom"/>
            <w:gridSpan w:val="4"/>
          </w:tcPr>
          <w:p>
            <w:pPr>
              <w:spacing w:after="0"/>
              <w:rPr>
                <w:sz w:val="11"/>
                <w:szCs w:val="11"/>
                <w:color w:val="auto"/>
              </w:rPr>
            </w:pPr>
          </w:p>
        </w:tc>
        <w:tc>
          <w:tcPr>
            <w:tcW w:w="4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65</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560" w:type="dxa"/>
            <w:vAlign w:val="bottom"/>
            <w:gridSpan w:val="11"/>
          </w:tcPr>
          <w:p>
            <w:pPr>
              <w:spacing w:after="0" w:line="138" w:lineRule="exact"/>
              <w:rPr>
                <w:rFonts w:ascii="Times New Roman" w:cs="Times New Roman" w:eastAsia="Times New Roman" w:hAnsi="Times New Roman"/>
                <w:sz w:val="13"/>
                <w:szCs w:val="13"/>
                <w:color w:val="0000EE"/>
              </w:rPr>
            </w:pPr>
            <w:hyperlink w:anchor="page69">
              <w:r>
                <w:rPr>
                  <w:rFonts w:ascii="Times New Roman" w:cs="Times New Roman" w:eastAsia="Times New Roman" w:hAnsi="Times New Roman"/>
                  <w:sz w:val="13"/>
                  <w:szCs w:val="13"/>
                  <w:color w:val="0000EE"/>
                </w:rPr>
                <w:t>Notes to Consolidated Financial Statements</w:t>
              </w:r>
            </w:hyperlink>
          </w:p>
        </w:tc>
        <w:tc>
          <w:tcPr>
            <w:tcW w:w="4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66</w:t>
            </w:r>
          </w:p>
        </w:tc>
        <w:tc>
          <w:tcPr>
            <w:tcW w:w="800" w:type="dxa"/>
            <w:vAlign w:val="bottom"/>
          </w:tcPr>
          <w:p>
            <w:pPr>
              <w:spacing w:after="0"/>
              <w:rPr>
                <w:sz w:val="11"/>
                <w:szCs w:val="11"/>
                <w:color w:val="auto"/>
              </w:rPr>
            </w:pPr>
          </w:p>
        </w:tc>
      </w:tr>
      <w:tr>
        <w:trPr>
          <w:trHeight w:val="462"/>
        </w:trPr>
        <w:tc>
          <w:tcPr>
            <w:tcW w:w="68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700" w:type="dxa"/>
            <w:vAlign w:val="bottom"/>
            <w:tcBorders>
              <w:top w:val="single" w:sz="8" w:color="0000EE"/>
            </w:tcBorders>
          </w:tcPr>
          <w:p>
            <w:pPr>
              <w:spacing w:after="0"/>
              <w:rPr>
                <w:sz w:val="24"/>
                <w:szCs w:val="24"/>
                <w:color w:val="auto"/>
              </w:rPr>
            </w:pPr>
          </w:p>
        </w:tc>
        <w:tc>
          <w:tcPr>
            <w:tcW w:w="3240" w:type="dxa"/>
            <w:vAlign w:val="bottom"/>
            <w:gridSpan w:val="5"/>
          </w:tcPr>
          <w:p>
            <w:pPr>
              <w:jc w:val="center"/>
              <w:ind w:left="2094"/>
              <w:spacing w:after="0"/>
              <w:rPr>
                <w:sz w:val="20"/>
                <w:szCs w:val="20"/>
                <w:color w:val="auto"/>
              </w:rPr>
            </w:pPr>
            <w:r>
              <w:rPr>
                <w:rFonts w:ascii="Times New Roman" w:cs="Times New Roman" w:eastAsia="Times New Roman" w:hAnsi="Times New Roman"/>
                <w:sz w:val="13"/>
                <w:szCs w:val="13"/>
                <w:color w:val="auto"/>
                <w:w w:val="91"/>
              </w:rPr>
              <w:t>57</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2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60" w:name="page61"/>
    <w:bookmarkEnd w:id="60"/>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9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The Board of Directors and Stockholders</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Fidelity National Financial, Inc.:</w:t>
      </w:r>
    </w:p>
    <w:p>
      <w:pPr>
        <w:spacing w:after="0" w:line="83"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 xml:space="preserve">We have audited management’s assessment, included in the accompanying Management’s Report on Internal Control Over Financial Reporting, that Fidelity National Financial, Inc. maintained effective internal control over financial reporting as of December 31, 2006, based on criteria established in </w:t>
      </w:r>
      <w:r>
        <w:rPr>
          <w:rFonts w:ascii="Times New Roman" w:cs="Times New Roman" w:eastAsia="Times New Roman" w:hAnsi="Times New Roman"/>
          <w:sz w:val="13"/>
          <w:szCs w:val="13"/>
          <w:u w:val="single" w:color="auto"/>
          <w:color w:val="auto"/>
        </w:rPr>
        <w:t>Internal Control — Integrated Framework</w:t>
      </w:r>
      <w:r>
        <w:rPr>
          <w:rFonts w:ascii="Times New Roman" w:cs="Times New Roman" w:eastAsia="Times New Roman" w:hAnsi="Times New Roman"/>
          <w:sz w:val="13"/>
          <w:szCs w:val="13"/>
          <w:color w:val="auto"/>
        </w:rPr>
        <w:t xml:space="preserve"> issued by the Committee of Sponsoring Organizations of the Treadway Commission (COSO). Fidelity National Financial,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62"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62" w:lineRule="exact"/>
        <w:rPr>
          <w:sz w:val="20"/>
          <w:szCs w:val="20"/>
          <w:color w:val="auto"/>
        </w:rPr>
      </w:pPr>
    </w:p>
    <w:p>
      <w:pPr>
        <w:ind w:left="680" w:right="140" w:firstLine="399"/>
        <w:spacing w:after="0" w:line="259" w:lineRule="auto"/>
        <w:rPr>
          <w:sz w:val="20"/>
          <w:szCs w:val="20"/>
          <w:color w:val="auto"/>
        </w:rPr>
      </w:pPr>
      <w:r>
        <w:rPr>
          <w:rFonts w:ascii="Times New Roman" w:cs="Times New Roman" w:eastAsia="Times New Roman" w:hAnsi="Times New Roman"/>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4" w:lineRule="exact"/>
        <w:rPr>
          <w:sz w:val="20"/>
          <w:szCs w:val="20"/>
          <w:color w:val="auto"/>
        </w:rPr>
      </w:pPr>
    </w:p>
    <w:p>
      <w:pPr>
        <w:ind w:left="680" w:right="260" w:firstLine="399"/>
        <w:spacing w:after="0" w:line="286" w:lineRule="auto"/>
        <w:rPr>
          <w:sz w:val="20"/>
          <w:szCs w:val="20"/>
          <w:color w:val="auto"/>
        </w:rPr>
      </w:pPr>
      <w:r>
        <w:rPr>
          <w:rFonts w:ascii="Times New Roman" w:cs="Times New Roman" w:eastAsia="Times New Roman" w:hAnsi="Times New Roman"/>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7"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 xml:space="preserve">In our opinion, management’s assessment that Fidelity National Financial, Inc. maintained effective internal control over financial reporting as of December 31, 2006, is fairly stated, in all material respects, based on criteria established in </w:t>
      </w:r>
      <w:r>
        <w:rPr>
          <w:rFonts w:ascii="Times New Roman" w:cs="Times New Roman" w:eastAsia="Times New Roman" w:hAnsi="Times New Roman"/>
          <w:sz w:val="13"/>
          <w:szCs w:val="13"/>
          <w:u w:val="single" w:color="auto"/>
          <w:color w:val="auto"/>
        </w:rPr>
        <w:t>Internal Control — Integrated Framework</w:t>
      </w:r>
      <w:r>
        <w:rPr>
          <w:rFonts w:ascii="Times New Roman" w:cs="Times New Roman" w:eastAsia="Times New Roman" w:hAnsi="Times New Roman"/>
          <w:sz w:val="13"/>
          <w:szCs w:val="13"/>
          <w:color w:val="auto"/>
        </w:rPr>
        <w:t xml:space="preserve"> issued by the Committee of Sponsoring Organizations of the Treadway Commission (COSO). Also, in our opinion, Fidelity National Financial, Inc. maintained, in all material respects, effective internal control over financial reporting as of December 31, 2006, based on criteria established in </w:t>
      </w:r>
      <w:r>
        <w:rPr>
          <w:rFonts w:ascii="Times New Roman" w:cs="Times New Roman" w:eastAsia="Times New Roman" w:hAnsi="Times New Roman"/>
          <w:sz w:val="13"/>
          <w:szCs w:val="13"/>
          <w:u w:val="single" w:color="auto"/>
          <w:color w:val="auto"/>
        </w:rPr>
        <w:t>Internal Control — Integrated Framework</w:t>
      </w:r>
      <w:r>
        <w:rPr>
          <w:rFonts w:ascii="Times New Roman" w:cs="Times New Roman" w:eastAsia="Times New Roman" w:hAnsi="Times New Roman"/>
          <w:sz w:val="13"/>
          <w:szCs w:val="13"/>
          <w:color w:val="auto"/>
        </w:rPr>
        <w:t xml:space="preserve"> issued by the Committee of Sponsoring Organizations of the Treadway Commission (COSO).</w:t>
      </w:r>
    </w:p>
    <w:p>
      <w:pPr>
        <w:spacing w:after="0" w:line="62" w:lineRule="exact"/>
        <w:rPr>
          <w:sz w:val="20"/>
          <w:szCs w:val="20"/>
          <w:color w:val="auto"/>
        </w:rPr>
      </w:pPr>
    </w:p>
    <w:p>
      <w:pPr>
        <w:ind w:left="680" w:right="60" w:firstLine="399"/>
        <w:spacing w:after="0" w:line="269" w:lineRule="auto"/>
        <w:rPr>
          <w:sz w:val="20"/>
          <w:szCs w:val="20"/>
          <w:color w:val="auto"/>
        </w:rPr>
      </w:pPr>
      <w:r>
        <w:rPr>
          <w:rFonts w:ascii="Times New Roman" w:cs="Times New Roman" w:eastAsia="Times New Roman" w:hAnsi="Times New Roman"/>
          <w:sz w:val="13"/>
          <w:szCs w:val="13"/>
          <w:color w:val="auto"/>
        </w:rPr>
        <w:t>We also have audited, in accordance with the standards of the Public Company Accounting Oversight Board (United States), the Consolidated Balance Sheets of Fidelity National Financial, Inc. and subsidiaries as of December 31, 2006 and 2005, and the related Consolidated Statements of Earnings, Comprehensive Earnings, Stockholders’ Equity and Cash Flows for each of the years in the three-year period ended December 31, 2006, and our report dated March 1, 2007 expressed an unqualified opinion on those consolidated financial statements.</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 KPMG LLP</w:t>
      </w:r>
    </w:p>
    <w:p>
      <w:pPr>
        <w:spacing w:after="0" w:line="15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March 1, 2007</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Jacksonville, Florida</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Certified Public Accountants</w:t>
      </w:r>
    </w:p>
    <w:p>
      <w:pPr>
        <w:spacing w:after="0" w:line="2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61" w:name="page62"/>
    <w:bookmarkEnd w:id="61"/>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9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The Board of Directors and Stockholders</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Fidelity National Financial, Inc.:</w:t>
      </w:r>
    </w:p>
    <w:p>
      <w:pPr>
        <w:spacing w:after="0" w:line="83"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We have audited the accompanying Consolidated Balance Sheets of Fidelity National Financial, Inc. and subsidiaries as of December 31, 2006 and 2005 and the related Consolidated Statements of Earnings, Comprehensive Earnings, Stockholders’ Equity and Cash Flows for each of the years in the three-year period ended December 31, 2006. These Consolidated Financial Statements are the responsibility of the Company’s management. Our responsibility is to express an opinion on these Consolidated Financial Statements based on our audits.</w:t>
      </w:r>
    </w:p>
    <w:p>
      <w:pPr>
        <w:spacing w:after="0" w:line="58"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2" w:lineRule="exact"/>
        <w:rPr>
          <w:sz w:val="20"/>
          <w:szCs w:val="20"/>
          <w:color w:val="auto"/>
        </w:rPr>
      </w:pPr>
    </w:p>
    <w:p>
      <w:pPr>
        <w:ind w:left="680" w:right="100" w:firstLine="399"/>
        <w:spacing w:after="0" w:line="269" w:lineRule="auto"/>
        <w:rPr>
          <w:sz w:val="20"/>
          <w:szCs w:val="20"/>
          <w:color w:val="auto"/>
        </w:rPr>
      </w:pPr>
      <w:r>
        <w:rPr>
          <w:rFonts w:ascii="Times New Roman" w:cs="Times New Roman" w:eastAsia="Times New Roman" w:hAnsi="Times New Roman"/>
          <w:sz w:val="13"/>
          <w:szCs w:val="13"/>
          <w:color w:val="auto"/>
        </w:rPr>
        <w:t>In our opinion, the Consolidated Financial Statements referred to above present fairly, in all material respects, the consolidated financial position of Fidelity National Financial, Inc. and subsidiaries as of December 31, 2006 and 2005, and the results of their operations and their cash flows for each of the years in the three-year period ended December 31, 2006, in conformity with U.S. generally accepted accounting principles.</w:t>
      </w:r>
    </w:p>
    <w:p>
      <w:pPr>
        <w:spacing w:after="0" w:line="58" w:lineRule="exact"/>
        <w:rPr>
          <w:sz w:val="20"/>
          <w:szCs w:val="20"/>
          <w:color w:val="auto"/>
        </w:rPr>
      </w:pPr>
    </w:p>
    <w:p>
      <w:pPr>
        <w:jc w:val="both"/>
        <w:ind w:left="680" w:right="340" w:firstLine="399"/>
        <w:spacing w:after="0" w:line="263" w:lineRule="auto"/>
        <w:rPr>
          <w:sz w:val="20"/>
          <w:szCs w:val="20"/>
          <w:color w:val="auto"/>
        </w:rPr>
      </w:pPr>
      <w:r>
        <w:rPr>
          <w:rFonts w:ascii="Times New Roman" w:cs="Times New Roman" w:eastAsia="Times New Roman" w:hAnsi="Times New Roman"/>
          <w:sz w:val="13"/>
          <w:szCs w:val="13"/>
          <w:color w:val="auto"/>
        </w:rPr>
        <w:t>As discussed in Notes A and M to the Consolidated Financial Statements, effective January 1, 2006, the Company adopted the fair value method of accounting for stock-based compensation as required by Statement of Financial Accounting Standards No. 123(R), “Share-Based Payment.” As discussed in Note M to the Consolidated Financial Statements, the Company adopted the recognition and disclosure provisions of Statement of Financial Accounting Standards No. 158, “Employers’ Accounting for Defined Benefit Pension and Other Postretirement Plans,” as of December 31, 2006.</w:t>
      </w:r>
    </w:p>
    <w:p>
      <w:pPr>
        <w:spacing w:after="0" w:line="62"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 xml:space="preserve">We also have audited, in accordance with the standards of the Public Company Accounting Oversight Board (United States), the effectiveness of internal control over financial reporting of Fidelity National Financial, Inc. and subsidiaries as of December 31, 2006, based on criteria established in </w:t>
      </w:r>
      <w:r>
        <w:rPr>
          <w:rFonts w:ascii="Times New Roman" w:cs="Times New Roman" w:eastAsia="Times New Roman" w:hAnsi="Times New Roman"/>
          <w:sz w:val="13"/>
          <w:szCs w:val="13"/>
          <w:u w:val="single" w:color="auto"/>
          <w:color w:val="auto"/>
        </w:rPr>
        <w:t>Internal Control — Integrated Framework</w:t>
      </w:r>
      <w:r>
        <w:rPr>
          <w:rFonts w:ascii="Times New Roman" w:cs="Times New Roman" w:eastAsia="Times New Roman" w:hAnsi="Times New Roman"/>
          <w:sz w:val="13"/>
          <w:szCs w:val="13"/>
          <w:color w:val="auto"/>
        </w:rPr>
        <w:t xml:space="preserve"> issued by the Committee of Sponsoring Organizations of the Treadway Commission (COSO), and our report dated March 1, 2007 expressed an unqualified opinion on management’s assessment of, and the effective operation of, internal control over financial reporting.</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 KPMG LLP</w:t>
      </w:r>
    </w:p>
    <w:p>
      <w:pPr>
        <w:spacing w:after="0" w:line="15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March 1, 2007</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Jacksonville, Florida</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Certified Public Accountants</w:t>
      </w:r>
    </w:p>
    <w:p>
      <w:pPr>
        <w:spacing w:after="0" w:line="2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62" w:name="page63"/>
    <w:bookmarkEnd w:id="62"/>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80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82"/>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78"/>
              </w:rPr>
              <w:t>thousands,</w:t>
            </w: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21"/>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8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jc w:val="right"/>
              <w:ind w:right="42"/>
              <w:spacing w:after="0" w:line="79" w:lineRule="exact"/>
              <w:rPr>
                <w:sz w:val="20"/>
                <w:szCs w:val="20"/>
                <w:color w:val="auto"/>
              </w:rPr>
            </w:pPr>
            <w:r>
              <w:rPr>
                <w:rFonts w:ascii="Times New Roman" w:cs="Times New Roman" w:eastAsia="Times New Roman" w:hAnsi="Times New Roman"/>
                <w:sz w:val="9"/>
                <w:szCs w:val="9"/>
                <w:b w:val="1"/>
                <w:bCs w:val="1"/>
                <w:color w:val="auto"/>
              </w:rPr>
              <w:t>(In</w:t>
            </w:r>
          </w:p>
        </w:tc>
        <w:tc>
          <w:tcPr>
            <w:tcW w:w="380" w:type="dxa"/>
            <w:vAlign w:val="bottom"/>
            <w:vMerge w:val="continue"/>
          </w:tcPr>
          <w:p>
            <w:pPr>
              <w:spacing w:after="0"/>
              <w:rPr>
                <w:sz w:val="6"/>
                <w:szCs w:val="6"/>
                <w:color w:val="auto"/>
              </w:rPr>
            </w:pPr>
          </w:p>
        </w:tc>
        <w:tc>
          <w:tcPr>
            <w:tcW w:w="800" w:type="dxa"/>
            <w:vAlign w:val="bottom"/>
            <w:gridSpan w:val="2"/>
          </w:tcPr>
          <w:p>
            <w:pPr>
              <w:jc w:val="right"/>
              <w:ind w:right="401"/>
              <w:spacing w:after="0" w:line="79" w:lineRule="exact"/>
              <w:rPr>
                <w:sz w:val="20"/>
                <w:szCs w:val="20"/>
                <w:color w:val="auto"/>
              </w:rPr>
            </w:pPr>
            <w:r>
              <w:rPr>
                <w:rFonts w:ascii="Times New Roman" w:cs="Times New Roman" w:eastAsia="Times New Roman" w:hAnsi="Times New Roman"/>
                <w:sz w:val="9"/>
                <w:szCs w:val="9"/>
                <w:b w:val="1"/>
                <w:bCs w:val="1"/>
                <w:color w:val="auto"/>
              </w:rPr>
              <w:t>except</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8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share data)</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8000" w:type="dxa"/>
            <w:vAlign w:val="bottom"/>
            <w:shd w:val="clear" w:color="auto" w:fill="CCEEFF"/>
          </w:tcPr>
          <w:p>
            <w:pPr>
              <w:ind w:left="478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000" w:type="dxa"/>
            <w:vAlign w:val="bottom"/>
          </w:tcPr>
          <w:p>
            <w:pPr>
              <w:spacing w:after="0"/>
              <w:rPr>
                <w:sz w:val="20"/>
                <w:szCs w:val="20"/>
                <w:color w:val="auto"/>
              </w:rPr>
            </w:pPr>
            <w:r>
              <w:rPr>
                <w:rFonts w:ascii="Times New Roman" w:cs="Times New Roman" w:eastAsia="Times New Roman" w:hAnsi="Times New Roman"/>
                <w:sz w:val="12"/>
                <w:szCs w:val="12"/>
                <w:color w:val="auto"/>
              </w:rPr>
              <w:t>Investments: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Fixed maturities available for sale, at fair value, at December 31, 2006 and 2005, includes pledged fixed maturities of $288,420 and $305,717, respectively, related</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 secured trust deposits and $305,313 and $135,249, respectively, related to the securities lending program</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2,901,964</w:t>
            </w:r>
          </w:p>
        </w:tc>
        <w:tc>
          <w:tcPr>
            <w:tcW w:w="38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3,074,617</w:t>
            </w:r>
          </w:p>
        </w:tc>
        <w:tc>
          <w:tcPr>
            <w:tcW w:w="0" w:type="dxa"/>
            <w:vAlign w:val="bottom"/>
          </w:tcPr>
          <w:p>
            <w:pPr>
              <w:spacing w:after="0"/>
              <w:rPr>
                <w:sz w:val="1"/>
                <w:szCs w:val="1"/>
                <w:color w:val="auto"/>
              </w:rPr>
            </w:pPr>
          </w:p>
        </w:tc>
      </w:tr>
      <w:tr>
        <w:trPr>
          <w:trHeight w:val="147"/>
        </w:trPr>
        <w:tc>
          <w:tcPr>
            <w:tcW w:w="8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Equity securities, at fair value, at December 31, 2006 and 2005 includes $0 and $3,401, respectively, of pledged equities related to the securities lending program</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207,307</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210,168</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long-term investments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164,109</w:t>
            </w:r>
          </w:p>
        </w:tc>
        <w:tc>
          <w:tcPr>
            <w:tcW w:w="38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162,910</w:t>
            </w:r>
          </w:p>
        </w:tc>
        <w:tc>
          <w:tcPr>
            <w:tcW w:w="0" w:type="dxa"/>
            <w:vAlign w:val="bottom"/>
          </w:tcPr>
          <w:p>
            <w:pPr>
              <w:spacing w:after="0"/>
              <w:rPr>
                <w:sz w:val="1"/>
                <w:szCs w:val="1"/>
                <w:color w:val="auto"/>
              </w:rPr>
            </w:pPr>
          </w:p>
        </w:tc>
      </w:tr>
      <w:tr>
        <w:trPr>
          <w:trHeight w:val="138"/>
        </w:trPr>
        <w:tc>
          <w:tcPr>
            <w:tcW w:w="8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Short-term investments, at December 31, 2006 and 2005 includes $408,363 and $350,256, respectively, of pledged short-term investments related to secured trust</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deposits</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848,371</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1,116,494</w:t>
            </w: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investments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4,121,751</w:t>
            </w:r>
          </w:p>
        </w:tc>
        <w:tc>
          <w:tcPr>
            <w:tcW w:w="38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4,564,189</w:t>
            </w:r>
          </w:p>
        </w:tc>
        <w:tc>
          <w:tcPr>
            <w:tcW w:w="0" w:type="dxa"/>
            <w:vAlign w:val="bottom"/>
          </w:tcPr>
          <w:p>
            <w:pPr>
              <w:spacing w:after="0"/>
              <w:rPr>
                <w:sz w:val="1"/>
                <w:szCs w:val="1"/>
                <w:color w:val="auto"/>
              </w:rPr>
            </w:pPr>
          </w:p>
        </w:tc>
      </w:tr>
      <w:tr>
        <w:trPr>
          <w:trHeight w:val="138"/>
        </w:trPr>
        <w:tc>
          <w:tcPr>
            <w:tcW w:w="800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 at December 31, 2006 and 2005, includes pledged cash of $228,458 and $234,709, respectively, related to secured trust deposits and</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$316,019 and $143,412, respectively, related to the securities lending program</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676,444</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513,394</w:t>
            </w:r>
          </w:p>
        </w:tc>
        <w:tc>
          <w:tcPr>
            <w:tcW w:w="0" w:type="dxa"/>
            <w:vAlign w:val="bottom"/>
          </w:tcPr>
          <w:p>
            <w:pPr>
              <w:spacing w:after="0"/>
              <w:rPr>
                <w:sz w:val="1"/>
                <w:szCs w:val="1"/>
                <w:color w:val="auto"/>
              </w:rPr>
            </w:pPr>
          </w:p>
        </w:tc>
      </w:tr>
      <w:tr>
        <w:trPr>
          <w:trHeight w:val="1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 and notes receivables, net of allowance of $12,674 in 2006 and $34,037 in 2005</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251,544</w:t>
            </w:r>
          </w:p>
        </w:tc>
        <w:tc>
          <w:tcPr>
            <w:tcW w:w="38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637,808</w:t>
            </w:r>
          </w:p>
        </w:tc>
        <w:tc>
          <w:tcPr>
            <w:tcW w:w="0" w:type="dxa"/>
            <w:vAlign w:val="bottom"/>
          </w:tcPr>
          <w:p>
            <w:pPr>
              <w:spacing w:after="0"/>
              <w:rPr>
                <w:sz w:val="1"/>
                <w:szCs w:val="1"/>
                <w:color w:val="auto"/>
              </w:rPr>
            </w:pPr>
          </w:p>
        </w:tc>
      </w:tr>
      <w:tr>
        <w:trPr>
          <w:trHeight w:val="147"/>
        </w:trPr>
        <w:tc>
          <w:tcPr>
            <w:tcW w:w="800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1,154,298</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2,873,861</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Prepaid expenses and other assets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271,732</w:t>
            </w:r>
          </w:p>
        </w:tc>
        <w:tc>
          <w:tcPr>
            <w:tcW w:w="38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655,651</w:t>
            </w:r>
          </w:p>
        </w:tc>
        <w:tc>
          <w:tcPr>
            <w:tcW w:w="0" w:type="dxa"/>
            <w:vAlign w:val="bottom"/>
          </w:tcPr>
          <w:p>
            <w:pPr>
              <w:spacing w:after="0"/>
              <w:rPr>
                <w:sz w:val="1"/>
                <w:szCs w:val="1"/>
                <w:color w:val="auto"/>
              </w:rPr>
            </w:pPr>
          </w:p>
        </w:tc>
      </w:tr>
      <w:tr>
        <w:trPr>
          <w:trHeight w:val="147"/>
        </w:trPr>
        <w:tc>
          <w:tcPr>
            <w:tcW w:w="8000" w:type="dxa"/>
            <w:vAlign w:val="bottom"/>
          </w:tcPr>
          <w:p>
            <w:pPr>
              <w:spacing w:after="0"/>
              <w:rPr>
                <w:sz w:val="20"/>
                <w:szCs w:val="20"/>
                <w:color w:val="auto"/>
              </w:rPr>
            </w:pPr>
            <w:r>
              <w:rPr>
                <w:rFonts w:ascii="Times New Roman" w:cs="Times New Roman" w:eastAsia="Times New Roman" w:hAnsi="Times New Roman"/>
                <w:sz w:val="12"/>
                <w:szCs w:val="12"/>
                <w:color w:val="auto"/>
              </w:rPr>
              <w:t>Capitalized software</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83,538</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530,341</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intangible assets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95,787</w:t>
            </w:r>
          </w:p>
        </w:tc>
        <w:tc>
          <w:tcPr>
            <w:tcW w:w="38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641,420</w:t>
            </w:r>
          </w:p>
        </w:tc>
        <w:tc>
          <w:tcPr>
            <w:tcW w:w="0" w:type="dxa"/>
            <w:vAlign w:val="bottom"/>
          </w:tcPr>
          <w:p>
            <w:pPr>
              <w:spacing w:after="0"/>
              <w:rPr>
                <w:sz w:val="1"/>
                <w:szCs w:val="1"/>
                <w:color w:val="auto"/>
              </w:rPr>
            </w:pPr>
          </w:p>
        </w:tc>
      </w:tr>
      <w:tr>
        <w:trPr>
          <w:trHeight w:val="147"/>
        </w:trPr>
        <w:tc>
          <w:tcPr>
            <w:tcW w:w="8000" w:type="dxa"/>
            <w:vAlign w:val="bottom"/>
          </w:tcPr>
          <w:p>
            <w:pPr>
              <w:spacing w:after="0"/>
              <w:rPr>
                <w:sz w:val="20"/>
                <w:szCs w:val="20"/>
                <w:color w:val="auto"/>
              </w:rPr>
            </w:pPr>
            <w:r>
              <w:rPr>
                <w:rFonts w:ascii="Times New Roman" w:cs="Times New Roman" w:eastAsia="Times New Roman" w:hAnsi="Times New Roman"/>
                <w:sz w:val="12"/>
                <w:szCs w:val="12"/>
                <w:color w:val="auto"/>
              </w:rPr>
              <w:t>Title plants</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324,155</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312,801</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254,350</w:t>
            </w:r>
          </w:p>
        </w:tc>
        <w:tc>
          <w:tcPr>
            <w:tcW w:w="38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375,152</w:t>
            </w:r>
          </w:p>
        </w:tc>
        <w:tc>
          <w:tcPr>
            <w:tcW w:w="0" w:type="dxa"/>
            <w:vAlign w:val="bottom"/>
          </w:tcPr>
          <w:p>
            <w:pPr>
              <w:spacing w:after="0"/>
              <w:rPr>
                <w:sz w:val="1"/>
                <w:szCs w:val="1"/>
                <w:color w:val="auto"/>
              </w:rPr>
            </w:pPr>
          </w:p>
        </w:tc>
      </w:tr>
      <w:tr>
        <w:trPr>
          <w:trHeight w:val="147"/>
        </w:trPr>
        <w:tc>
          <w:tcPr>
            <w:tcW w:w="8000" w:type="dxa"/>
            <w:vAlign w:val="bottom"/>
          </w:tcPr>
          <w:p>
            <w:pPr>
              <w:spacing w:after="0"/>
              <w:rPr>
                <w:sz w:val="20"/>
                <w:szCs w:val="20"/>
                <w:color w:val="auto"/>
              </w:rPr>
            </w:pPr>
            <w:r>
              <w:rPr>
                <w:rFonts w:ascii="Times New Roman" w:cs="Times New Roman" w:eastAsia="Times New Roman" w:hAnsi="Times New Roman"/>
                <w:sz w:val="12"/>
                <w:szCs w:val="12"/>
                <w:color w:val="auto"/>
              </w:rPr>
              <w:t>Income taxes receivable</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25,960</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7,259,559</w:t>
            </w:r>
          </w:p>
        </w:tc>
        <w:tc>
          <w:tcPr>
            <w:tcW w:w="38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11,104,617</w:t>
            </w:r>
          </w:p>
        </w:tc>
        <w:tc>
          <w:tcPr>
            <w:tcW w:w="0" w:type="dxa"/>
            <w:vAlign w:val="bottom"/>
          </w:tcPr>
          <w:p>
            <w:pPr>
              <w:spacing w:after="0"/>
              <w:rPr>
                <w:sz w:val="1"/>
                <w:szCs w:val="1"/>
                <w:color w:val="auto"/>
              </w:rPr>
            </w:pPr>
          </w:p>
        </w:tc>
      </w:tr>
      <w:tr>
        <w:trPr>
          <w:trHeight w:val="274"/>
        </w:trPr>
        <w:tc>
          <w:tcPr>
            <w:tcW w:w="8000" w:type="dxa"/>
            <w:vAlign w:val="bottom"/>
          </w:tcPr>
          <w:p>
            <w:pPr>
              <w:ind w:left="3720"/>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14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Liabilities: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 and accrued liabilities, at December 31, 2006 and 2005, includes $316,019 and $143,412, respectively, of security loans related to the securities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lending program</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937,687</w:t>
            </w:r>
          </w:p>
        </w:tc>
        <w:tc>
          <w:tcPr>
            <w:tcW w:w="380" w:type="dxa"/>
            <w:vAlign w:val="bottom"/>
          </w:tcPr>
          <w:p>
            <w:pPr>
              <w:spacing w:after="0"/>
              <w:rPr>
                <w:sz w:val="13"/>
                <w:szCs w:val="13"/>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1,241,860</w:t>
            </w:r>
          </w:p>
        </w:tc>
        <w:tc>
          <w:tcPr>
            <w:tcW w:w="0" w:type="dxa"/>
            <w:vAlign w:val="bottom"/>
          </w:tcPr>
          <w:p>
            <w:pPr>
              <w:spacing w:after="0"/>
              <w:rPr>
                <w:sz w:val="1"/>
                <w:szCs w:val="1"/>
                <w:color w:val="auto"/>
              </w:rPr>
            </w:pPr>
          </w:p>
        </w:tc>
      </w:tr>
      <w:tr>
        <w:trPr>
          <w:trHeight w:val="149"/>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Deferred revenue</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130,543</w:t>
            </w:r>
          </w:p>
        </w:tc>
        <w:tc>
          <w:tcPr>
            <w:tcW w:w="38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494,888</w:t>
            </w:r>
          </w:p>
        </w:tc>
        <w:tc>
          <w:tcPr>
            <w:tcW w:w="0" w:type="dxa"/>
            <w:vAlign w:val="bottom"/>
          </w:tcPr>
          <w:p>
            <w:pPr>
              <w:spacing w:after="0"/>
              <w:rPr>
                <w:sz w:val="1"/>
                <w:szCs w:val="1"/>
                <w:color w:val="auto"/>
              </w:rPr>
            </w:pPr>
          </w:p>
        </w:tc>
      </w:tr>
      <w:tr>
        <w:trPr>
          <w:trHeight w:val="147"/>
        </w:trPr>
        <w:tc>
          <w:tcPr>
            <w:tcW w:w="8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Notes payable</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491,167</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3,217,019</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Reserve for claim losses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1,220,636</w:t>
            </w:r>
          </w:p>
        </w:tc>
        <w:tc>
          <w:tcPr>
            <w:tcW w:w="38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1,113,506</w:t>
            </w:r>
          </w:p>
        </w:tc>
        <w:tc>
          <w:tcPr>
            <w:tcW w:w="0" w:type="dxa"/>
            <w:vAlign w:val="bottom"/>
          </w:tcPr>
          <w:p>
            <w:pPr>
              <w:spacing w:after="0"/>
              <w:rPr>
                <w:sz w:val="1"/>
                <w:szCs w:val="1"/>
                <w:color w:val="auto"/>
              </w:rPr>
            </w:pPr>
          </w:p>
        </w:tc>
      </w:tr>
      <w:tr>
        <w:trPr>
          <w:trHeight w:val="147"/>
        </w:trPr>
        <w:tc>
          <w:tcPr>
            <w:tcW w:w="8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Secured trust deposits</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905,461</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882,602</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Deferred tax liabilities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43,653</w:t>
            </w:r>
          </w:p>
        </w:tc>
        <w:tc>
          <w:tcPr>
            <w:tcW w:w="38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130,846</w:t>
            </w:r>
          </w:p>
        </w:tc>
        <w:tc>
          <w:tcPr>
            <w:tcW w:w="0" w:type="dxa"/>
            <w:vAlign w:val="bottom"/>
          </w:tcPr>
          <w:p>
            <w:pPr>
              <w:spacing w:after="0"/>
              <w:rPr>
                <w:sz w:val="1"/>
                <w:szCs w:val="1"/>
                <w:color w:val="auto"/>
              </w:rPr>
            </w:pPr>
          </w:p>
        </w:tc>
      </w:tr>
      <w:tr>
        <w:trPr>
          <w:trHeight w:val="147"/>
        </w:trPr>
        <w:tc>
          <w:tcPr>
            <w:tcW w:w="8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Income taxes payable</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107,817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3,729,147</w:t>
            </w:r>
          </w:p>
        </w:tc>
        <w:tc>
          <w:tcPr>
            <w:tcW w:w="38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7,188,538</w:t>
            </w:r>
          </w:p>
        </w:tc>
        <w:tc>
          <w:tcPr>
            <w:tcW w:w="0" w:type="dxa"/>
            <w:vAlign w:val="bottom"/>
          </w:tcPr>
          <w:p>
            <w:pPr>
              <w:spacing w:after="0"/>
              <w:rPr>
                <w:sz w:val="1"/>
                <w:szCs w:val="1"/>
                <w:color w:val="auto"/>
              </w:rPr>
            </w:pPr>
          </w:p>
        </w:tc>
      </w:tr>
      <w:tr>
        <w:trPr>
          <w:trHeight w:val="147"/>
        </w:trPr>
        <w:tc>
          <w:tcPr>
            <w:tcW w:w="8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Minority interests and preferred stock of subsidiary</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56,044</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636,304</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Common stock, Class A, $.0001 par value; authorized, 600,000,000 shares and 300,000,000 shares as of December 31, 2006 and 2005, respectively; issued,</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221,507,939 and 31,147,357 at December 31, 2006 and 2005, respectively</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40"/>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Common stock, Class B, $0.0001 par value; no shares authorized or outstanding at December 31, 2006; authorized, 300,000,000 shares at December 31, 2005;</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outstanding, 143,172,183 shares at December 31, 2005</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47"/>
        </w:trPr>
        <w:tc>
          <w:tcPr>
            <w:tcW w:w="8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3,193,904</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3,254,960</w:t>
            </w:r>
          </w:p>
        </w:tc>
        <w:tc>
          <w:tcPr>
            <w:tcW w:w="0" w:type="dxa"/>
            <w:vAlign w:val="bottom"/>
          </w:tcPr>
          <w:p>
            <w:pPr>
              <w:spacing w:after="0"/>
              <w:rPr>
                <w:sz w:val="1"/>
                <w:szCs w:val="1"/>
                <w:color w:val="auto"/>
              </w:rPr>
            </w:pPr>
          </w:p>
        </w:tc>
      </w:tr>
      <w:tr>
        <w:trPr>
          <w:trHeight w:val="147"/>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Retained earnings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345,516</w:t>
            </w:r>
          </w:p>
        </w:tc>
        <w:tc>
          <w:tcPr>
            <w:tcW w:w="38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103,665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3,539,442</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3,358,642</w:t>
            </w:r>
          </w:p>
        </w:tc>
        <w:tc>
          <w:tcPr>
            <w:tcW w:w="0" w:type="dxa"/>
            <w:vAlign w:val="bottom"/>
          </w:tcPr>
          <w:p>
            <w:pPr>
              <w:spacing w:after="0"/>
              <w:rPr>
                <w:sz w:val="1"/>
                <w:szCs w:val="1"/>
                <w:color w:val="auto"/>
              </w:rPr>
            </w:pPr>
          </w:p>
        </w:tc>
      </w:tr>
      <w:tr>
        <w:trPr>
          <w:trHeight w:val="149"/>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2"/>
                <w:szCs w:val="12"/>
                <w:color w:val="auto"/>
              </w:rPr>
              <w:t>(63,046)</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(78,867)</w:t>
            </w:r>
          </w:p>
        </w:tc>
        <w:tc>
          <w:tcPr>
            <w:tcW w:w="0" w:type="dxa"/>
            <w:vAlign w:val="bottom"/>
          </w:tcPr>
          <w:p>
            <w:pPr>
              <w:spacing w:after="0"/>
              <w:rPr>
                <w:sz w:val="1"/>
                <w:szCs w:val="1"/>
                <w:color w:val="auto"/>
              </w:rPr>
            </w:pPr>
          </w:p>
        </w:tc>
      </w:tr>
      <w:tr>
        <w:trPr>
          <w:trHeight w:val="147"/>
        </w:trPr>
        <w:tc>
          <w:tcPr>
            <w:tcW w:w="8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Less treasury stock, 94,781 shares as of December 31, 2006, at cost</w:t>
            </w:r>
          </w:p>
        </w:tc>
        <w:tc>
          <w:tcPr>
            <w:tcW w:w="140" w:type="dxa"/>
            <w:vAlign w:val="bottom"/>
          </w:tcPr>
          <w:p>
            <w:pPr>
              <w:spacing w:after="0"/>
              <w:rPr>
                <w:sz w:val="12"/>
                <w:szCs w:val="12"/>
                <w:color w:val="auto"/>
              </w:rPr>
            </w:pPr>
          </w:p>
        </w:tc>
        <w:tc>
          <w:tcPr>
            <w:tcW w:w="940" w:type="dxa"/>
            <w:vAlign w:val="bottom"/>
            <w:gridSpan w:val="2"/>
          </w:tcPr>
          <w:p>
            <w:pPr>
              <w:jc w:val="right"/>
              <w:ind w:right="288"/>
              <w:spacing w:after="0"/>
              <w:rPr>
                <w:sz w:val="20"/>
                <w:szCs w:val="20"/>
                <w:color w:val="auto"/>
              </w:rPr>
            </w:pPr>
            <w:r>
              <w:rPr>
                <w:rFonts w:ascii="Times New Roman" w:cs="Times New Roman" w:eastAsia="Times New Roman" w:hAnsi="Times New Roman"/>
                <w:sz w:val="12"/>
                <w:szCs w:val="12"/>
                <w:color w:val="auto"/>
              </w:rPr>
              <w:t>(2,028)</w:t>
            </w:r>
          </w:p>
        </w:tc>
        <w:tc>
          <w:tcPr>
            <w:tcW w:w="2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3,474,368</w:t>
            </w:r>
          </w:p>
        </w:tc>
        <w:tc>
          <w:tcPr>
            <w:tcW w:w="38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3,279,775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000" w:type="dxa"/>
            <w:vAlign w:val="bottom"/>
          </w:tcPr>
          <w:p>
            <w:pPr>
              <w:spacing w:after="0"/>
              <w:rPr>
                <w:sz w:val="12"/>
                <w:szCs w:val="12"/>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7,259,559</w:t>
            </w:r>
          </w:p>
        </w:tc>
        <w:tc>
          <w:tcPr>
            <w:tcW w:w="380" w:type="dxa"/>
            <w:vAlign w:val="bottom"/>
          </w:tcPr>
          <w:p>
            <w:pPr>
              <w:spacing w:after="0"/>
              <w:rPr>
                <w:sz w:val="12"/>
                <w:szCs w:val="12"/>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11,104,617</w:t>
            </w:r>
          </w:p>
        </w:tc>
        <w:tc>
          <w:tcPr>
            <w:tcW w:w="0" w:type="dxa"/>
            <w:vAlign w:val="bottom"/>
          </w:tcPr>
          <w:p>
            <w:pPr>
              <w:spacing w:after="0"/>
              <w:rPr>
                <w:sz w:val="1"/>
                <w:szCs w:val="1"/>
                <w:color w:val="auto"/>
              </w:rPr>
            </w:pPr>
          </w:p>
        </w:tc>
      </w:tr>
      <w:tr>
        <w:trPr>
          <w:trHeight w:val="31"/>
        </w:trPr>
        <w:tc>
          <w:tcPr>
            <w:tcW w:w="8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63" w:name="page64"/>
    <w:bookmarkEnd w:id="63"/>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CONSOLIDATED STATEMENTS OF EARNINGS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98"/>
        </w:trPr>
        <w:tc>
          <w:tcPr>
            <w:tcW w:w="68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5"/>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center"/>
              <w:ind w:right="95"/>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2005</w:t>
            </w: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15"/>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3"/>
        </w:trPr>
        <w:tc>
          <w:tcPr>
            <w:tcW w:w="68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80" w:type="dxa"/>
            <w:vAlign w:val="bottom"/>
            <w:gridSpan w:val="7"/>
          </w:tcPr>
          <w:p>
            <w:pPr>
              <w:jc w:val="center"/>
              <w:ind w:left="375"/>
              <w:spacing w:after="0"/>
              <w:rPr>
                <w:sz w:val="20"/>
                <w:szCs w:val="20"/>
                <w:color w:val="auto"/>
              </w:rPr>
            </w:pPr>
            <w:r>
              <w:rPr>
                <w:rFonts w:ascii="Times New Roman" w:cs="Times New Roman" w:eastAsia="Times New Roman" w:hAnsi="Times New Roman"/>
                <w:sz w:val="10"/>
                <w:szCs w:val="10"/>
                <w:b w:val="1"/>
                <w:bCs w:val="1"/>
                <w:color w:val="auto"/>
              </w:rPr>
              <w:t>(In thousands, except per share data)</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1"/>
        </w:trPr>
        <w:tc>
          <w:tcPr>
            <w:tcW w:w="68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6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Direct title insurance premiums</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1,957,064</w:t>
            </w:r>
          </w:p>
        </w:tc>
        <w:tc>
          <w:tcPr>
            <w:tcW w:w="440" w:type="dxa"/>
            <w:vAlign w:val="bottom"/>
            <w:gridSpan w:val="2"/>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2,261,499</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2,128,902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Agency title insurance premiums</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2,649,136</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2,683,545</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2,610,426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Escrow and other title related fees</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1,061,469</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1,157,022</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1,042,243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Transaction processing</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3,094,370</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2,570,372</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2,118,672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Specialty insurance</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394,613</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428,939</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239,256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and investment income</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208,309</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144,966</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70,692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 on sale of minority interest in FIS</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318,209</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Realized gains and losses, net</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18,562</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41,071</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36,961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income</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52,578</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48,957</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48,668</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9,436,101</w:t>
            </w:r>
          </w:p>
        </w:tc>
        <w:tc>
          <w:tcPr>
            <w:tcW w:w="44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9,654,580</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8,295,820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Personnel costs</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3,225,319</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3,224,678</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2,786,297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operating expenses</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2,075,101</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1,702,353</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1,598,942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Agent commissions</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2,035,423</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2,060,467</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2,028,926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460,750</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406,259</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338,434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Provision for claim losses</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486,334</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480,556</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311,916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209,972</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172,327</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47,214</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8,492,899</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8,046,640</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7,111,729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Earnings before income taxes and minority interest</w:t>
            </w: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943,202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1,607,940</w:t>
            </w:r>
          </w:p>
        </w:tc>
        <w:tc>
          <w:tcPr>
            <w:tcW w:w="3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1,184,091</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 expense</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350,871</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573,391</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438,114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Earnings before minority interest</w:t>
            </w: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592,331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1,034,549</w:t>
            </w:r>
          </w:p>
        </w:tc>
        <w:tc>
          <w:tcPr>
            <w:tcW w:w="3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745,977</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Minority interest</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154,570</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70,443</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5,015</w:t>
            </w:r>
          </w:p>
        </w:tc>
        <w:tc>
          <w:tcPr>
            <w:tcW w:w="800" w:type="dxa"/>
            <w:vAlign w:val="bottom"/>
          </w:tcPr>
          <w:p>
            <w:pPr>
              <w:spacing w:after="0"/>
              <w:rPr>
                <w:sz w:val="13"/>
                <w:szCs w:val="13"/>
                <w:color w:val="auto"/>
              </w:rPr>
            </w:pPr>
          </w:p>
        </w:tc>
      </w:tr>
      <w:tr>
        <w:trPr>
          <w:trHeight w:val="171"/>
        </w:trPr>
        <w:tc>
          <w:tcPr>
            <w:tcW w:w="680" w:type="dxa"/>
            <w:vAlign w:val="bottom"/>
          </w:tcPr>
          <w:p>
            <w:pPr>
              <w:spacing w:after="0"/>
              <w:rPr>
                <w:sz w:val="14"/>
                <w:szCs w:val="14"/>
                <w:color w:val="auto"/>
              </w:rPr>
            </w:pPr>
          </w:p>
        </w:tc>
        <w:tc>
          <w:tcPr>
            <w:tcW w:w="6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earnings</w:t>
            </w: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437,761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964,106</w:t>
            </w:r>
          </w:p>
        </w:tc>
        <w:tc>
          <w:tcPr>
            <w:tcW w:w="3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740,962</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80" w:type="dxa"/>
            <w:vAlign w:val="bottom"/>
          </w:tcPr>
          <w:p>
            <w:pPr>
              <w:spacing w:after="0"/>
              <w:rPr>
                <w:sz w:val="14"/>
                <w:szCs w:val="14"/>
                <w:color w:val="auto"/>
              </w:rPr>
            </w:pPr>
          </w:p>
        </w:tc>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Basic net earnings per share</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2.40</w:t>
            </w:r>
          </w:p>
        </w:tc>
        <w:tc>
          <w:tcPr>
            <w:tcW w:w="44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5.56</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81"/>
        </w:trPr>
        <w:tc>
          <w:tcPr>
            <w:tcW w:w="680" w:type="dxa"/>
            <w:vAlign w:val="bottom"/>
          </w:tcPr>
          <w:p>
            <w:pPr>
              <w:spacing w:after="0"/>
              <w:rPr>
                <w:sz w:val="15"/>
                <w:szCs w:val="15"/>
                <w:color w:val="auto"/>
              </w:rPr>
            </w:pPr>
          </w:p>
        </w:tc>
        <w:tc>
          <w:tcPr>
            <w:tcW w:w="6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Weighted average shares outstanding, basic basis</w:t>
            </w:r>
          </w:p>
        </w:tc>
        <w:tc>
          <w:tcPr>
            <w:tcW w:w="1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182,031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173,463</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2"/>
        </w:trPr>
        <w:tc>
          <w:tcPr>
            <w:tcW w:w="680" w:type="dxa"/>
            <w:vAlign w:val="bottom"/>
          </w:tcPr>
          <w:p>
            <w:pPr>
              <w:spacing w:after="0"/>
              <w:rPr>
                <w:sz w:val="14"/>
                <w:szCs w:val="14"/>
                <w:color w:val="auto"/>
              </w:rPr>
            </w:pPr>
          </w:p>
        </w:tc>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Diluted net earnings per share</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2.39</w:t>
            </w:r>
          </w:p>
        </w:tc>
        <w:tc>
          <w:tcPr>
            <w:tcW w:w="44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5.55</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81"/>
        </w:trPr>
        <w:tc>
          <w:tcPr>
            <w:tcW w:w="680" w:type="dxa"/>
            <w:vAlign w:val="bottom"/>
          </w:tcPr>
          <w:p>
            <w:pPr>
              <w:spacing w:after="0"/>
              <w:rPr>
                <w:sz w:val="15"/>
                <w:szCs w:val="15"/>
                <w:color w:val="auto"/>
              </w:rPr>
            </w:pPr>
          </w:p>
        </w:tc>
        <w:tc>
          <w:tcPr>
            <w:tcW w:w="6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Weighted average shares outstanding, diluted basis</w:t>
            </w:r>
          </w:p>
        </w:tc>
        <w:tc>
          <w:tcPr>
            <w:tcW w:w="1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182,861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173,575</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2"/>
        </w:trPr>
        <w:tc>
          <w:tcPr>
            <w:tcW w:w="680" w:type="dxa"/>
            <w:vAlign w:val="bottom"/>
          </w:tcPr>
          <w:p>
            <w:pPr>
              <w:spacing w:after="0"/>
              <w:rPr>
                <w:sz w:val="14"/>
                <w:szCs w:val="14"/>
                <w:color w:val="auto"/>
              </w:rPr>
            </w:pPr>
          </w:p>
        </w:tc>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Unaudited pro forma net earnings per share — basic and diluted</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4.28</w:t>
            </w:r>
          </w:p>
        </w:tc>
        <w:tc>
          <w:tcPr>
            <w:tcW w:w="800" w:type="dxa"/>
            <w:vAlign w:val="bottom"/>
          </w:tcPr>
          <w:p>
            <w:pPr>
              <w:spacing w:after="0"/>
              <w:rPr>
                <w:sz w:val="14"/>
                <w:szCs w:val="14"/>
                <w:color w:val="auto"/>
              </w:rPr>
            </w:pPr>
          </w:p>
        </w:tc>
      </w:tr>
      <w:tr>
        <w:trPr>
          <w:trHeight w:val="177"/>
        </w:trPr>
        <w:tc>
          <w:tcPr>
            <w:tcW w:w="680" w:type="dxa"/>
            <w:vAlign w:val="bottom"/>
          </w:tcPr>
          <w:p>
            <w:pPr>
              <w:spacing w:after="0"/>
              <w:rPr>
                <w:sz w:val="15"/>
                <w:szCs w:val="15"/>
                <w:color w:val="auto"/>
              </w:rPr>
            </w:pPr>
          </w:p>
        </w:tc>
        <w:tc>
          <w:tcPr>
            <w:tcW w:w="6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Unaudited pro forma weighted average shares outstanding — basic and diluted</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172,951</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7"/>
        </w:trPr>
        <w:tc>
          <w:tcPr>
            <w:tcW w:w="680" w:type="dxa"/>
            <w:vAlign w:val="bottom"/>
          </w:tcPr>
          <w:p>
            <w:pPr>
              <w:spacing w:after="0"/>
              <w:rPr>
                <w:sz w:val="18"/>
                <w:szCs w:val="18"/>
                <w:color w:val="auto"/>
              </w:rPr>
            </w:pPr>
          </w:p>
        </w:tc>
        <w:tc>
          <w:tcPr>
            <w:tcW w:w="6700" w:type="dxa"/>
            <w:vAlign w:val="bottom"/>
          </w:tcPr>
          <w:p>
            <w:pPr>
              <w:ind w:left="372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452"/>
        </w:trPr>
        <w:tc>
          <w:tcPr>
            <w:tcW w:w="680" w:type="dxa"/>
            <w:vAlign w:val="bottom"/>
          </w:tcPr>
          <w:p>
            <w:pPr>
              <w:spacing w:after="0"/>
              <w:rPr>
                <w:sz w:val="24"/>
                <w:szCs w:val="24"/>
                <w:color w:val="auto"/>
              </w:rPr>
            </w:pPr>
          </w:p>
        </w:tc>
        <w:tc>
          <w:tcPr>
            <w:tcW w:w="6700" w:type="dxa"/>
            <w:vAlign w:val="bottom"/>
          </w:tcPr>
          <w:p>
            <w:pPr>
              <w:ind w:left="4940"/>
              <w:spacing w:after="0"/>
              <w:rPr>
                <w:sz w:val="20"/>
                <w:szCs w:val="20"/>
                <w:color w:val="auto"/>
              </w:rPr>
            </w:pPr>
            <w:r>
              <w:rPr>
                <w:rFonts w:ascii="Times New Roman" w:cs="Times New Roman" w:eastAsia="Times New Roman" w:hAnsi="Times New Roman"/>
                <w:sz w:val="13"/>
                <w:szCs w:val="13"/>
                <w:color w:val="auto"/>
              </w:rPr>
              <w:t>61</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67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64" w:name="page65"/>
    <w:bookmarkEnd w:id="64"/>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CONSOLIDATED STATEMENTS OF COMPREHENSIVE EARNINGS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13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130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8"/>
                <w:szCs w:val="8"/>
                <w:color w:val="auto"/>
              </w:rPr>
            </w:pPr>
          </w:p>
        </w:tc>
      </w:tr>
      <w:tr>
        <w:trPr>
          <w:trHeight w:val="133"/>
        </w:trPr>
        <w:tc>
          <w:tcPr>
            <w:tcW w:w="13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earnings</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437,761</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964,106</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740,962</w:t>
            </w:r>
          </w:p>
        </w:tc>
      </w:tr>
      <w:tr>
        <w:trPr>
          <w:trHeight w:val="157"/>
        </w:trPr>
        <w:tc>
          <w:tcPr>
            <w:tcW w:w="7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comprehensive earnings (loss):</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Unrealized gains (losses) on investments, net (1)</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25,632</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(23,545)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8,299</w:t>
            </w:r>
          </w:p>
        </w:tc>
      </w:tr>
      <w:tr>
        <w:trPr>
          <w:trHeight w:val="157"/>
        </w:trPr>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Foreign currency translation unrealized (loss) gain (2)</w:t>
            </w:r>
          </w:p>
        </w:tc>
        <w:tc>
          <w:tcPr>
            <w:tcW w:w="16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(497)</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(19,637)</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14,819</w:t>
            </w:r>
          </w:p>
        </w:tc>
      </w:tr>
      <w:tr>
        <w:trPr>
          <w:trHeight w:val="157"/>
        </w:trPr>
        <w:tc>
          <w:tcPr>
            <w:tcW w:w="7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Reclassification adjustments for gains included in net earnings (3)</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(13,398)</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(18,904)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(28,816)</w:t>
            </w:r>
          </w:p>
        </w:tc>
      </w:tr>
      <w:tr>
        <w:trPr>
          <w:trHeight w:val="157"/>
        </w:trPr>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Reclassification adjustments relating to minority interests</w:t>
            </w:r>
          </w:p>
        </w:tc>
        <w:tc>
          <w:tcPr>
            <w:tcW w:w="16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(2,295)</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17,356</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Minimum pension liability adjustment (4)</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6,379</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(6,784)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(11,764)</w:t>
            </w:r>
          </w:p>
        </w:tc>
      </w:tr>
      <w:tr>
        <w:trPr>
          <w:trHeight w:val="157"/>
        </w:trPr>
        <w:tc>
          <w:tcPr>
            <w:tcW w:w="7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comprehensive earnings (loss)</w:t>
            </w: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15,821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(51,514)</w:t>
            </w:r>
          </w:p>
        </w:tc>
        <w:tc>
          <w:tcPr>
            <w:tcW w:w="4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(17,462)</w:t>
            </w:r>
          </w:p>
        </w:tc>
        <w:tc>
          <w:tcPr>
            <w:tcW w:w="100" w:type="dxa"/>
            <w:vAlign w:val="bottom"/>
          </w:tcPr>
          <w:p>
            <w:pPr>
              <w:spacing w:after="0"/>
              <w:rPr>
                <w:sz w:val="13"/>
                <w:szCs w:val="13"/>
                <w:color w:val="auto"/>
              </w:rPr>
            </w:pPr>
          </w:p>
        </w:tc>
      </w:tr>
      <w:tr>
        <w:trPr>
          <w:trHeight w:val="166"/>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earnings</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453,582</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912,592</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723,500</w:t>
            </w:r>
          </w:p>
        </w:tc>
      </w:tr>
      <w:tr>
        <w:trPr>
          <w:trHeight w:val="108"/>
        </w:trPr>
        <w:tc>
          <w:tcPr>
            <w:tcW w:w="1300" w:type="dxa"/>
            <w:vAlign w:val="bottom"/>
            <w:tcBorders>
              <w:bottom w:val="single" w:sz="8" w:color="auto"/>
            </w:tcBorders>
          </w:tcPr>
          <w:p>
            <w:pPr>
              <w:spacing w:after="0"/>
              <w:rPr>
                <w:sz w:val="9"/>
                <w:szCs w:val="9"/>
                <w:color w:val="auto"/>
              </w:rPr>
            </w:pPr>
          </w:p>
        </w:tc>
        <w:tc>
          <w:tcPr>
            <w:tcW w:w="57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36" w:lineRule="exact"/>
        <w:rPr>
          <w:sz w:val="20"/>
          <w:szCs w:val="20"/>
          <w:color w:val="auto"/>
        </w:rPr>
      </w:pPr>
    </w:p>
    <w:p>
      <w:pPr>
        <w:ind w:left="1180" w:hanging="243"/>
        <w:spacing w:after="0"/>
        <w:tabs>
          <w:tab w:leader="none" w:pos="11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of income tax (benefit) expense of $15.2 million, $(12.9) million, and $5.7 million for 2006, 2005 and 2004, respectively.</w:t>
      </w:r>
    </w:p>
    <w:p>
      <w:pPr>
        <w:spacing w:after="0" w:line="47" w:lineRule="exact"/>
        <w:rPr>
          <w:rFonts w:ascii="Times New Roman" w:cs="Times New Roman" w:eastAsia="Times New Roman" w:hAnsi="Times New Roman"/>
          <w:sz w:val="13"/>
          <w:szCs w:val="13"/>
          <w:color w:val="auto"/>
        </w:rPr>
      </w:pPr>
    </w:p>
    <w:p>
      <w:pPr>
        <w:ind w:left="1180" w:hanging="243"/>
        <w:spacing w:after="0"/>
        <w:tabs>
          <w:tab w:leader="none" w:pos="11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of income tax expense (benefit) of $(0.1) million, $(0.5) million, and $0.7 million for 2006, 2005 and 2004, respectively.</w:t>
      </w:r>
    </w:p>
    <w:p>
      <w:pPr>
        <w:spacing w:after="0" w:line="47" w:lineRule="exact"/>
        <w:rPr>
          <w:rFonts w:ascii="Times New Roman" w:cs="Times New Roman" w:eastAsia="Times New Roman" w:hAnsi="Times New Roman"/>
          <w:sz w:val="13"/>
          <w:szCs w:val="13"/>
          <w:color w:val="auto"/>
        </w:rPr>
      </w:pPr>
    </w:p>
    <w:p>
      <w:pPr>
        <w:ind w:left="1180" w:hanging="243"/>
        <w:spacing w:after="0"/>
        <w:tabs>
          <w:tab w:leader="none" w:pos="11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of income tax expense (benefit) of $7.9 million, $11.1 million, and $17.8 million for 2006, 2005 and 2004, respectively.</w:t>
      </w:r>
    </w:p>
    <w:p>
      <w:pPr>
        <w:spacing w:after="0" w:line="47" w:lineRule="exact"/>
        <w:rPr>
          <w:rFonts w:ascii="Times New Roman" w:cs="Times New Roman" w:eastAsia="Times New Roman" w:hAnsi="Times New Roman"/>
          <w:sz w:val="13"/>
          <w:szCs w:val="13"/>
          <w:color w:val="auto"/>
        </w:rPr>
      </w:pPr>
    </w:p>
    <w:p>
      <w:pPr>
        <w:ind w:left="1180" w:hanging="243"/>
        <w:spacing w:after="0"/>
        <w:tabs>
          <w:tab w:leader="none" w:pos="11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of income tax benefit of $4.0 million, $(2.0) million, and $(6.9) million for 2006, 2005 and 2004, respectively.</w:t>
      </w:r>
    </w:p>
    <w:p>
      <w:pPr>
        <w:spacing w:after="0" w:line="5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65" w:name="page66"/>
    <w:bookmarkEnd w:id="65"/>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3"/>
          <w:szCs w:val="13"/>
          <w:b w:val="1"/>
          <w:bCs w:val="1"/>
          <w:color w:val="auto"/>
        </w:rPr>
        <w:t>CONSOLIDATED STATEMENTS OF STOCKHOLDERS’ EQUITY</w:t>
      </w:r>
    </w:p>
    <w:p>
      <w:pPr>
        <w:spacing w:after="0" w:line="106" w:lineRule="exact"/>
        <w:rPr>
          <w:sz w:val="20"/>
          <w:szCs w:val="20"/>
          <w:color w:val="auto"/>
        </w:rPr>
      </w:pPr>
    </w:p>
    <w:tbl>
      <w:tblPr>
        <w:tblLayout w:type="fixed"/>
        <w:tblInd w:w="3320" w:type="dxa"/>
        <w:tblCellMar>
          <w:top w:w="0" w:type="dxa"/>
          <w:left w:w="0" w:type="dxa"/>
          <w:bottom w:w="0" w:type="dxa"/>
          <w:right w:w="0" w:type="dxa"/>
        </w:tblCellMar>
      </w:tblPr>
      <w:tr>
        <w:trPr>
          <w:trHeight w:val="108"/>
        </w:trPr>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3"/>
            <w:vMerge w:val="restart"/>
          </w:tcPr>
          <w:p>
            <w:pPr>
              <w:ind w:left="200"/>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3"/>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Investment by</w:t>
            </w: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5"/>
              </w:rPr>
              <w:t>Other</w:t>
            </w:r>
          </w:p>
        </w:tc>
        <w:tc>
          <w:tcPr>
            <w:tcW w:w="880" w:type="dxa"/>
            <w:vAlign w:val="bottom"/>
            <w:gridSpan w:val="3"/>
            <w:vMerge w:val="restart"/>
          </w:tcPr>
          <w:p>
            <w:pPr>
              <w:ind w:left="140"/>
              <w:spacing w:after="0"/>
              <w:rPr>
                <w:sz w:val="20"/>
                <w:szCs w:val="20"/>
                <w:color w:val="auto"/>
              </w:rPr>
            </w:pPr>
            <w:r>
              <w:rPr>
                <w:rFonts w:ascii="Times New Roman" w:cs="Times New Roman" w:eastAsia="Times New Roman" w:hAnsi="Times New Roman"/>
                <w:sz w:val="9"/>
                <w:szCs w:val="9"/>
                <w:b w:val="1"/>
                <w:bCs w:val="1"/>
                <w:color w:val="auto"/>
              </w:rPr>
              <w:t>Treasury Stock</w:t>
            </w: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gridSpan w:val="3"/>
          </w:tcPr>
          <w:p>
            <w:pPr>
              <w:spacing w:after="0" w:line="88" w:lineRule="exact"/>
              <w:rPr>
                <w:sz w:val="20"/>
                <w:szCs w:val="20"/>
                <w:color w:val="auto"/>
              </w:rPr>
            </w:pPr>
            <w:r>
              <w:rPr>
                <w:rFonts w:ascii="Times New Roman" w:cs="Times New Roman" w:eastAsia="Times New Roman" w:hAnsi="Times New Roman"/>
                <w:sz w:val="9"/>
                <w:szCs w:val="9"/>
                <w:b w:val="1"/>
                <w:bCs w:val="1"/>
                <w:color w:val="auto"/>
              </w:rPr>
              <w:t>Class A</w:t>
            </w:r>
          </w:p>
        </w:tc>
        <w:tc>
          <w:tcPr>
            <w:tcW w:w="2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gridSpan w:val="3"/>
          </w:tcPr>
          <w:p>
            <w:pPr>
              <w:ind w:left="20"/>
              <w:spacing w:after="0" w:line="88" w:lineRule="exact"/>
              <w:rPr>
                <w:sz w:val="20"/>
                <w:szCs w:val="20"/>
                <w:color w:val="auto"/>
              </w:rPr>
            </w:pPr>
            <w:r>
              <w:rPr>
                <w:rFonts w:ascii="Times New Roman" w:cs="Times New Roman" w:eastAsia="Times New Roman" w:hAnsi="Times New Roman"/>
                <w:sz w:val="9"/>
                <w:szCs w:val="9"/>
                <w:b w:val="1"/>
                <w:bCs w:val="1"/>
                <w:color w:val="auto"/>
              </w:rPr>
              <w:t>Class B</w:t>
            </w:r>
          </w:p>
        </w:tc>
        <w:tc>
          <w:tcPr>
            <w:tcW w:w="180" w:type="dxa"/>
            <w:vAlign w:val="bottom"/>
          </w:tcPr>
          <w:p>
            <w:pPr>
              <w:spacing w:after="0"/>
              <w:rPr>
                <w:sz w:val="7"/>
                <w:szCs w:val="7"/>
                <w:color w:val="auto"/>
              </w:rPr>
            </w:pPr>
          </w:p>
        </w:tc>
        <w:tc>
          <w:tcPr>
            <w:tcW w:w="1100" w:type="dxa"/>
            <w:vAlign w:val="bottom"/>
          </w:tcPr>
          <w:p>
            <w:pPr>
              <w:jc w:val="center"/>
              <w:spacing w:after="0" w:line="88" w:lineRule="exact"/>
              <w:rPr>
                <w:sz w:val="20"/>
                <w:szCs w:val="20"/>
                <w:color w:val="auto"/>
              </w:rPr>
            </w:pPr>
            <w:r>
              <w:rPr>
                <w:rFonts w:ascii="Times New Roman" w:cs="Times New Roman" w:eastAsia="Times New Roman" w:hAnsi="Times New Roman"/>
                <w:sz w:val="9"/>
                <w:szCs w:val="9"/>
                <w:b w:val="1"/>
                <w:bCs w:val="1"/>
                <w:color w:val="auto"/>
              </w:rPr>
              <w:t>Parent /Additional</w:t>
            </w:r>
          </w:p>
        </w:tc>
        <w:tc>
          <w:tcPr>
            <w:tcW w:w="200" w:type="dxa"/>
            <w:vAlign w:val="bottom"/>
          </w:tcPr>
          <w:p>
            <w:pPr>
              <w:spacing w:after="0"/>
              <w:rPr>
                <w:sz w:val="7"/>
                <w:szCs w:val="7"/>
                <w:color w:val="auto"/>
              </w:rPr>
            </w:pPr>
          </w:p>
        </w:tc>
        <w:tc>
          <w:tcPr>
            <w:tcW w:w="780" w:type="dxa"/>
            <w:vAlign w:val="bottom"/>
            <w:gridSpan w:val="2"/>
          </w:tcPr>
          <w:p>
            <w:pPr>
              <w:ind w:left="120"/>
              <w:spacing w:after="0" w:line="88" w:lineRule="exact"/>
              <w:rPr>
                <w:sz w:val="20"/>
                <w:szCs w:val="20"/>
                <w:color w:val="auto"/>
              </w:rPr>
            </w:pPr>
            <w:r>
              <w:rPr>
                <w:rFonts w:ascii="Times New Roman" w:cs="Times New Roman" w:eastAsia="Times New Roman" w:hAnsi="Times New Roman"/>
                <w:sz w:val="9"/>
                <w:szCs w:val="9"/>
                <w:b w:val="1"/>
                <w:bCs w:val="1"/>
                <w:color w:val="auto"/>
              </w:rPr>
              <w:t>Retained</w:t>
            </w:r>
          </w:p>
        </w:tc>
        <w:tc>
          <w:tcPr>
            <w:tcW w:w="1100" w:type="dxa"/>
            <w:vAlign w:val="bottom"/>
            <w:gridSpan w:val="2"/>
          </w:tcPr>
          <w:p>
            <w:pPr>
              <w:jc w:val="center"/>
              <w:ind w:right="200"/>
              <w:spacing w:after="0" w:line="88"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880" w:type="dxa"/>
            <w:vAlign w:val="bottom"/>
            <w:tcBorders>
              <w:bottom w:val="single" w:sz="8" w:color="auto"/>
            </w:tcBorders>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40" w:type="dxa"/>
            <w:vAlign w:val="bottom"/>
            <w:tcBorders>
              <w:bottom w:val="single" w:sz="8" w:color="auto"/>
            </w:tcBorders>
          </w:tcPr>
          <w:p>
            <w:pPr>
              <w:ind w:left="60"/>
              <w:spacing w:after="0" w:line="88" w:lineRule="exact"/>
              <w:rPr>
                <w:sz w:val="20"/>
                <w:szCs w:val="20"/>
                <w:color w:val="auto"/>
              </w:rPr>
            </w:pPr>
            <w:r>
              <w:rPr>
                <w:rFonts w:ascii="Times New Roman" w:cs="Times New Roman" w:eastAsia="Times New Roman" w:hAnsi="Times New Roman"/>
                <w:sz w:val="9"/>
                <w:szCs w:val="9"/>
                <w:b w:val="1"/>
                <w:bCs w:val="1"/>
                <w:color w:val="auto"/>
                <w:w w:val="99"/>
              </w:rPr>
              <w:t>Shares</w:t>
            </w:r>
          </w:p>
        </w:tc>
        <w:tc>
          <w:tcPr>
            <w:tcW w:w="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Borders>
              <w:bottom w:val="single" w:sz="8" w:color="auto"/>
            </w:tcBorders>
          </w:tcPr>
          <w:p>
            <w:pPr>
              <w:ind w:left="20"/>
              <w:spacing w:after="0" w:line="88" w:lineRule="exact"/>
              <w:rPr>
                <w:sz w:val="20"/>
                <w:szCs w:val="20"/>
                <w:color w:val="auto"/>
              </w:rPr>
            </w:pPr>
            <w:r>
              <w:rPr>
                <w:rFonts w:ascii="Times New Roman" w:cs="Times New Roman" w:eastAsia="Times New Roman" w:hAnsi="Times New Roman"/>
                <w:sz w:val="9"/>
                <w:szCs w:val="9"/>
                <w:b w:val="1"/>
                <w:bCs w:val="1"/>
                <w:color w:val="auto"/>
              </w:rPr>
              <w:t>Amount</w:t>
            </w:r>
          </w:p>
        </w:tc>
        <w:tc>
          <w:tcPr>
            <w:tcW w:w="200" w:type="dxa"/>
            <w:vAlign w:val="bottom"/>
          </w:tcPr>
          <w:p>
            <w:pPr>
              <w:spacing w:after="0"/>
              <w:rPr>
                <w:sz w:val="7"/>
                <w:szCs w:val="7"/>
                <w:color w:val="auto"/>
              </w:rPr>
            </w:pPr>
          </w:p>
        </w:tc>
        <w:tc>
          <w:tcPr>
            <w:tcW w:w="360" w:type="dxa"/>
            <w:vAlign w:val="bottom"/>
            <w:tcBorders>
              <w:bottom w:val="single" w:sz="8" w:color="auto"/>
            </w:tcBorders>
          </w:tcPr>
          <w:p>
            <w:pPr>
              <w:ind w:left="100"/>
              <w:spacing w:after="0" w:line="88" w:lineRule="exact"/>
              <w:rPr>
                <w:sz w:val="20"/>
                <w:szCs w:val="20"/>
                <w:color w:val="auto"/>
              </w:rPr>
            </w:pPr>
            <w:r>
              <w:rPr>
                <w:rFonts w:ascii="Times New Roman" w:cs="Times New Roman" w:eastAsia="Times New Roman" w:hAnsi="Times New Roman"/>
                <w:sz w:val="9"/>
                <w:szCs w:val="9"/>
                <w:b w:val="1"/>
                <w:bCs w:val="1"/>
                <w:color w:val="auto"/>
                <w:w w:val="92"/>
              </w:rPr>
              <w:t>Shares</w:t>
            </w:r>
          </w:p>
        </w:tc>
        <w:tc>
          <w:tcPr>
            <w:tcW w:w="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Borders>
              <w:bottom w:val="single" w:sz="8" w:color="auto"/>
            </w:tcBorders>
          </w:tcPr>
          <w:p>
            <w:pPr>
              <w:ind w:left="40"/>
              <w:spacing w:after="0" w:line="88" w:lineRule="exact"/>
              <w:rPr>
                <w:sz w:val="20"/>
                <w:szCs w:val="20"/>
                <w:color w:val="auto"/>
              </w:rPr>
            </w:pPr>
            <w:r>
              <w:rPr>
                <w:rFonts w:ascii="Times New Roman" w:cs="Times New Roman" w:eastAsia="Times New Roman" w:hAnsi="Times New Roman"/>
                <w:sz w:val="9"/>
                <w:szCs w:val="9"/>
                <w:b w:val="1"/>
                <w:bCs w:val="1"/>
                <w:color w:val="auto"/>
              </w:rPr>
              <w:t>Amount</w:t>
            </w:r>
          </w:p>
        </w:tc>
        <w:tc>
          <w:tcPr>
            <w:tcW w:w="180" w:type="dxa"/>
            <w:vAlign w:val="bottom"/>
          </w:tcPr>
          <w:p>
            <w:pPr>
              <w:spacing w:after="0"/>
              <w:rPr>
                <w:sz w:val="7"/>
                <w:szCs w:val="7"/>
                <w:color w:val="auto"/>
              </w:rPr>
            </w:pPr>
          </w:p>
        </w:tc>
        <w:tc>
          <w:tcPr>
            <w:tcW w:w="1100" w:type="dxa"/>
            <w:vAlign w:val="bottom"/>
            <w:tcBorders>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9"/>
                <w:szCs w:val="9"/>
                <w:b w:val="1"/>
                <w:bCs w:val="1"/>
                <w:color w:val="auto"/>
              </w:rPr>
              <w:t>Paid-In Capital</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w w:val="73"/>
              </w:rPr>
              <w:t>except</w:t>
            </w:r>
          </w:p>
        </w:tc>
        <w:tc>
          <w:tcPr>
            <w:tcW w:w="580" w:type="dxa"/>
            <w:vAlign w:val="bottom"/>
            <w:tcBorders>
              <w:bottom w:val="single" w:sz="8" w:color="auto"/>
            </w:tcBorders>
          </w:tcPr>
          <w:p>
            <w:pPr>
              <w:ind w:left="120"/>
              <w:spacing w:after="0" w:line="88" w:lineRule="exact"/>
              <w:rPr>
                <w:sz w:val="20"/>
                <w:szCs w:val="20"/>
                <w:color w:val="auto"/>
              </w:rPr>
            </w:pPr>
            <w:r>
              <w:rPr>
                <w:rFonts w:ascii="Times New Roman" w:cs="Times New Roman" w:eastAsia="Times New Roman" w:hAnsi="Times New Roman"/>
                <w:sz w:val="9"/>
                <w:szCs w:val="9"/>
                <w:b w:val="1"/>
                <w:bCs w:val="1"/>
                <w:color w:val="auto"/>
              </w:rPr>
              <w:t>Earnings</w:t>
            </w:r>
          </w:p>
        </w:tc>
        <w:tc>
          <w:tcPr>
            <w:tcW w:w="200" w:type="dxa"/>
            <w:vAlign w:val="bottom"/>
          </w:tcPr>
          <w:p>
            <w:pPr>
              <w:spacing w:after="0"/>
              <w:rPr>
                <w:sz w:val="7"/>
                <w:szCs w:val="7"/>
                <w:color w:val="auto"/>
              </w:rPr>
            </w:pPr>
          </w:p>
        </w:tc>
        <w:tc>
          <w:tcPr>
            <w:tcW w:w="900" w:type="dxa"/>
            <w:vAlign w:val="bottom"/>
            <w:tcBorders>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9"/>
                <w:szCs w:val="9"/>
                <w:b w:val="1"/>
                <w:bCs w:val="1"/>
                <w:color w:val="auto"/>
                <w:w w:val="99"/>
              </w:rPr>
              <w:t>Earnings(Loss)</w:t>
            </w:r>
          </w:p>
        </w:tc>
        <w:tc>
          <w:tcPr>
            <w:tcW w:w="200" w:type="dxa"/>
            <w:vAlign w:val="bottom"/>
          </w:tcPr>
          <w:p>
            <w:pPr>
              <w:spacing w:after="0"/>
              <w:rPr>
                <w:sz w:val="7"/>
                <w:szCs w:val="7"/>
                <w:color w:val="auto"/>
              </w:rPr>
            </w:pPr>
          </w:p>
        </w:tc>
        <w:tc>
          <w:tcPr>
            <w:tcW w:w="280" w:type="dxa"/>
            <w:vAlign w:val="bottom"/>
            <w:tcBorders>
              <w:bottom w:val="single" w:sz="8" w:color="auto"/>
            </w:tcBorders>
          </w:tcPr>
          <w:p>
            <w:pPr>
              <w:ind w:left="20"/>
              <w:spacing w:after="0" w:line="88" w:lineRule="exact"/>
              <w:rPr>
                <w:sz w:val="20"/>
                <w:szCs w:val="20"/>
                <w:color w:val="auto"/>
              </w:rPr>
            </w:pPr>
            <w:r>
              <w:rPr>
                <w:rFonts w:ascii="Times New Roman" w:cs="Times New Roman" w:eastAsia="Times New Roman" w:hAnsi="Times New Roman"/>
                <w:sz w:val="9"/>
                <w:szCs w:val="9"/>
                <w:b w:val="1"/>
                <w:bCs w:val="1"/>
                <w:color w:val="auto"/>
                <w:w w:val="92"/>
              </w:rPr>
              <w:t>Shares</w:t>
            </w:r>
          </w:p>
        </w:tc>
        <w:tc>
          <w:tcPr>
            <w:tcW w:w="200" w:type="dxa"/>
            <w:vAlign w:val="bottom"/>
          </w:tcPr>
          <w:p>
            <w:pPr>
              <w:spacing w:after="0"/>
              <w:rPr>
                <w:sz w:val="7"/>
                <w:szCs w:val="7"/>
                <w:color w:val="auto"/>
              </w:rPr>
            </w:pPr>
          </w:p>
        </w:tc>
        <w:tc>
          <w:tcPr>
            <w:tcW w:w="400" w:type="dxa"/>
            <w:vAlign w:val="bottom"/>
            <w:tcBorders>
              <w:bottom w:val="single" w:sz="8" w:color="auto"/>
            </w:tcBorders>
          </w:tcPr>
          <w:p>
            <w:pPr>
              <w:ind w:left="40"/>
              <w:spacing w:after="0" w:line="88" w:lineRule="exact"/>
              <w:rPr>
                <w:sz w:val="20"/>
                <w:szCs w:val="20"/>
                <w:color w:val="auto"/>
              </w:rPr>
            </w:pPr>
            <w:r>
              <w:rPr>
                <w:rFonts w:ascii="Times New Roman" w:cs="Times New Roman" w:eastAsia="Times New Roman" w:hAnsi="Times New Roman"/>
                <w:sz w:val="9"/>
                <w:szCs w:val="9"/>
                <w:b w:val="1"/>
                <w:bCs w:val="1"/>
                <w:color w:val="auto"/>
              </w:rPr>
              <w:t>Amount</w:t>
            </w:r>
          </w:p>
        </w:tc>
        <w:tc>
          <w:tcPr>
            <w:tcW w:w="200" w:type="dxa"/>
            <w:vAlign w:val="bottom"/>
          </w:tcPr>
          <w:p>
            <w:pPr>
              <w:spacing w:after="0"/>
              <w:rPr>
                <w:sz w:val="7"/>
                <w:szCs w:val="7"/>
                <w:color w:val="auto"/>
              </w:rPr>
            </w:pPr>
          </w:p>
        </w:tc>
        <w:tc>
          <w:tcPr>
            <w:tcW w:w="580" w:type="dxa"/>
            <w:vAlign w:val="bottom"/>
            <w:tcBorders>
              <w:bottom w:val="single" w:sz="8" w:color="auto"/>
            </w:tcBorders>
          </w:tcPr>
          <w:p>
            <w:pPr>
              <w:ind w:left="200"/>
              <w:spacing w:after="0" w:line="88" w:lineRule="exact"/>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12"/>
        </w:trPr>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ind w:left="500"/>
              <w:spacing w:after="0"/>
              <w:rPr>
                <w:sz w:val="20"/>
                <w:szCs w:val="20"/>
                <w:color w:val="auto"/>
              </w:rPr>
            </w:pPr>
            <w:r>
              <w:rPr>
                <w:rFonts w:ascii="Times New Roman" w:cs="Times New Roman" w:eastAsia="Times New Roman" w:hAnsi="Times New Roman"/>
                <w:sz w:val="9"/>
                <w:szCs w:val="9"/>
                <w:b w:val="1"/>
                <w:bCs w:val="1"/>
                <w:color w:val="auto"/>
              </w:rPr>
              <w:t>(In thousands,</w:t>
            </w:r>
          </w:p>
        </w:tc>
        <w:tc>
          <w:tcPr>
            <w:tcW w:w="200" w:type="dxa"/>
            <w:vAlign w:val="bottom"/>
            <w:vMerge w:val="continue"/>
          </w:tcPr>
          <w:p>
            <w:pPr>
              <w:spacing w:after="0"/>
              <w:rPr>
                <w:sz w:val="9"/>
                <w:szCs w:val="9"/>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per share data)</w:t>
            </w: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600"/>
          </w:cols>
          <w:pgMar w:left="220" w:top="341" w:right="1079" w:bottom="1440" w:gutter="0" w:footer="0" w:header="0"/>
        </w:sectPr>
      </w:pPr>
    </w:p>
    <w:tbl>
      <w:tblPr>
        <w:tblLayout w:type="fixed"/>
        <w:tblInd w:w="680" w:type="dxa"/>
        <w:tblCellMar>
          <w:top w:w="0" w:type="dxa"/>
          <w:left w:w="0" w:type="dxa"/>
          <w:bottom w:w="0" w:type="dxa"/>
          <w:right w:w="0" w:type="dxa"/>
        </w:tblCellMar>
      </w:tblPr>
      <w:tr>
        <w:trPr>
          <w:trHeight w:val="107"/>
        </w:trPr>
        <w:tc>
          <w:tcPr>
            <w:tcW w:w="264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Balance, December 31, 2003</w:t>
            </w:r>
          </w:p>
        </w:tc>
        <w:tc>
          <w:tcPr>
            <w:tcW w:w="760" w:type="dxa"/>
            <w:vAlign w:val="bottom"/>
            <w:gridSpan w:val="3"/>
          </w:tcPr>
          <w:p>
            <w:pPr>
              <w:ind w:left="300"/>
              <w:spacing w:after="0" w:line="107"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gridSpan w:val="2"/>
          </w:tcPr>
          <w:p>
            <w:pPr>
              <w:jc w:val="right"/>
              <w:ind w:right="200"/>
              <w:spacing w:after="0" w:line="107"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tcPr>
          <w:p>
            <w:pPr>
              <w:ind w:left="3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ind w:left="100"/>
              <w:spacing w:after="0" w:line="107" w:lineRule="exact"/>
              <w:rPr>
                <w:sz w:val="20"/>
                <w:szCs w:val="20"/>
                <w:color w:val="auto"/>
              </w:rPr>
            </w:pPr>
            <w:r>
              <w:rPr>
                <w:rFonts w:ascii="Times New Roman" w:cs="Times New Roman" w:eastAsia="Times New Roman" w:hAnsi="Times New Roman"/>
                <w:sz w:val="10"/>
                <w:szCs w:val="10"/>
                <w:color w:val="auto"/>
                <w:w w:val="79"/>
              </w:rPr>
              <w:t>—$</w:t>
            </w: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Purchase of treasury stock</w:t>
            </w:r>
          </w:p>
        </w:tc>
        <w:tc>
          <w:tcPr>
            <w:tcW w:w="760" w:type="dxa"/>
            <w:vAlign w:val="bottom"/>
            <w:gridSpan w:val="3"/>
          </w:tcPr>
          <w:p>
            <w:pPr>
              <w:jc w:val="right"/>
              <w:ind w:right="3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tcPr>
          <w:p>
            <w:pPr>
              <w:jc w:val="right"/>
              <w:ind w:right="3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Exercise of stock options</w:t>
            </w:r>
          </w:p>
        </w:tc>
        <w:tc>
          <w:tcPr>
            <w:tcW w:w="760" w:type="dxa"/>
            <w:vAlign w:val="bottom"/>
            <w:gridSpan w:val="3"/>
          </w:tcPr>
          <w:p>
            <w:pPr>
              <w:jc w:val="right"/>
              <w:ind w:right="3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tcPr>
          <w:p>
            <w:pPr>
              <w:jc w:val="right"/>
              <w:ind w:right="3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Tax benefit associated with the exercise of stock options</w:t>
            </w:r>
          </w:p>
        </w:tc>
        <w:tc>
          <w:tcPr>
            <w:tcW w:w="760" w:type="dxa"/>
            <w:vAlign w:val="bottom"/>
            <w:gridSpan w:val="3"/>
          </w:tcPr>
          <w:p>
            <w:pPr>
              <w:jc w:val="right"/>
              <w:ind w:right="3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tcPr>
          <w:p>
            <w:pPr>
              <w:jc w:val="right"/>
              <w:ind w:right="3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Effect of 10% stock dividend</w:t>
            </w:r>
          </w:p>
        </w:tc>
        <w:tc>
          <w:tcPr>
            <w:tcW w:w="760" w:type="dxa"/>
            <w:vAlign w:val="bottom"/>
            <w:gridSpan w:val="3"/>
          </w:tcPr>
          <w:p>
            <w:pPr>
              <w:jc w:val="right"/>
              <w:ind w:right="3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tcPr>
          <w:p>
            <w:pPr>
              <w:jc w:val="right"/>
              <w:ind w:right="3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Acquisition of Hansen Quality Loan Services, Inc.</w:t>
            </w:r>
          </w:p>
        </w:tc>
        <w:tc>
          <w:tcPr>
            <w:tcW w:w="760" w:type="dxa"/>
            <w:vAlign w:val="bottom"/>
            <w:gridSpan w:val="3"/>
          </w:tcPr>
          <w:p>
            <w:pPr>
              <w:jc w:val="right"/>
              <w:ind w:right="3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tcPr>
          <w:p>
            <w:pPr>
              <w:jc w:val="right"/>
              <w:ind w:right="3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Acquisition of Aurum Technology, Inc.</w:t>
            </w:r>
          </w:p>
        </w:tc>
        <w:tc>
          <w:tcPr>
            <w:tcW w:w="760" w:type="dxa"/>
            <w:vAlign w:val="bottom"/>
            <w:gridSpan w:val="3"/>
          </w:tcPr>
          <w:p>
            <w:pPr>
              <w:jc w:val="right"/>
              <w:ind w:right="3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tcPr>
          <w:p>
            <w:pPr>
              <w:jc w:val="right"/>
              <w:ind w:right="3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Acquisition of Sanchez Computer Associates, Inc.</w:t>
            </w:r>
          </w:p>
        </w:tc>
        <w:tc>
          <w:tcPr>
            <w:tcW w:w="760" w:type="dxa"/>
            <w:vAlign w:val="bottom"/>
            <w:gridSpan w:val="3"/>
          </w:tcPr>
          <w:p>
            <w:pPr>
              <w:jc w:val="right"/>
              <w:ind w:right="3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tcPr>
          <w:p>
            <w:pPr>
              <w:jc w:val="right"/>
              <w:ind w:right="3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Acquisition of InterCept, Inc.</w:t>
            </w:r>
          </w:p>
        </w:tc>
        <w:tc>
          <w:tcPr>
            <w:tcW w:w="760" w:type="dxa"/>
            <w:vAlign w:val="bottom"/>
            <w:gridSpan w:val="3"/>
          </w:tcPr>
          <w:p>
            <w:pPr>
              <w:jc w:val="right"/>
              <w:ind w:right="3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tcPr>
          <w:p>
            <w:pPr>
              <w:jc w:val="right"/>
              <w:ind w:right="3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Other comprehensive earnings — unrealized gain on</w:t>
            </w:r>
          </w:p>
        </w:tc>
        <w:tc>
          <w:tcPr>
            <w:tcW w:w="7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640" w:type="dxa"/>
            <w:vAlign w:val="bottom"/>
          </w:tcPr>
          <w:p>
            <w:pPr>
              <w:ind w:left="200"/>
              <w:spacing w:after="0" w:line="108" w:lineRule="exact"/>
              <w:rPr>
                <w:sz w:val="20"/>
                <w:szCs w:val="20"/>
                <w:color w:val="auto"/>
              </w:rPr>
            </w:pPr>
            <w:r>
              <w:rPr>
                <w:rFonts w:ascii="Times New Roman" w:cs="Times New Roman" w:eastAsia="Times New Roman" w:hAnsi="Times New Roman"/>
                <w:sz w:val="10"/>
                <w:szCs w:val="10"/>
                <w:color w:val="auto"/>
              </w:rPr>
              <w:t>foreign currency</w:t>
            </w:r>
          </w:p>
        </w:tc>
        <w:tc>
          <w:tcPr>
            <w:tcW w:w="760" w:type="dxa"/>
            <w:vAlign w:val="bottom"/>
            <w:gridSpan w:val="3"/>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Other comprehensive loss — unrealized loss on</w:t>
            </w:r>
          </w:p>
        </w:tc>
        <w:tc>
          <w:tcPr>
            <w:tcW w:w="7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640" w:type="dxa"/>
            <w:vAlign w:val="bottom"/>
          </w:tcPr>
          <w:p>
            <w:pPr>
              <w:ind w:left="200"/>
              <w:spacing w:after="0" w:line="108" w:lineRule="exact"/>
              <w:rPr>
                <w:sz w:val="20"/>
                <w:szCs w:val="20"/>
                <w:color w:val="auto"/>
              </w:rPr>
            </w:pPr>
            <w:r>
              <w:rPr>
                <w:rFonts w:ascii="Times New Roman" w:cs="Times New Roman" w:eastAsia="Times New Roman" w:hAnsi="Times New Roman"/>
                <w:sz w:val="10"/>
                <w:szCs w:val="10"/>
                <w:color w:val="auto"/>
              </w:rPr>
              <w:t>investments and other financial instruments</w:t>
            </w:r>
          </w:p>
        </w:tc>
        <w:tc>
          <w:tcPr>
            <w:tcW w:w="760" w:type="dxa"/>
            <w:vAlign w:val="bottom"/>
            <w:gridSpan w:val="3"/>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Other comprehensive loss — minimum pension liability</w:t>
            </w:r>
          </w:p>
        </w:tc>
        <w:tc>
          <w:tcPr>
            <w:tcW w:w="7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640" w:type="dxa"/>
            <w:vAlign w:val="bottom"/>
          </w:tcPr>
          <w:p>
            <w:pPr>
              <w:ind w:left="200"/>
              <w:spacing w:after="0" w:line="108" w:lineRule="exact"/>
              <w:rPr>
                <w:sz w:val="20"/>
                <w:szCs w:val="20"/>
                <w:color w:val="auto"/>
              </w:rPr>
            </w:pPr>
            <w:r>
              <w:rPr>
                <w:rFonts w:ascii="Times New Roman" w:cs="Times New Roman" w:eastAsia="Times New Roman" w:hAnsi="Times New Roman"/>
                <w:sz w:val="10"/>
                <w:szCs w:val="10"/>
                <w:color w:val="auto"/>
              </w:rPr>
              <w:t>adjustment</w:t>
            </w:r>
          </w:p>
        </w:tc>
        <w:tc>
          <w:tcPr>
            <w:tcW w:w="760" w:type="dxa"/>
            <w:vAlign w:val="bottom"/>
            <w:gridSpan w:val="3"/>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Issuance of restricted stock</w:t>
            </w:r>
          </w:p>
        </w:tc>
        <w:tc>
          <w:tcPr>
            <w:tcW w:w="760" w:type="dxa"/>
            <w:vAlign w:val="bottom"/>
            <w:gridSpan w:val="3"/>
          </w:tcPr>
          <w:p>
            <w:pPr>
              <w:jc w:val="right"/>
              <w:ind w:right="3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tcPr>
          <w:p>
            <w:pPr>
              <w:jc w:val="right"/>
              <w:ind w:right="3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Amortization of unearned compensation</w:t>
            </w:r>
          </w:p>
        </w:tc>
        <w:tc>
          <w:tcPr>
            <w:tcW w:w="760" w:type="dxa"/>
            <w:vAlign w:val="bottom"/>
            <w:gridSpan w:val="3"/>
          </w:tcPr>
          <w:p>
            <w:pPr>
              <w:jc w:val="right"/>
              <w:ind w:right="3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tcPr>
          <w:p>
            <w:pPr>
              <w:jc w:val="right"/>
              <w:ind w:right="3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Stock-based compensation</w:t>
            </w:r>
          </w:p>
        </w:tc>
        <w:tc>
          <w:tcPr>
            <w:tcW w:w="760" w:type="dxa"/>
            <w:vAlign w:val="bottom"/>
            <w:gridSpan w:val="3"/>
          </w:tcPr>
          <w:p>
            <w:pPr>
              <w:jc w:val="right"/>
              <w:ind w:right="3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tcPr>
          <w:p>
            <w:pPr>
              <w:jc w:val="right"/>
              <w:ind w:right="3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Cash dividends</w:t>
            </w:r>
          </w:p>
        </w:tc>
        <w:tc>
          <w:tcPr>
            <w:tcW w:w="760" w:type="dxa"/>
            <w:vAlign w:val="bottom"/>
            <w:gridSpan w:val="3"/>
          </w:tcPr>
          <w:p>
            <w:pPr>
              <w:jc w:val="right"/>
              <w:ind w:right="3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tcPr>
          <w:p>
            <w:pPr>
              <w:jc w:val="right"/>
              <w:ind w:right="3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5"/>
        </w:trPr>
        <w:tc>
          <w:tcPr>
            <w:tcW w:w="2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Net earnings</w:t>
            </w:r>
          </w:p>
        </w:tc>
        <w:tc>
          <w:tcPr>
            <w:tcW w:w="760" w:type="dxa"/>
            <w:vAlign w:val="bottom"/>
            <w:gridSpan w:val="3"/>
          </w:tcPr>
          <w:p>
            <w:pPr>
              <w:jc w:val="right"/>
              <w:ind w:right="3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tcPr>
          <w:p>
            <w:pPr>
              <w:jc w:val="right"/>
              <w:ind w:right="3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6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Balance, December 31, 2004</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ind w:left="100"/>
              <w:spacing w:after="0" w:line="108" w:lineRule="exact"/>
              <w:rPr>
                <w:sz w:val="20"/>
                <w:szCs w:val="20"/>
                <w:color w:val="auto"/>
              </w:rPr>
            </w:pPr>
            <w:r>
              <w:rPr>
                <w:rFonts w:ascii="Times New Roman" w:cs="Times New Roman" w:eastAsia="Times New Roman" w:hAnsi="Times New Roman"/>
                <w:sz w:val="10"/>
                <w:szCs w:val="10"/>
                <w:color w:val="auto"/>
                <w:w w:val="99"/>
              </w:rPr>
              <w:t>—</w:t>
            </w: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640" w:type="dxa"/>
            <w:vAlign w:val="bottom"/>
          </w:tcPr>
          <w:p>
            <w:pPr>
              <w:ind w:left="100"/>
              <w:spacing w:after="0" w:line="91" w:lineRule="exact"/>
              <w:rPr>
                <w:sz w:val="20"/>
                <w:szCs w:val="20"/>
                <w:color w:val="auto"/>
              </w:rPr>
            </w:pPr>
            <w:r>
              <w:rPr>
                <w:rFonts w:ascii="Times New Roman" w:cs="Times New Roman" w:eastAsia="Times New Roman" w:hAnsi="Times New Roman"/>
                <w:sz w:val="10"/>
                <w:szCs w:val="10"/>
                <w:color w:val="auto"/>
              </w:rPr>
              <w:t>Purchase of treasury stock</w:t>
            </w:r>
          </w:p>
        </w:tc>
        <w:tc>
          <w:tcPr>
            <w:tcW w:w="40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7"/>
                <w:szCs w:val="7"/>
                <w:color w:val="auto"/>
              </w:rPr>
            </w:pPr>
          </w:p>
        </w:tc>
        <w:tc>
          <w:tcPr>
            <w:tcW w:w="44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ind w:left="100"/>
              <w:spacing w:after="0" w:line="91" w:lineRule="exact"/>
              <w:rPr>
                <w:sz w:val="20"/>
                <w:szCs w:val="20"/>
                <w:color w:val="auto"/>
              </w:rPr>
            </w:pPr>
            <w:r>
              <w:rPr>
                <w:rFonts w:ascii="Times New Roman" w:cs="Times New Roman" w:eastAsia="Times New Roman" w:hAnsi="Times New Roman"/>
                <w:sz w:val="10"/>
                <w:szCs w:val="10"/>
                <w:color w:val="auto"/>
                <w:w w:val="99"/>
              </w:rPr>
              <w:t>—</w:t>
            </w: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Exercise of stock options</w:t>
            </w:r>
          </w:p>
        </w:tc>
        <w:tc>
          <w:tcPr>
            <w:tcW w:w="760" w:type="dxa"/>
            <w:vAlign w:val="bottom"/>
            <w:gridSpan w:val="3"/>
          </w:tcPr>
          <w:p>
            <w:pPr>
              <w:jc w:val="right"/>
              <w:ind w:right="3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tcPr>
          <w:p>
            <w:pPr>
              <w:jc w:val="right"/>
              <w:ind w:right="3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Tax benefit associated with the exercise of stock options</w:t>
            </w:r>
          </w:p>
        </w:tc>
        <w:tc>
          <w:tcPr>
            <w:tcW w:w="760" w:type="dxa"/>
            <w:vAlign w:val="bottom"/>
            <w:gridSpan w:val="3"/>
          </w:tcPr>
          <w:p>
            <w:pPr>
              <w:jc w:val="right"/>
              <w:ind w:right="3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tcPr>
          <w:p>
            <w:pPr>
              <w:jc w:val="right"/>
              <w:ind w:right="3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Acquisition of Hansen Quality Loan Services, LLC</w:t>
            </w:r>
          </w:p>
        </w:tc>
        <w:tc>
          <w:tcPr>
            <w:tcW w:w="760" w:type="dxa"/>
            <w:vAlign w:val="bottom"/>
            <w:gridSpan w:val="3"/>
          </w:tcPr>
          <w:p>
            <w:pPr>
              <w:jc w:val="right"/>
              <w:ind w:right="3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tcPr>
          <w:p>
            <w:pPr>
              <w:jc w:val="right"/>
              <w:ind w:right="3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Other comprehensive loss — unrealized loss on foreign</w:t>
            </w:r>
          </w:p>
        </w:tc>
        <w:tc>
          <w:tcPr>
            <w:tcW w:w="7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640" w:type="dxa"/>
            <w:vAlign w:val="bottom"/>
          </w:tcPr>
          <w:p>
            <w:pPr>
              <w:ind w:left="200"/>
              <w:spacing w:after="0" w:line="108" w:lineRule="exact"/>
              <w:rPr>
                <w:sz w:val="20"/>
                <w:szCs w:val="20"/>
                <w:color w:val="auto"/>
              </w:rPr>
            </w:pPr>
            <w:r>
              <w:rPr>
                <w:rFonts w:ascii="Times New Roman" w:cs="Times New Roman" w:eastAsia="Times New Roman" w:hAnsi="Times New Roman"/>
                <w:sz w:val="10"/>
                <w:szCs w:val="10"/>
                <w:color w:val="auto"/>
              </w:rPr>
              <w:t>currency</w:t>
            </w:r>
          </w:p>
        </w:tc>
        <w:tc>
          <w:tcPr>
            <w:tcW w:w="760" w:type="dxa"/>
            <w:vAlign w:val="bottom"/>
            <w:gridSpan w:val="3"/>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Other comprehensive loss — unrealized loss on</w:t>
            </w:r>
          </w:p>
        </w:tc>
        <w:tc>
          <w:tcPr>
            <w:tcW w:w="7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640" w:type="dxa"/>
            <w:vAlign w:val="bottom"/>
          </w:tcPr>
          <w:p>
            <w:pPr>
              <w:ind w:left="200"/>
              <w:spacing w:after="0" w:line="108" w:lineRule="exact"/>
              <w:rPr>
                <w:sz w:val="20"/>
                <w:szCs w:val="20"/>
                <w:color w:val="auto"/>
              </w:rPr>
            </w:pPr>
            <w:r>
              <w:rPr>
                <w:rFonts w:ascii="Times New Roman" w:cs="Times New Roman" w:eastAsia="Times New Roman" w:hAnsi="Times New Roman"/>
                <w:sz w:val="10"/>
                <w:szCs w:val="10"/>
                <w:color w:val="auto"/>
              </w:rPr>
              <w:t>investments and other financial instruments</w:t>
            </w:r>
          </w:p>
        </w:tc>
        <w:tc>
          <w:tcPr>
            <w:tcW w:w="760" w:type="dxa"/>
            <w:vAlign w:val="bottom"/>
            <w:gridSpan w:val="3"/>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Other comprehensive loss — minimum pension liability</w:t>
            </w:r>
          </w:p>
        </w:tc>
        <w:tc>
          <w:tcPr>
            <w:tcW w:w="7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640" w:type="dxa"/>
            <w:vAlign w:val="bottom"/>
          </w:tcPr>
          <w:p>
            <w:pPr>
              <w:ind w:left="200"/>
              <w:spacing w:after="0" w:line="108" w:lineRule="exact"/>
              <w:rPr>
                <w:sz w:val="20"/>
                <w:szCs w:val="20"/>
                <w:color w:val="auto"/>
              </w:rPr>
            </w:pPr>
            <w:r>
              <w:rPr>
                <w:rFonts w:ascii="Times New Roman" w:cs="Times New Roman" w:eastAsia="Times New Roman" w:hAnsi="Times New Roman"/>
                <w:sz w:val="10"/>
                <w:szCs w:val="10"/>
                <w:color w:val="auto"/>
              </w:rPr>
              <w:t>adjustment</w:t>
            </w:r>
          </w:p>
        </w:tc>
        <w:tc>
          <w:tcPr>
            <w:tcW w:w="760" w:type="dxa"/>
            <w:vAlign w:val="bottom"/>
            <w:gridSpan w:val="3"/>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Other comprehensive loss — minority interest</w:t>
            </w:r>
          </w:p>
        </w:tc>
        <w:tc>
          <w:tcPr>
            <w:tcW w:w="760" w:type="dxa"/>
            <w:vAlign w:val="bottom"/>
            <w:gridSpan w:val="3"/>
          </w:tcPr>
          <w:p>
            <w:pPr>
              <w:jc w:val="right"/>
              <w:ind w:right="3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tcPr>
          <w:p>
            <w:pPr>
              <w:jc w:val="right"/>
              <w:ind w:right="3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64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Amortization of unearned compensation</w:t>
            </w:r>
          </w:p>
        </w:tc>
        <w:tc>
          <w:tcPr>
            <w:tcW w:w="760" w:type="dxa"/>
            <w:vAlign w:val="bottom"/>
            <w:gridSpan w:val="3"/>
          </w:tcPr>
          <w:p>
            <w:pPr>
              <w:jc w:val="right"/>
              <w:ind w:right="3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3"/>
          </w:tcPr>
          <w:p>
            <w:pPr>
              <w:jc w:val="right"/>
              <w:ind w:right="3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7"/>
        </w:trPr>
        <w:tc>
          <w:tcPr>
            <w:tcW w:w="2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Distribution of common stock</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30,370</w:t>
            </w:r>
          </w:p>
        </w:tc>
        <w:tc>
          <w:tcPr>
            <w:tcW w:w="160" w:type="dxa"/>
            <w:vAlign w:val="bottom"/>
          </w:tcPr>
          <w:p>
            <w:pPr>
              <w:spacing w:after="0"/>
              <w:rPr>
                <w:sz w:val="11"/>
                <w:szCs w:val="11"/>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3</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143,176</w:t>
            </w:r>
          </w:p>
        </w:tc>
        <w:tc>
          <w:tcPr>
            <w:tcW w:w="180" w:type="dxa"/>
            <w:vAlign w:val="bottom"/>
          </w:tcPr>
          <w:p>
            <w:pPr>
              <w:spacing w:after="0"/>
              <w:rPr>
                <w:sz w:val="11"/>
                <w:szCs w:val="11"/>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-2366645</wp:posOffset>
            </wp:positionV>
            <wp:extent cx="6335395" cy="685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-2229485</wp:posOffset>
            </wp:positionV>
            <wp:extent cx="6335395" cy="685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-2091690</wp:posOffset>
            </wp:positionV>
            <wp:extent cx="6335395" cy="68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-1954530</wp:posOffset>
            </wp:positionV>
            <wp:extent cx="6335395" cy="68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-1817370</wp:posOffset>
            </wp:positionV>
            <wp:extent cx="6335395" cy="685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-1610995</wp:posOffset>
            </wp:positionV>
            <wp:extent cx="633539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35395" cy="13716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-1336675</wp:posOffset>
            </wp:positionV>
            <wp:extent cx="6335395" cy="685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-1199515</wp:posOffset>
            </wp:positionV>
            <wp:extent cx="6335395" cy="685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-1061720</wp:posOffset>
            </wp:positionV>
            <wp:extent cx="6335395" cy="68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-899795</wp:posOffset>
            </wp:positionV>
            <wp:extent cx="6335395" cy="685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-762635</wp:posOffset>
            </wp:positionV>
            <wp:extent cx="6335395" cy="68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-624840</wp:posOffset>
            </wp:positionV>
            <wp:extent cx="633539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35395" cy="13716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-350520</wp:posOffset>
            </wp:positionV>
            <wp:extent cx="633539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35395" cy="13716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-144780</wp:posOffset>
            </wp:positionV>
            <wp:extent cx="6335395" cy="685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35395"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7"/>
        </w:trPr>
        <w:tc>
          <w:tcPr>
            <w:tcW w:w="620" w:type="dxa"/>
            <w:vAlign w:val="bottom"/>
          </w:tcPr>
          <w:p>
            <w:pPr>
              <w:jc w:val="right"/>
              <w:ind w:right="148"/>
              <w:spacing w:after="0" w:line="107" w:lineRule="exact"/>
              <w:rPr>
                <w:sz w:val="20"/>
                <w:szCs w:val="20"/>
                <w:color w:val="auto"/>
              </w:rPr>
            </w:pPr>
            <w:r>
              <w:rPr>
                <w:rFonts w:ascii="Times New Roman" w:cs="Times New Roman" w:eastAsia="Times New Roman" w:hAnsi="Times New Roman"/>
                <w:sz w:val="10"/>
                <w:szCs w:val="10"/>
                <w:color w:val="auto"/>
                <w:w w:val="99"/>
              </w:rPr>
              <w:t>2,365,756</w:t>
            </w:r>
          </w:p>
        </w:tc>
        <w:tc>
          <w:tcPr>
            <w:tcW w:w="58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  1,517,494</w:t>
            </w:r>
          </w:p>
        </w:tc>
        <w:tc>
          <w:tcPr>
            <w:tcW w:w="200" w:type="dxa"/>
            <w:vAlign w:val="bottom"/>
          </w:tcPr>
          <w:p>
            <w:pPr>
              <w:spacing w:after="0"/>
              <w:rPr>
                <w:sz w:val="9"/>
                <w:szCs w:val="9"/>
                <w:color w:val="auto"/>
              </w:rPr>
            </w:pPr>
          </w:p>
        </w:tc>
        <w:tc>
          <w:tcPr>
            <w:tcW w:w="320" w:type="dxa"/>
            <w:vAlign w:val="bottom"/>
          </w:tcPr>
          <w:p>
            <w:pPr>
              <w:jc w:val="right"/>
              <w:ind w:right="208"/>
              <w:spacing w:after="0" w:line="107" w:lineRule="exact"/>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tcPr>
          <w:p>
            <w:pPr>
              <w:jc w:val="right"/>
              <w:ind w:right="160"/>
              <w:spacing w:after="0" w:line="107" w:lineRule="exact"/>
              <w:rPr>
                <w:sz w:val="20"/>
                <w:szCs w:val="20"/>
                <w:color w:val="auto"/>
              </w:rPr>
            </w:pPr>
            <w:r>
              <w:rPr>
                <w:rFonts w:ascii="Times New Roman" w:cs="Times New Roman" w:eastAsia="Times New Roman" w:hAnsi="Times New Roman"/>
                <w:sz w:val="10"/>
                <w:szCs w:val="10"/>
                <w:color w:val="auto"/>
              </w:rPr>
              <w:t>(9,891)</w:t>
            </w:r>
          </w:p>
        </w:tc>
        <w:tc>
          <w:tcPr>
            <w:tcW w:w="660" w:type="dxa"/>
            <w:vAlign w:val="bottom"/>
            <w:gridSpan w:val="3"/>
          </w:tcPr>
          <w:p>
            <w:pPr>
              <w:ind w:left="180"/>
              <w:spacing w:after="0" w:line="107"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40"/>
              <w:spacing w:after="0" w:line="107" w:lineRule="exact"/>
              <w:rPr>
                <w:sz w:val="20"/>
                <w:szCs w:val="20"/>
                <w:color w:val="auto"/>
              </w:rPr>
            </w:pPr>
            <w:r>
              <w:rPr>
                <w:rFonts w:ascii="Times New Roman" w:cs="Times New Roman" w:eastAsia="Times New Roman" w:hAnsi="Times New Roman"/>
                <w:sz w:val="10"/>
                <w:szCs w:val="10"/>
                <w:color w:val="auto"/>
              </w:rPr>
              <w:t>$  3,873,359</w:t>
            </w:r>
          </w:p>
        </w:tc>
      </w:tr>
      <w:tr>
        <w:trPr>
          <w:trHeight w:val="108"/>
        </w:trPr>
        <w:tc>
          <w:tcPr>
            <w:tcW w:w="620" w:type="dxa"/>
            <w:vAlign w:val="bottom"/>
          </w:tcPr>
          <w:p>
            <w:pPr>
              <w:jc w:val="right"/>
              <w:ind w:right="108"/>
              <w:spacing w:after="0" w:line="108" w:lineRule="exact"/>
              <w:rPr>
                <w:sz w:val="20"/>
                <w:szCs w:val="20"/>
                <w:color w:val="auto"/>
              </w:rPr>
            </w:pPr>
            <w:r>
              <w:rPr>
                <w:rFonts w:ascii="Times New Roman" w:cs="Times New Roman" w:eastAsia="Times New Roman" w:hAnsi="Times New Roman"/>
                <w:sz w:val="10"/>
                <w:szCs w:val="10"/>
                <w:color w:val="auto"/>
              </w:rPr>
              <w:t>(128,723)</w:t>
            </w: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(128,723)</w:t>
            </w:r>
          </w:p>
        </w:tc>
      </w:tr>
      <w:tr>
        <w:trPr>
          <w:trHeight w:val="108"/>
        </w:trPr>
        <w:tc>
          <w:tcPr>
            <w:tcW w:w="620" w:type="dxa"/>
            <w:vAlign w:val="bottom"/>
          </w:tcPr>
          <w:p>
            <w:pPr>
              <w:jc w:val="right"/>
              <w:ind w:right="148"/>
              <w:spacing w:after="0" w:line="108" w:lineRule="exact"/>
              <w:rPr>
                <w:sz w:val="20"/>
                <w:szCs w:val="20"/>
                <w:color w:val="auto"/>
              </w:rPr>
            </w:pPr>
            <w:r>
              <w:rPr>
                <w:rFonts w:ascii="Times New Roman" w:cs="Times New Roman" w:eastAsia="Times New Roman" w:hAnsi="Times New Roman"/>
                <w:sz w:val="10"/>
                <w:szCs w:val="10"/>
                <w:color w:val="auto"/>
              </w:rPr>
              <w:t>76,899</w:t>
            </w: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76,899</w:t>
            </w:r>
          </w:p>
        </w:tc>
      </w:tr>
      <w:tr>
        <w:trPr>
          <w:trHeight w:val="108"/>
        </w:trPr>
        <w:tc>
          <w:tcPr>
            <w:tcW w:w="620" w:type="dxa"/>
            <w:vAlign w:val="bottom"/>
          </w:tcPr>
          <w:p>
            <w:pPr>
              <w:jc w:val="right"/>
              <w:ind w:right="148"/>
              <w:spacing w:after="0" w:line="108" w:lineRule="exact"/>
              <w:rPr>
                <w:sz w:val="20"/>
                <w:szCs w:val="20"/>
                <w:color w:val="auto"/>
              </w:rPr>
            </w:pPr>
            <w:r>
              <w:rPr>
                <w:rFonts w:ascii="Times New Roman" w:cs="Times New Roman" w:eastAsia="Times New Roman" w:hAnsi="Times New Roman"/>
                <w:sz w:val="10"/>
                <w:szCs w:val="10"/>
                <w:color w:val="auto"/>
              </w:rPr>
              <w:t>36,085</w:t>
            </w: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36,085</w:t>
            </w:r>
          </w:p>
        </w:tc>
      </w:tr>
      <w:tr>
        <w:trPr>
          <w:trHeight w:val="108"/>
        </w:trPr>
        <w:tc>
          <w:tcPr>
            <w:tcW w:w="620" w:type="dxa"/>
            <w:vAlign w:val="bottom"/>
          </w:tcPr>
          <w:p>
            <w:pPr>
              <w:jc w:val="right"/>
              <w:ind w:right="148"/>
              <w:spacing w:after="0" w:line="108" w:lineRule="exact"/>
              <w:rPr>
                <w:sz w:val="20"/>
                <w:szCs w:val="20"/>
                <w:color w:val="auto"/>
              </w:rPr>
            </w:pPr>
            <w:r>
              <w:rPr>
                <w:rFonts w:ascii="Times New Roman" w:cs="Times New Roman" w:eastAsia="Times New Roman" w:hAnsi="Times New Roman"/>
                <w:sz w:val="10"/>
                <w:szCs w:val="10"/>
                <w:color w:val="auto"/>
              </w:rPr>
              <w:t>607,162</w:t>
            </w:r>
          </w:p>
        </w:tc>
        <w:tc>
          <w:tcPr>
            <w:tcW w:w="7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(607,162)</w:t>
            </w:r>
          </w:p>
        </w:tc>
        <w:tc>
          <w:tcPr>
            <w:tcW w:w="320" w:type="dxa"/>
            <w:vAlign w:val="bottom"/>
          </w:tcPr>
          <w:p>
            <w:pPr>
              <w:spacing w:after="0"/>
              <w:rPr>
                <w:sz w:val="9"/>
                <w:szCs w:val="9"/>
                <w:color w:val="auto"/>
              </w:rPr>
            </w:pP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620" w:type="dxa"/>
            <w:vAlign w:val="bottom"/>
          </w:tcPr>
          <w:p>
            <w:pPr>
              <w:jc w:val="right"/>
              <w:ind w:right="148"/>
              <w:spacing w:after="0" w:line="108" w:lineRule="exact"/>
              <w:rPr>
                <w:sz w:val="20"/>
                <w:szCs w:val="20"/>
                <w:color w:val="auto"/>
              </w:rPr>
            </w:pPr>
            <w:r>
              <w:rPr>
                <w:rFonts w:ascii="Times New Roman" w:cs="Times New Roman" w:eastAsia="Times New Roman" w:hAnsi="Times New Roman"/>
                <w:sz w:val="10"/>
                <w:szCs w:val="10"/>
                <w:color w:val="auto"/>
              </w:rPr>
              <w:t>8,500</w:t>
            </w: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8,500</w:t>
            </w:r>
          </w:p>
        </w:tc>
      </w:tr>
      <w:tr>
        <w:trPr>
          <w:trHeight w:val="108"/>
        </w:trPr>
        <w:tc>
          <w:tcPr>
            <w:tcW w:w="620" w:type="dxa"/>
            <w:vAlign w:val="bottom"/>
          </w:tcPr>
          <w:p>
            <w:pPr>
              <w:jc w:val="right"/>
              <w:ind w:right="148"/>
              <w:spacing w:after="0" w:line="108" w:lineRule="exact"/>
              <w:rPr>
                <w:sz w:val="20"/>
                <w:szCs w:val="20"/>
                <w:color w:val="auto"/>
              </w:rPr>
            </w:pPr>
            <w:r>
              <w:rPr>
                <w:rFonts w:ascii="Times New Roman" w:cs="Times New Roman" w:eastAsia="Times New Roman" w:hAnsi="Times New Roman"/>
                <w:sz w:val="10"/>
                <w:szCs w:val="10"/>
                <w:color w:val="auto"/>
              </w:rPr>
              <w:t>121,370</w:t>
            </w: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121,370</w:t>
            </w:r>
          </w:p>
        </w:tc>
      </w:tr>
      <w:tr>
        <w:trPr>
          <w:trHeight w:val="108"/>
        </w:trPr>
        <w:tc>
          <w:tcPr>
            <w:tcW w:w="620" w:type="dxa"/>
            <w:vAlign w:val="bottom"/>
          </w:tcPr>
          <w:p>
            <w:pPr>
              <w:jc w:val="right"/>
              <w:ind w:right="148"/>
              <w:spacing w:after="0" w:line="108" w:lineRule="exact"/>
              <w:rPr>
                <w:sz w:val="20"/>
                <w:szCs w:val="20"/>
                <w:color w:val="auto"/>
              </w:rPr>
            </w:pPr>
            <w:r>
              <w:rPr>
                <w:rFonts w:ascii="Times New Roman" w:cs="Times New Roman" w:eastAsia="Times New Roman" w:hAnsi="Times New Roman"/>
                <w:sz w:val="10"/>
                <w:szCs w:val="10"/>
                <w:color w:val="auto"/>
              </w:rPr>
              <w:t>91,756</w:t>
            </w: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91,756</w:t>
            </w:r>
          </w:p>
        </w:tc>
      </w:tr>
      <w:tr>
        <w:trPr>
          <w:trHeight w:val="137"/>
        </w:trPr>
        <w:tc>
          <w:tcPr>
            <w:tcW w:w="62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rPr>
              <w:t>12,031</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12,031</w:t>
            </w:r>
          </w:p>
        </w:tc>
      </w:tr>
      <w:tr>
        <w:trPr>
          <w:trHeight w:val="216"/>
        </w:trPr>
        <w:tc>
          <w:tcPr>
            <w:tcW w:w="62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14,819</w:t>
            </w:r>
          </w:p>
        </w:tc>
        <w:tc>
          <w:tcPr>
            <w:tcW w:w="660" w:type="dxa"/>
            <w:vAlign w:val="bottom"/>
            <w:gridSpan w:val="3"/>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14,819</w:t>
            </w:r>
          </w:p>
        </w:tc>
      </w:tr>
      <w:tr>
        <w:trPr>
          <w:trHeight w:val="216"/>
        </w:trPr>
        <w:tc>
          <w:tcPr>
            <w:tcW w:w="62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(20,517)</w:t>
            </w:r>
          </w:p>
        </w:tc>
        <w:tc>
          <w:tcPr>
            <w:tcW w:w="660" w:type="dxa"/>
            <w:vAlign w:val="bottom"/>
            <w:gridSpan w:val="3"/>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(20,517)</w:t>
            </w:r>
          </w:p>
        </w:tc>
      </w:tr>
      <w:tr>
        <w:trPr>
          <w:trHeight w:val="187"/>
        </w:trPr>
        <w:tc>
          <w:tcPr>
            <w:tcW w:w="62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(11,764)</w:t>
            </w:r>
          </w:p>
        </w:tc>
        <w:tc>
          <w:tcPr>
            <w:tcW w:w="660" w:type="dxa"/>
            <w:vAlign w:val="bottom"/>
            <w:gridSpan w:val="3"/>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(11,764)</w:t>
            </w:r>
          </w:p>
        </w:tc>
      </w:tr>
      <w:tr>
        <w:trPr>
          <w:trHeight w:val="108"/>
        </w:trPr>
        <w:tc>
          <w:tcPr>
            <w:tcW w:w="620" w:type="dxa"/>
            <w:vAlign w:val="bottom"/>
          </w:tcPr>
          <w:p>
            <w:pPr>
              <w:jc w:val="right"/>
              <w:ind w:right="148"/>
              <w:spacing w:after="0" w:line="108" w:lineRule="exact"/>
              <w:rPr>
                <w:sz w:val="20"/>
                <w:szCs w:val="20"/>
                <w:color w:val="auto"/>
              </w:rPr>
            </w:pPr>
            <w:r>
              <w:rPr>
                <w:rFonts w:ascii="Times New Roman" w:cs="Times New Roman" w:eastAsia="Times New Roman" w:hAnsi="Times New Roman"/>
                <w:sz w:val="10"/>
                <w:szCs w:val="10"/>
                <w:color w:val="auto"/>
              </w:rPr>
              <w:t>37</w:t>
            </w: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37</w:t>
            </w:r>
          </w:p>
        </w:tc>
      </w:tr>
      <w:tr>
        <w:trPr>
          <w:trHeight w:val="108"/>
        </w:trPr>
        <w:tc>
          <w:tcPr>
            <w:tcW w:w="620" w:type="dxa"/>
            <w:vAlign w:val="bottom"/>
          </w:tcPr>
          <w:p>
            <w:pPr>
              <w:jc w:val="right"/>
              <w:ind w:right="148"/>
              <w:spacing w:after="0" w:line="108" w:lineRule="exact"/>
              <w:rPr>
                <w:sz w:val="20"/>
                <w:szCs w:val="20"/>
                <w:color w:val="auto"/>
              </w:rPr>
            </w:pPr>
            <w:r>
              <w:rPr>
                <w:rFonts w:ascii="Times New Roman" w:cs="Times New Roman" w:eastAsia="Times New Roman" w:hAnsi="Times New Roman"/>
                <w:sz w:val="10"/>
                <w:szCs w:val="10"/>
                <w:color w:val="auto"/>
              </w:rPr>
              <w:t>7,630</w:t>
            </w: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7,630</w:t>
            </w:r>
          </w:p>
        </w:tc>
      </w:tr>
      <w:tr>
        <w:trPr>
          <w:trHeight w:val="108"/>
        </w:trPr>
        <w:tc>
          <w:tcPr>
            <w:tcW w:w="620" w:type="dxa"/>
            <w:vAlign w:val="bottom"/>
          </w:tcPr>
          <w:p>
            <w:pPr>
              <w:jc w:val="right"/>
              <w:ind w:right="148"/>
              <w:spacing w:after="0" w:line="108" w:lineRule="exact"/>
              <w:rPr>
                <w:sz w:val="20"/>
                <w:szCs w:val="20"/>
                <w:color w:val="auto"/>
              </w:rPr>
            </w:pPr>
            <w:r>
              <w:rPr>
                <w:rFonts w:ascii="Times New Roman" w:cs="Times New Roman" w:eastAsia="Times New Roman" w:hAnsi="Times New Roman"/>
                <w:sz w:val="10"/>
                <w:szCs w:val="10"/>
                <w:color w:val="auto"/>
              </w:rPr>
              <w:t>13,726</w:t>
            </w: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13,726</w:t>
            </w:r>
          </w:p>
        </w:tc>
      </w:tr>
      <w:tr>
        <w:trPr>
          <w:trHeight w:val="108"/>
        </w:trPr>
        <w:tc>
          <w:tcPr>
            <w:tcW w:w="620" w:type="dxa"/>
            <w:vAlign w:val="bottom"/>
          </w:tcPr>
          <w:p>
            <w:pPr>
              <w:jc w:val="right"/>
              <w:ind w:right="148"/>
              <w:spacing w:after="0" w:line="108"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(136,079)</w:t>
            </w:r>
          </w:p>
        </w:tc>
        <w:tc>
          <w:tcPr>
            <w:tcW w:w="320" w:type="dxa"/>
            <w:vAlign w:val="bottom"/>
          </w:tcPr>
          <w:p>
            <w:pPr>
              <w:spacing w:after="0"/>
              <w:rPr>
                <w:sz w:val="9"/>
                <w:szCs w:val="9"/>
                <w:color w:val="auto"/>
              </w:rPr>
            </w:pP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(136,079)</w:t>
            </w:r>
          </w:p>
        </w:tc>
      </w:tr>
      <w:tr>
        <w:trPr>
          <w:trHeight w:val="125"/>
        </w:trPr>
        <w:tc>
          <w:tcPr>
            <w:tcW w:w="62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740,962</w:t>
            </w:r>
          </w:p>
        </w:tc>
        <w:tc>
          <w:tcPr>
            <w:tcW w:w="320" w:type="dxa"/>
            <w:vAlign w:val="bottom"/>
          </w:tcPr>
          <w:p>
            <w:pPr>
              <w:spacing w:after="0"/>
              <w:rPr>
                <w:sz w:val="10"/>
                <w:szCs w:val="1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740,962</w:t>
            </w:r>
          </w:p>
        </w:tc>
      </w:tr>
      <w:tr>
        <w:trPr>
          <w:trHeight w:val="108"/>
        </w:trPr>
        <w:tc>
          <w:tcPr>
            <w:tcW w:w="620" w:type="dxa"/>
            <w:vAlign w:val="bottom"/>
          </w:tcPr>
          <w:p>
            <w:pPr>
              <w:jc w:val="right"/>
              <w:ind w:right="148"/>
              <w:spacing w:after="0" w:line="108" w:lineRule="exact"/>
              <w:rPr>
                <w:sz w:val="20"/>
                <w:szCs w:val="20"/>
                <w:color w:val="auto"/>
              </w:rPr>
            </w:pPr>
            <w:r>
              <w:rPr>
                <w:rFonts w:ascii="Times New Roman" w:cs="Times New Roman" w:eastAsia="Times New Roman" w:hAnsi="Times New Roman"/>
                <w:sz w:val="10"/>
                <w:szCs w:val="10"/>
                <w:color w:val="auto"/>
                <w:w w:val="99"/>
              </w:rPr>
              <w:t>3,212,229</w:t>
            </w:r>
          </w:p>
        </w:tc>
        <w:tc>
          <w:tcPr>
            <w:tcW w:w="5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1,515,215</w:t>
            </w:r>
          </w:p>
        </w:tc>
        <w:tc>
          <w:tcPr>
            <w:tcW w:w="200" w:type="dxa"/>
            <w:vAlign w:val="bottom"/>
          </w:tcPr>
          <w:p>
            <w:pPr>
              <w:spacing w:after="0"/>
              <w:rPr>
                <w:sz w:val="9"/>
                <w:szCs w:val="9"/>
                <w:color w:val="auto"/>
              </w:rPr>
            </w:pPr>
          </w:p>
        </w:tc>
        <w:tc>
          <w:tcPr>
            <w:tcW w:w="32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(27,353)</w:t>
            </w:r>
          </w:p>
        </w:tc>
        <w:tc>
          <w:tcPr>
            <w:tcW w:w="200" w:type="dxa"/>
            <w:vAlign w:val="bottom"/>
          </w:tcPr>
          <w:p>
            <w:pPr>
              <w:spacing w:after="0"/>
              <w:rPr>
                <w:sz w:val="9"/>
                <w:szCs w:val="9"/>
                <w:color w:val="auto"/>
              </w:rPr>
            </w:pPr>
          </w:p>
        </w:tc>
        <w:tc>
          <w:tcPr>
            <w:tcW w:w="280" w:type="dxa"/>
            <w:vAlign w:val="bottom"/>
            <w:tcBorders>
              <w:top w:val="single" w:sz="8" w:color="auto"/>
              <w:bottom w:val="single" w:sz="8" w:color="auto"/>
            </w:tcBorders>
          </w:tcPr>
          <w:p>
            <w:pPr>
              <w:ind w:left="180"/>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ind w:left="120"/>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Pr>
          <w:p>
            <w:pPr>
              <w:spacing w:after="0"/>
              <w:rPr>
                <w:sz w:val="9"/>
                <w:szCs w:val="9"/>
                <w:color w:val="auto"/>
              </w:rPr>
            </w:pPr>
          </w:p>
        </w:tc>
        <w:tc>
          <w:tcPr>
            <w:tcW w:w="5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4,700,091</w:t>
            </w:r>
          </w:p>
        </w:tc>
        <w:tc>
          <w:tcPr>
            <w:tcW w:w="40" w:type="dxa"/>
            <w:vAlign w:val="bottom"/>
          </w:tcPr>
          <w:p>
            <w:pPr>
              <w:spacing w:after="0"/>
              <w:rPr>
                <w:sz w:val="9"/>
                <w:szCs w:val="9"/>
                <w:color w:val="auto"/>
              </w:rPr>
            </w:pPr>
          </w:p>
        </w:tc>
      </w:tr>
      <w:tr>
        <w:trPr>
          <w:trHeight w:val="91"/>
        </w:trPr>
        <w:tc>
          <w:tcPr>
            <w:tcW w:w="620" w:type="dxa"/>
            <w:vAlign w:val="bottom"/>
          </w:tcPr>
          <w:p>
            <w:pPr>
              <w:jc w:val="right"/>
              <w:ind w:right="108"/>
              <w:spacing w:after="0" w:line="91" w:lineRule="exact"/>
              <w:rPr>
                <w:sz w:val="20"/>
                <w:szCs w:val="20"/>
                <w:color w:val="auto"/>
              </w:rPr>
            </w:pPr>
            <w:r>
              <w:rPr>
                <w:rFonts w:ascii="Times New Roman" w:cs="Times New Roman" w:eastAsia="Times New Roman" w:hAnsi="Times New Roman"/>
                <w:sz w:val="10"/>
                <w:szCs w:val="10"/>
                <w:color w:val="auto"/>
              </w:rPr>
              <w:t>(70,874)</w:t>
            </w:r>
          </w:p>
        </w:tc>
        <w:tc>
          <w:tcPr>
            <w:tcW w:w="58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7"/>
                <w:szCs w:val="7"/>
                <w:color w:val="auto"/>
              </w:rPr>
            </w:pPr>
          </w:p>
        </w:tc>
        <w:tc>
          <w:tcPr>
            <w:tcW w:w="2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ind w:left="120"/>
              <w:spacing w:after="0" w:line="91" w:lineRule="exact"/>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Pr>
          <w:p>
            <w:pPr>
              <w:spacing w:after="0"/>
              <w:rPr>
                <w:sz w:val="7"/>
                <w:szCs w:val="7"/>
                <w:color w:val="auto"/>
              </w:rPr>
            </w:pPr>
          </w:p>
        </w:tc>
        <w:tc>
          <w:tcPr>
            <w:tcW w:w="58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(70,874)</w:t>
            </w:r>
          </w:p>
        </w:tc>
        <w:tc>
          <w:tcPr>
            <w:tcW w:w="40" w:type="dxa"/>
            <w:vAlign w:val="bottom"/>
          </w:tcPr>
          <w:p>
            <w:pPr>
              <w:spacing w:after="0"/>
              <w:rPr>
                <w:sz w:val="7"/>
                <w:szCs w:val="7"/>
                <w:color w:val="auto"/>
              </w:rPr>
            </w:pPr>
          </w:p>
        </w:tc>
      </w:tr>
      <w:tr>
        <w:trPr>
          <w:trHeight w:val="108"/>
        </w:trPr>
        <w:tc>
          <w:tcPr>
            <w:tcW w:w="620" w:type="dxa"/>
            <w:vAlign w:val="bottom"/>
          </w:tcPr>
          <w:p>
            <w:pPr>
              <w:jc w:val="right"/>
              <w:ind w:right="148"/>
              <w:spacing w:after="0" w:line="108" w:lineRule="exact"/>
              <w:rPr>
                <w:sz w:val="20"/>
                <w:szCs w:val="20"/>
                <w:color w:val="auto"/>
              </w:rPr>
            </w:pPr>
            <w:r>
              <w:rPr>
                <w:rFonts w:ascii="Times New Roman" w:cs="Times New Roman" w:eastAsia="Times New Roman" w:hAnsi="Times New Roman"/>
                <w:sz w:val="10"/>
                <w:szCs w:val="10"/>
                <w:color w:val="auto"/>
              </w:rPr>
              <w:t>51,846</w:t>
            </w: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51,846</w:t>
            </w:r>
          </w:p>
        </w:tc>
      </w:tr>
      <w:tr>
        <w:trPr>
          <w:trHeight w:val="108"/>
        </w:trPr>
        <w:tc>
          <w:tcPr>
            <w:tcW w:w="620" w:type="dxa"/>
            <w:vAlign w:val="bottom"/>
          </w:tcPr>
          <w:p>
            <w:pPr>
              <w:jc w:val="right"/>
              <w:ind w:right="148"/>
              <w:spacing w:after="0" w:line="108" w:lineRule="exact"/>
              <w:rPr>
                <w:sz w:val="20"/>
                <w:szCs w:val="20"/>
                <w:color w:val="auto"/>
              </w:rPr>
            </w:pPr>
            <w:r>
              <w:rPr>
                <w:rFonts w:ascii="Times New Roman" w:cs="Times New Roman" w:eastAsia="Times New Roman" w:hAnsi="Times New Roman"/>
                <w:sz w:val="10"/>
                <w:szCs w:val="10"/>
                <w:color w:val="auto"/>
              </w:rPr>
              <w:t>34,844</w:t>
            </w: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34,844</w:t>
            </w:r>
          </w:p>
        </w:tc>
      </w:tr>
      <w:tr>
        <w:trPr>
          <w:trHeight w:val="137"/>
        </w:trPr>
        <w:tc>
          <w:tcPr>
            <w:tcW w:w="62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rPr>
              <w:t>1,625</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1,625</w:t>
            </w:r>
          </w:p>
        </w:tc>
      </w:tr>
      <w:tr>
        <w:trPr>
          <w:trHeight w:val="216"/>
        </w:trPr>
        <w:tc>
          <w:tcPr>
            <w:tcW w:w="62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(19,637)</w:t>
            </w:r>
          </w:p>
        </w:tc>
        <w:tc>
          <w:tcPr>
            <w:tcW w:w="660" w:type="dxa"/>
            <w:vAlign w:val="bottom"/>
            <w:gridSpan w:val="3"/>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(19,637)</w:t>
            </w:r>
          </w:p>
        </w:tc>
      </w:tr>
      <w:tr>
        <w:trPr>
          <w:trHeight w:val="216"/>
        </w:trPr>
        <w:tc>
          <w:tcPr>
            <w:tcW w:w="62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(42,449)</w:t>
            </w:r>
          </w:p>
        </w:tc>
        <w:tc>
          <w:tcPr>
            <w:tcW w:w="660" w:type="dxa"/>
            <w:vAlign w:val="bottom"/>
            <w:gridSpan w:val="3"/>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(42,449)</w:t>
            </w:r>
          </w:p>
        </w:tc>
      </w:tr>
      <w:tr>
        <w:trPr>
          <w:trHeight w:val="187"/>
        </w:trPr>
        <w:tc>
          <w:tcPr>
            <w:tcW w:w="62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(6,784)</w:t>
            </w:r>
          </w:p>
        </w:tc>
        <w:tc>
          <w:tcPr>
            <w:tcW w:w="660" w:type="dxa"/>
            <w:vAlign w:val="bottom"/>
            <w:gridSpan w:val="3"/>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(6,784)</w:t>
            </w:r>
          </w:p>
        </w:tc>
      </w:tr>
      <w:tr>
        <w:trPr>
          <w:trHeight w:val="108"/>
        </w:trPr>
        <w:tc>
          <w:tcPr>
            <w:tcW w:w="620" w:type="dxa"/>
            <w:vAlign w:val="bottom"/>
          </w:tcPr>
          <w:p>
            <w:pPr>
              <w:jc w:val="right"/>
              <w:ind w:right="148"/>
              <w:spacing w:after="0" w:line="108"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4,581</w:t>
            </w:r>
          </w:p>
        </w:tc>
        <w:tc>
          <w:tcPr>
            <w:tcW w:w="660" w:type="dxa"/>
            <w:vAlign w:val="bottom"/>
            <w:gridSpan w:val="3"/>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4,581</w:t>
            </w:r>
          </w:p>
        </w:tc>
      </w:tr>
      <w:tr>
        <w:trPr>
          <w:trHeight w:val="108"/>
        </w:trPr>
        <w:tc>
          <w:tcPr>
            <w:tcW w:w="620" w:type="dxa"/>
            <w:vAlign w:val="bottom"/>
          </w:tcPr>
          <w:p>
            <w:pPr>
              <w:jc w:val="right"/>
              <w:ind w:right="148"/>
              <w:spacing w:after="0" w:line="108" w:lineRule="exact"/>
              <w:rPr>
                <w:sz w:val="20"/>
                <w:szCs w:val="20"/>
                <w:color w:val="auto"/>
              </w:rPr>
            </w:pPr>
            <w:r>
              <w:rPr>
                <w:rFonts w:ascii="Times New Roman" w:cs="Times New Roman" w:eastAsia="Times New Roman" w:hAnsi="Times New Roman"/>
                <w:sz w:val="10"/>
                <w:szCs w:val="10"/>
                <w:color w:val="auto"/>
              </w:rPr>
              <w:t>6,451</w:t>
            </w: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7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6,451</w:t>
            </w:r>
          </w:p>
        </w:tc>
      </w:tr>
      <w:tr>
        <w:trPr>
          <w:trHeight w:val="137"/>
        </w:trPr>
        <w:tc>
          <w:tcPr>
            <w:tcW w:w="6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rPr>
              <w:t>(17)</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-993140</wp:posOffset>
            </wp:positionV>
            <wp:extent cx="69278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2785" cy="635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-912495</wp:posOffset>
            </wp:positionV>
            <wp:extent cx="69278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2785"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620"/>
            <w:col w:w="4200"/>
          </w:cols>
          <w:pgMar w:left="220" w:top="341" w:right="1079" w:bottom="1440" w:gutter="0" w:footer="0" w:header="0"/>
          <w:type w:val="continuous"/>
        </w:sectPr>
      </w:pPr>
    </w:p>
    <w:p>
      <w:pPr>
        <w:spacing w:after="0" w:line="7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1" w:right="1079" w:bottom="1440" w:gutter="0" w:footer="0" w:header="0"/>
          <w:type w:val="continuous"/>
        </w:sectPr>
      </w:pPr>
    </w:p>
    <w:bookmarkStart w:id="66" w:name="page67"/>
    <w:bookmarkEnd w:id="66"/>
    <w:p>
      <w:pPr>
        <w:spacing w:after="0"/>
        <w:rPr>
          <w:rFonts w:ascii="Times New Roman" w:cs="Times New Roman" w:eastAsia="Times New Roman" w:hAnsi="Times New Roman"/>
          <w:sz w:val="12"/>
          <w:szCs w:val="12"/>
          <w:b w:val="1"/>
          <w:bCs w:val="1"/>
          <w:u w:val="single" w:color="auto"/>
          <w:color w:val="0000EE"/>
        </w:rPr>
      </w:pPr>
      <w:hyperlink w:anchor="page3">
        <w:r>
          <w:rPr>
            <w:rFonts w:ascii="Times New Roman" w:cs="Times New Roman" w:eastAsia="Times New Roman" w:hAnsi="Times New Roman"/>
            <w:sz w:val="12"/>
            <w:szCs w:val="12"/>
            <w:b w:val="1"/>
            <w:bCs w:val="1"/>
            <w:u w:val="single" w:color="auto"/>
            <w:color w:val="0000EE"/>
          </w:rPr>
          <w:t>Table of Contents</w:t>
        </w:r>
      </w:hyperlink>
    </w:p>
    <w:p>
      <w:pPr>
        <w:sectPr>
          <w:pgSz w:w="11900" w:h="16838" w:orient="portrait"/>
          <w:cols w:equalWidth="0" w:num="1">
            <w:col w:w="10600"/>
          </w:cols>
          <w:pgMar w:left="220" w:top="341" w:right="1079" w:bottom="1440" w:gutter="0" w:footer="0" w:header="0"/>
        </w:sectPr>
      </w:pPr>
    </w:p>
    <w:p>
      <w:pPr>
        <w:spacing w:after="0" w:line="343" w:lineRule="exact"/>
        <w:rPr>
          <w:sz w:val="20"/>
          <w:szCs w:val="20"/>
          <w:color w:val="auto"/>
        </w:rPr>
      </w:pPr>
    </w:p>
    <w:tbl>
      <w:tblPr>
        <w:tblLayout w:type="fixed"/>
        <w:tblInd w:w="680" w:type="dxa"/>
        <w:tblCellMar>
          <w:top w:w="0" w:type="dxa"/>
          <w:left w:w="0" w:type="dxa"/>
          <w:bottom w:w="0" w:type="dxa"/>
          <w:right w:w="0" w:type="dxa"/>
        </w:tblCellMar>
      </w:tblPr>
      <w:tr>
        <w:trPr>
          <w:trHeight w:val="113"/>
        </w:trPr>
        <w:tc>
          <w:tcPr>
            <w:tcW w:w="25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580" w:type="dxa"/>
            <w:vAlign w:val="bottom"/>
          </w:tcPr>
          <w:p>
            <w:pPr>
              <w:spacing w:after="0"/>
              <w:rPr>
                <w:sz w:val="7"/>
                <w:szCs w:val="7"/>
                <w:color w:val="auto"/>
              </w:rPr>
            </w:pPr>
          </w:p>
        </w:tc>
        <w:tc>
          <w:tcPr>
            <w:tcW w:w="760" w:type="dxa"/>
            <w:vAlign w:val="bottom"/>
            <w:tcBorders>
              <w:bottom w:val="single" w:sz="8" w:color="auto"/>
            </w:tcBorders>
            <w:gridSpan w:val="3"/>
          </w:tcPr>
          <w:p>
            <w:pPr>
              <w:jc w:val="right"/>
              <w:ind w:right="67"/>
              <w:spacing w:after="0" w:line="88" w:lineRule="exact"/>
              <w:rPr>
                <w:sz w:val="20"/>
                <w:szCs w:val="20"/>
                <w:color w:val="auto"/>
              </w:rPr>
            </w:pPr>
            <w:r>
              <w:rPr>
                <w:rFonts w:ascii="Times New Roman" w:cs="Times New Roman" w:eastAsia="Times New Roman" w:hAnsi="Times New Roman"/>
                <w:sz w:val="9"/>
                <w:szCs w:val="9"/>
                <w:b w:val="1"/>
                <w:bCs w:val="1"/>
                <w:color w:val="auto"/>
              </w:rPr>
              <w:t>Class A</w:t>
            </w:r>
          </w:p>
        </w:tc>
        <w:tc>
          <w:tcPr>
            <w:tcW w:w="2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Borders>
              <w:bottom w:val="single" w:sz="8" w:color="auto"/>
            </w:tcBorders>
            <w:gridSpan w:val="3"/>
          </w:tcPr>
          <w:p>
            <w:pPr>
              <w:jc w:val="right"/>
              <w:ind w:right="111"/>
              <w:spacing w:after="0" w:line="88" w:lineRule="exact"/>
              <w:rPr>
                <w:sz w:val="20"/>
                <w:szCs w:val="20"/>
                <w:color w:val="auto"/>
              </w:rPr>
            </w:pPr>
            <w:r>
              <w:rPr>
                <w:rFonts w:ascii="Times New Roman" w:cs="Times New Roman" w:eastAsia="Times New Roman" w:hAnsi="Times New Roman"/>
                <w:sz w:val="9"/>
                <w:szCs w:val="9"/>
                <w:b w:val="1"/>
                <w:bCs w:val="1"/>
                <w:color w:val="auto"/>
              </w:rPr>
              <w:t>Class B</w:t>
            </w:r>
          </w:p>
        </w:tc>
        <w:tc>
          <w:tcPr>
            <w:tcW w:w="2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580" w:type="dxa"/>
            <w:vAlign w:val="bottom"/>
          </w:tcPr>
          <w:p>
            <w:pPr>
              <w:spacing w:after="0"/>
              <w:rPr>
                <w:sz w:val="7"/>
                <w:szCs w:val="7"/>
                <w:color w:val="auto"/>
              </w:rPr>
            </w:pPr>
          </w:p>
        </w:tc>
        <w:tc>
          <w:tcPr>
            <w:tcW w:w="440" w:type="dxa"/>
            <w:vAlign w:val="bottom"/>
            <w:tcBorders>
              <w:bottom w:val="single" w:sz="8" w:color="auto"/>
            </w:tcBorders>
          </w:tcPr>
          <w:p>
            <w:pPr>
              <w:jc w:val="right"/>
              <w:ind w:right="48"/>
              <w:spacing w:after="0" w:line="88" w:lineRule="exact"/>
              <w:rPr>
                <w:sz w:val="20"/>
                <w:szCs w:val="20"/>
                <w:color w:val="auto"/>
              </w:rPr>
            </w:pPr>
            <w:r>
              <w:rPr>
                <w:rFonts w:ascii="Times New Roman" w:cs="Times New Roman" w:eastAsia="Times New Roman" w:hAnsi="Times New Roman"/>
                <w:sz w:val="9"/>
                <w:szCs w:val="9"/>
                <w:b w:val="1"/>
                <w:bCs w:val="1"/>
                <w:color w:val="auto"/>
              </w:rPr>
              <w:t>Shares</w:t>
            </w:r>
          </w:p>
        </w:tc>
        <w:tc>
          <w:tcPr>
            <w:tcW w:w="200" w:type="dxa"/>
            <w:vAlign w:val="bottom"/>
          </w:tcPr>
          <w:p>
            <w:pPr>
              <w:spacing w:after="0"/>
              <w:rPr>
                <w:sz w:val="7"/>
                <w:szCs w:val="7"/>
                <w:color w:val="auto"/>
              </w:rPr>
            </w:pPr>
          </w:p>
        </w:tc>
        <w:tc>
          <w:tcPr>
            <w:tcW w:w="380" w:type="dxa"/>
            <w:vAlign w:val="bottom"/>
            <w:tcBorders>
              <w:bottom w:val="single" w:sz="8" w:color="auto"/>
            </w:tcBorders>
            <w:gridSpan w:val="2"/>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Amount</w:t>
            </w:r>
          </w:p>
        </w:tc>
        <w:tc>
          <w:tcPr>
            <w:tcW w:w="200" w:type="dxa"/>
            <w:vAlign w:val="bottom"/>
          </w:tcPr>
          <w:p>
            <w:pPr>
              <w:spacing w:after="0"/>
              <w:rPr>
                <w:sz w:val="7"/>
                <w:szCs w:val="7"/>
                <w:color w:val="auto"/>
              </w:rPr>
            </w:pPr>
          </w:p>
        </w:tc>
        <w:tc>
          <w:tcPr>
            <w:tcW w:w="480" w:type="dxa"/>
            <w:vAlign w:val="bottom"/>
            <w:tcBorders>
              <w:bottom w:val="single" w:sz="8" w:color="auto"/>
            </w:tcBorders>
          </w:tcPr>
          <w:p>
            <w:pPr>
              <w:jc w:val="right"/>
              <w:ind w:right="48"/>
              <w:spacing w:after="0" w:line="88" w:lineRule="exact"/>
              <w:rPr>
                <w:sz w:val="20"/>
                <w:szCs w:val="20"/>
                <w:color w:val="auto"/>
              </w:rPr>
            </w:pPr>
            <w:r>
              <w:rPr>
                <w:rFonts w:ascii="Times New Roman" w:cs="Times New Roman" w:eastAsia="Times New Roman" w:hAnsi="Times New Roman"/>
                <w:sz w:val="9"/>
                <w:szCs w:val="9"/>
                <w:b w:val="1"/>
                <w:bCs w:val="1"/>
                <w:color w:val="auto"/>
              </w:rPr>
              <w:t>Shares</w:t>
            </w:r>
          </w:p>
        </w:tc>
        <w:tc>
          <w:tcPr>
            <w:tcW w:w="200" w:type="dxa"/>
            <w:vAlign w:val="bottom"/>
          </w:tcPr>
          <w:p>
            <w:pPr>
              <w:spacing w:after="0"/>
              <w:rPr>
                <w:sz w:val="7"/>
                <w:szCs w:val="7"/>
                <w:color w:val="auto"/>
              </w:rPr>
            </w:pPr>
          </w:p>
        </w:tc>
        <w:tc>
          <w:tcPr>
            <w:tcW w:w="400" w:type="dxa"/>
            <w:vAlign w:val="bottom"/>
            <w:tcBorders>
              <w:bottom w:val="single" w:sz="8" w:color="auto"/>
            </w:tcBorders>
            <w:gridSpan w:val="2"/>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Amount</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5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Issuance of restricted stock</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Stock-based compensation</w:t>
            </w:r>
          </w:p>
        </w:tc>
        <w:tc>
          <w:tcPr>
            <w:tcW w:w="64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34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Dividend of 17.5% of Fidelity National Title Group,</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200"/>
              <w:spacing w:after="0" w:line="108" w:lineRule="exact"/>
              <w:rPr>
                <w:sz w:val="20"/>
                <w:szCs w:val="20"/>
                <w:color w:val="auto"/>
              </w:rPr>
            </w:pPr>
            <w:r>
              <w:rPr>
                <w:rFonts w:ascii="Times New Roman" w:cs="Times New Roman" w:eastAsia="Times New Roman" w:hAnsi="Times New Roman"/>
                <w:sz w:val="10"/>
                <w:szCs w:val="10"/>
                <w:color w:val="auto"/>
              </w:rPr>
              <w:t>Inc.</w:t>
            </w: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Cash dividends</w:t>
            </w:r>
          </w:p>
        </w:tc>
        <w:tc>
          <w:tcPr>
            <w:tcW w:w="64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34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5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Net earnings</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Balance, December 31, 2005</w:t>
            </w: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31,147</w:t>
            </w:r>
          </w:p>
        </w:tc>
        <w:tc>
          <w:tcPr>
            <w:tcW w:w="20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5"/>
                <w:szCs w:val="5"/>
                <w:color w:val="auto"/>
                <w:w w:val="78"/>
              </w:rPr>
              <w:t>$</w:t>
            </w:r>
          </w:p>
        </w:tc>
        <w:tc>
          <w:tcPr>
            <w:tcW w:w="2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w:t>
            </w:r>
          </w:p>
        </w:tc>
        <w:tc>
          <w:tcPr>
            <w:tcW w:w="200" w:type="dxa"/>
            <w:vAlign w:val="bottom"/>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143,176</w:t>
            </w:r>
          </w:p>
        </w:tc>
        <w:tc>
          <w:tcPr>
            <w:tcW w:w="20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1"/>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2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14</w:t>
            </w:r>
          </w:p>
        </w:tc>
        <w:tc>
          <w:tcPr>
            <w:tcW w:w="100" w:type="dxa"/>
            <w:vAlign w:val="bottom"/>
          </w:tcPr>
          <w:p>
            <w:pPr>
              <w:spacing w:after="0"/>
              <w:rPr>
                <w:sz w:val="9"/>
                <w:szCs w:val="9"/>
                <w:color w:val="auto"/>
              </w:rPr>
            </w:pPr>
          </w:p>
        </w:tc>
        <w:tc>
          <w:tcPr>
            <w:tcW w:w="1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1"/>
        </w:trPr>
        <w:tc>
          <w:tcPr>
            <w:tcW w:w="2580" w:type="dxa"/>
            <w:vAlign w:val="bottom"/>
          </w:tcPr>
          <w:p>
            <w:pPr>
              <w:ind w:left="100"/>
              <w:spacing w:after="0" w:line="91" w:lineRule="exact"/>
              <w:rPr>
                <w:sz w:val="20"/>
                <w:szCs w:val="20"/>
                <w:color w:val="auto"/>
              </w:rPr>
            </w:pPr>
            <w:r>
              <w:rPr>
                <w:rFonts w:ascii="Times New Roman" w:cs="Times New Roman" w:eastAsia="Times New Roman" w:hAnsi="Times New Roman"/>
                <w:sz w:val="10"/>
                <w:szCs w:val="10"/>
                <w:color w:val="auto"/>
              </w:rPr>
              <w:t>Exercise of Old FNF stock options</w:t>
            </w:r>
          </w:p>
        </w:tc>
        <w:tc>
          <w:tcPr>
            <w:tcW w:w="44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7"/>
                <w:szCs w:val="7"/>
                <w:color w:val="auto"/>
              </w:rPr>
            </w:pPr>
          </w:p>
        </w:tc>
        <w:tc>
          <w:tcPr>
            <w:tcW w:w="48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Exercise of new FNF options</w:t>
            </w:r>
          </w:p>
        </w:tc>
        <w:tc>
          <w:tcPr>
            <w:tcW w:w="64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34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Shares withheld for taxes and cancelled</w:t>
            </w:r>
          </w:p>
        </w:tc>
        <w:tc>
          <w:tcPr>
            <w:tcW w:w="4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170</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34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Tax benefit associated with the exercise of stock options</w:t>
            </w:r>
          </w:p>
        </w:tc>
        <w:tc>
          <w:tcPr>
            <w:tcW w:w="64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34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Closing of Securities Exchange and Distribution</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188,646</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19</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(143,176)</w:t>
            </w:r>
          </w:p>
        </w:tc>
        <w:tc>
          <w:tcPr>
            <w:tcW w:w="160" w:type="dxa"/>
            <w:vAlign w:val="bottom"/>
          </w:tcPr>
          <w:p>
            <w:pPr>
              <w:spacing w:after="0"/>
              <w:rPr>
                <w:sz w:val="9"/>
                <w:szCs w:val="9"/>
                <w:color w:val="auto"/>
              </w:rPr>
            </w:pPr>
          </w:p>
        </w:tc>
        <w:tc>
          <w:tcPr>
            <w:tcW w:w="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(14)</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200"/>
              <w:spacing w:after="0" w:line="108" w:lineRule="exact"/>
              <w:rPr>
                <w:sz w:val="20"/>
                <w:szCs w:val="20"/>
                <w:color w:val="auto"/>
              </w:rPr>
            </w:pPr>
            <w:r>
              <w:rPr>
                <w:rFonts w:ascii="Times New Roman" w:cs="Times New Roman" w:eastAsia="Times New Roman" w:hAnsi="Times New Roman"/>
                <w:sz w:val="10"/>
                <w:szCs w:val="10"/>
                <w:color w:val="auto"/>
              </w:rPr>
              <w:t>Agreement</w:t>
            </w:r>
          </w:p>
        </w:tc>
        <w:tc>
          <w:tcPr>
            <w:tcW w:w="4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Issuance of restricted stock</w:t>
            </w:r>
          </w:p>
        </w:tc>
        <w:tc>
          <w:tcPr>
            <w:tcW w:w="4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1,545</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34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Acquisition of Certegy, Inc.</w:t>
            </w:r>
          </w:p>
        </w:tc>
        <w:tc>
          <w:tcPr>
            <w:tcW w:w="64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34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Issuance of subsidiary stock, net of minority interest</w:t>
            </w:r>
          </w:p>
        </w:tc>
        <w:tc>
          <w:tcPr>
            <w:tcW w:w="64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34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Other comprehensive earnings — unrealized gain on</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200"/>
              <w:spacing w:after="0" w:line="108" w:lineRule="exact"/>
              <w:rPr>
                <w:sz w:val="20"/>
                <w:szCs w:val="20"/>
                <w:color w:val="auto"/>
              </w:rPr>
            </w:pPr>
            <w:r>
              <w:rPr>
                <w:rFonts w:ascii="Times New Roman" w:cs="Times New Roman" w:eastAsia="Times New Roman" w:hAnsi="Times New Roman"/>
                <w:sz w:val="10"/>
                <w:szCs w:val="10"/>
                <w:color w:val="auto"/>
              </w:rPr>
              <w:t>foreign currency</w:t>
            </w: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Other comprehensive earnings — unrealized gain on</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200"/>
              <w:spacing w:after="0" w:line="108" w:lineRule="exact"/>
              <w:rPr>
                <w:sz w:val="20"/>
                <w:szCs w:val="20"/>
                <w:color w:val="auto"/>
              </w:rPr>
            </w:pPr>
            <w:r>
              <w:rPr>
                <w:rFonts w:ascii="Times New Roman" w:cs="Times New Roman" w:eastAsia="Times New Roman" w:hAnsi="Times New Roman"/>
                <w:sz w:val="10"/>
                <w:szCs w:val="10"/>
                <w:color w:val="auto"/>
              </w:rPr>
              <w:t>investments and other financial instruments</w:t>
            </w: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Other comprehensive earnings — minimum pension</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200"/>
              <w:spacing w:after="0" w:line="108" w:lineRule="exact"/>
              <w:rPr>
                <w:sz w:val="20"/>
                <w:szCs w:val="20"/>
                <w:color w:val="auto"/>
              </w:rPr>
            </w:pPr>
            <w:r>
              <w:rPr>
                <w:rFonts w:ascii="Times New Roman" w:cs="Times New Roman" w:eastAsia="Times New Roman" w:hAnsi="Times New Roman"/>
                <w:sz w:val="10"/>
                <w:szCs w:val="10"/>
                <w:color w:val="auto"/>
              </w:rPr>
              <w:t>liability adjustment</w:t>
            </w: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Other comprehensive earnings — minority interest</w:t>
            </w:r>
          </w:p>
        </w:tc>
        <w:tc>
          <w:tcPr>
            <w:tcW w:w="64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34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Capital contribution to Fidelity National Information</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200"/>
              <w:spacing w:after="0" w:line="108" w:lineRule="exact"/>
              <w:rPr>
                <w:sz w:val="20"/>
                <w:szCs w:val="20"/>
                <w:color w:val="auto"/>
              </w:rPr>
            </w:pPr>
            <w:r>
              <w:rPr>
                <w:rFonts w:ascii="Times New Roman" w:cs="Times New Roman" w:eastAsia="Times New Roman" w:hAnsi="Times New Roman"/>
                <w:sz w:val="10"/>
                <w:szCs w:val="10"/>
                <w:color w:val="auto"/>
              </w:rPr>
              <w:t>Services, Inc.</w:t>
            </w: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Stock-based compensation</w:t>
            </w:r>
          </w:p>
        </w:tc>
        <w:tc>
          <w:tcPr>
            <w:tcW w:w="64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34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Shares withheld for taxes and in treasury</w:t>
            </w:r>
          </w:p>
        </w:tc>
        <w:tc>
          <w:tcPr>
            <w:tcW w:w="64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34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Cash dividends</w:t>
            </w:r>
          </w:p>
        </w:tc>
        <w:tc>
          <w:tcPr>
            <w:tcW w:w="64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34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5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Net earnings</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5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Balance, December 31, 2006</w:t>
            </w: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221,508</w:t>
            </w:r>
          </w:p>
        </w:tc>
        <w:tc>
          <w:tcPr>
            <w:tcW w:w="20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5"/>
                <w:szCs w:val="5"/>
                <w:color w:val="auto"/>
                <w:w w:val="78"/>
              </w:rPr>
              <w:t>$</w:t>
            </w:r>
          </w:p>
        </w:tc>
        <w:tc>
          <w:tcPr>
            <w:tcW w:w="2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22</w:t>
            </w:r>
          </w:p>
        </w:tc>
        <w:tc>
          <w:tcPr>
            <w:tcW w:w="20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-2115185</wp:posOffset>
            </wp:positionV>
            <wp:extent cx="6335395" cy="685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-1978025</wp:posOffset>
            </wp:positionV>
            <wp:extent cx="633539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35395" cy="13716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-1772285</wp:posOffset>
            </wp:positionV>
            <wp:extent cx="6335395" cy="685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-1609725</wp:posOffset>
            </wp:positionV>
            <wp:extent cx="6335395" cy="685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-1472565</wp:posOffset>
            </wp:positionV>
            <wp:extent cx="6335395" cy="685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-1334770</wp:posOffset>
            </wp:positionV>
            <wp:extent cx="633539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35395" cy="13716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-1129030</wp:posOffset>
            </wp:positionV>
            <wp:extent cx="6335395" cy="685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-991870</wp:posOffset>
            </wp:positionV>
            <wp:extent cx="633539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35395" cy="13716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-716915</wp:posOffset>
            </wp:positionV>
            <wp:extent cx="633539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35395" cy="13716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-511175</wp:posOffset>
            </wp:positionV>
            <wp:extent cx="633539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35395" cy="13716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-305435</wp:posOffset>
            </wp:positionV>
            <wp:extent cx="6335395" cy="685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-167640</wp:posOffset>
            </wp:positionV>
            <wp:extent cx="6335395" cy="685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35395"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8"/>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tcPr>
          <w:p>
            <w:pPr>
              <w:jc w:val="center"/>
              <w:ind w:right="309"/>
              <w:spacing w:after="0"/>
              <w:rPr>
                <w:sz w:val="20"/>
                <w:szCs w:val="20"/>
                <w:color w:val="auto"/>
              </w:rPr>
            </w:pPr>
            <w:r>
              <w:rPr>
                <w:rFonts w:ascii="Times New Roman" w:cs="Times New Roman" w:eastAsia="Times New Roman" w:hAnsi="Times New Roman"/>
                <w:sz w:val="9"/>
                <w:szCs w:val="9"/>
                <w:b w:val="1"/>
                <w:bCs w:val="1"/>
                <w:color w:val="auto"/>
                <w:w w:val="98"/>
              </w:rPr>
              <w:t>Investment by</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Other</w:t>
            </w:r>
          </w:p>
        </w:tc>
        <w:tc>
          <w:tcPr>
            <w:tcW w:w="1080" w:type="dxa"/>
            <w:vAlign w:val="bottom"/>
            <w:gridSpan w:val="4"/>
            <w:vMerge w:val="restart"/>
          </w:tcPr>
          <w:p>
            <w:pPr>
              <w:ind w:left="140"/>
              <w:spacing w:after="0"/>
              <w:rPr>
                <w:sz w:val="20"/>
                <w:szCs w:val="20"/>
                <w:color w:val="auto"/>
              </w:rPr>
            </w:pPr>
            <w:r>
              <w:rPr>
                <w:rFonts w:ascii="Times New Roman" w:cs="Times New Roman" w:eastAsia="Times New Roman" w:hAnsi="Times New Roman"/>
                <w:sz w:val="9"/>
                <w:szCs w:val="9"/>
                <w:b w:val="1"/>
                <w:bCs w:val="1"/>
                <w:color w:val="auto"/>
              </w:rPr>
              <w:t>Treasury Stock</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100" w:type="dxa"/>
            <w:vAlign w:val="bottom"/>
          </w:tcPr>
          <w:p>
            <w:pPr>
              <w:jc w:val="center"/>
              <w:ind w:right="309"/>
              <w:spacing w:after="0"/>
              <w:rPr>
                <w:sz w:val="20"/>
                <w:szCs w:val="20"/>
                <w:color w:val="auto"/>
              </w:rPr>
            </w:pPr>
            <w:r>
              <w:rPr>
                <w:rFonts w:ascii="Times New Roman" w:cs="Times New Roman" w:eastAsia="Times New Roman" w:hAnsi="Times New Roman"/>
                <w:sz w:val="9"/>
                <w:szCs w:val="9"/>
                <w:b w:val="1"/>
                <w:bCs w:val="1"/>
                <w:color w:val="auto"/>
              </w:rPr>
              <w:t>Parent /Additional</w:t>
            </w:r>
          </w:p>
        </w:tc>
        <w:tc>
          <w:tcPr>
            <w:tcW w:w="100" w:type="dxa"/>
            <w:vAlign w:val="bottom"/>
          </w:tcPr>
          <w:p>
            <w:pPr>
              <w:spacing w:after="0"/>
              <w:rPr>
                <w:sz w:val="9"/>
                <w:szCs w:val="9"/>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9"/>
                <w:szCs w:val="9"/>
                <w:b w:val="1"/>
                <w:bCs w:val="1"/>
                <w:color w:val="auto"/>
              </w:rPr>
              <w:t>Retained</w:t>
            </w:r>
          </w:p>
        </w:tc>
        <w:tc>
          <w:tcPr>
            <w:tcW w:w="80" w:type="dxa"/>
            <w:vAlign w:val="bottom"/>
          </w:tcPr>
          <w:p>
            <w:pPr>
              <w:spacing w:after="0"/>
              <w:rPr>
                <w:sz w:val="9"/>
                <w:szCs w:val="9"/>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w w:val="99"/>
              </w:rPr>
              <w:t>Comprehensive</w:t>
            </w:r>
          </w:p>
        </w:tc>
        <w:tc>
          <w:tcPr>
            <w:tcW w:w="10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00" w:type="dxa"/>
            <w:vAlign w:val="bottom"/>
          </w:tcPr>
          <w:p>
            <w:pPr>
              <w:jc w:val="center"/>
              <w:ind w:right="309"/>
              <w:spacing w:after="0" w:line="88" w:lineRule="exact"/>
              <w:rPr>
                <w:sz w:val="20"/>
                <w:szCs w:val="20"/>
                <w:color w:val="auto"/>
              </w:rPr>
            </w:pPr>
            <w:r>
              <w:rPr>
                <w:rFonts w:ascii="Times New Roman" w:cs="Times New Roman" w:eastAsia="Times New Roman" w:hAnsi="Times New Roman"/>
                <w:sz w:val="9"/>
                <w:szCs w:val="9"/>
                <w:b w:val="1"/>
                <w:bCs w:val="1"/>
                <w:color w:val="auto"/>
              </w:rPr>
              <w:t>Paid-In Capital</w:t>
            </w:r>
          </w:p>
        </w:tc>
        <w:tc>
          <w:tcPr>
            <w:tcW w:w="100" w:type="dxa"/>
            <w:vAlign w:val="bottom"/>
          </w:tcPr>
          <w:p>
            <w:pPr>
              <w:spacing w:after="0"/>
              <w:rPr>
                <w:sz w:val="7"/>
                <w:szCs w:val="7"/>
                <w:color w:val="auto"/>
              </w:rPr>
            </w:pPr>
          </w:p>
        </w:tc>
        <w:tc>
          <w:tcPr>
            <w:tcW w:w="700" w:type="dxa"/>
            <w:vAlign w:val="bottom"/>
            <w:gridSpan w:val="4"/>
          </w:tcPr>
          <w:p>
            <w:pPr>
              <w:ind w:left="20"/>
              <w:spacing w:after="0" w:line="88" w:lineRule="exact"/>
              <w:rPr>
                <w:sz w:val="20"/>
                <w:szCs w:val="20"/>
                <w:color w:val="auto"/>
              </w:rPr>
            </w:pPr>
            <w:r>
              <w:rPr>
                <w:rFonts w:ascii="Times New Roman" w:cs="Times New Roman" w:eastAsia="Times New Roman" w:hAnsi="Times New Roman"/>
                <w:sz w:val="9"/>
                <w:szCs w:val="9"/>
                <w:b w:val="1"/>
                <w:bCs w:val="1"/>
                <w:color w:val="auto"/>
              </w:rPr>
              <w:t>Earnings</w:t>
            </w:r>
          </w:p>
        </w:tc>
        <w:tc>
          <w:tcPr>
            <w:tcW w:w="80" w:type="dxa"/>
            <w:vAlign w:val="bottom"/>
          </w:tcPr>
          <w:p>
            <w:pPr>
              <w:spacing w:after="0"/>
              <w:rPr>
                <w:sz w:val="7"/>
                <w:szCs w:val="7"/>
                <w:color w:val="auto"/>
              </w:rPr>
            </w:pPr>
          </w:p>
        </w:tc>
        <w:tc>
          <w:tcPr>
            <w:tcW w:w="1000" w:type="dxa"/>
            <w:vAlign w:val="bottom"/>
            <w:gridSpan w:val="2"/>
          </w:tcPr>
          <w:p>
            <w:pPr>
              <w:jc w:val="center"/>
              <w:ind w:right="280"/>
              <w:spacing w:after="0" w:line="88" w:lineRule="exact"/>
              <w:rPr>
                <w:sz w:val="20"/>
                <w:szCs w:val="20"/>
                <w:color w:val="auto"/>
              </w:rPr>
            </w:pPr>
            <w:r>
              <w:rPr>
                <w:rFonts w:ascii="Times New Roman" w:cs="Times New Roman" w:eastAsia="Times New Roman" w:hAnsi="Times New Roman"/>
                <w:sz w:val="9"/>
                <w:szCs w:val="9"/>
                <w:b w:val="1"/>
                <w:bCs w:val="1"/>
                <w:color w:val="auto"/>
              </w:rPr>
              <w:t>Earnings(Loss)</w:t>
            </w:r>
          </w:p>
        </w:tc>
        <w:tc>
          <w:tcPr>
            <w:tcW w:w="480" w:type="dxa"/>
            <w:vAlign w:val="bottom"/>
            <w:tcBorders>
              <w:top w:val="single" w:sz="8" w:color="auto"/>
            </w:tcBorders>
            <w:gridSpan w:val="2"/>
          </w:tcPr>
          <w:p>
            <w:pPr>
              <w:ind w:left="20"/>
              <w:spacing w:after="0" w:line="88" w:lineRule="exact"/>
              <w:rPr>
                <w:sz w:val="20"/>
                <w:szCs w:val="20"/>
                <w:color w:val="auto"/>
              </w:rPr>
            </w:pPr>
            <w:r>
              <w:rPr>
                <w:rFonts w:ascii="Times New Roman" w:cs="Times New Roman" w:eastAsia="Times New Roman" w:hAnsi="Times New Roman"/>
                <w:sz w:val="9"/>
                <w:szCs w:val="9"/>
                <w:b w:val="1"/>
                <w:bCs w:val="1"/>
                <w:color w:val="auto"/>
              </w:rPr>
              <w:t>Shares</w:t>
            </w:r>
          </w:p>
        </w:tc>
        <w:tc>
          <w:tcPr>
            <w:tcW w:w="40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Amount</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gridSpan w:val="2"/>
          </w:tcPr>
          <w:p>
            <w:pPr>
              <w:jc w:val="right"/>
              <w:ind w:right="220"/>
              <w:spacing w:after="0" w:line="88" w:lineRule="exact"/>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11"/>
        </w:trPr>
        <w:tc>
          <w:tcPr>
            <w:tcW w:w="1100" w:type="dxa"/>
            <w:vAlign w:val="bottom"/>
          </w:tcPr>
          <w:p>
            <w:pPr>
              <w:jc w:val="right"/>
              <w:spacing w:after="0" w:line="102" w:lineRule="exact"/>
              <w:rPr>
                <w:sz w:val="20"/>
                <w:szCs w:val="20"/>
                <w:color w:val="auto"/>
              </w:rPr>
            </w:pPr>
            <w:r>
              <w:rPr>
                <w:rFonts w:ascii="Times New Roman" w:cs="Times New Roman" w:eastAsia="Times New Roman" w:hAnsi="Times New Roman"/>
                <w:sz w:val="9"/>
                <w:szCs w:val="9"/>
                <w:b w:val="1"/>
                <w:bCs w:val="1"/>
                <w:color w:val="auto"/>
              </w:rPr>
              <w:t>(In thousands, except</w:t>
            </w:r>
          </w:p>
        </w:tc>
        <w:tc>
          <w:tcPr>
            <w:tcW w:w="6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9"/>
                <w:szCs w:val="9"/>
                <w:b w:val="1"/>
                <w:bCs w:val="1"/>
                <w:color w:val="auto"/>
                <w:w w:val="95"/>
              </w:rPr>
              <w:t>per share data)</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tcPr>
          <w:p>
            <w:pPr>
              <w:jc w:val="right"/>
              <w:ind w:right="129"/>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700" w:type="dxa"/>
            <w:vAlign w:val="bottom"/>
            <w:gridSpan w:val="4"/>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7"/>
        </w:trPr>
        <w:tc>
          <w:tcPr>
            <w:tcW w:w="110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18,856</w:t>
            </w:r>
          </w:p>
        </w:tc>
        <w:tc>
          <w:tcPr>
            <w:tcW w:w="100" w:type="dxa"/>
            <w:vAlign w:val="bottom"/>
          </w:tcPr>
          <w:p>
            <w:pPr>
              <w:spacing w:after="0"/>
              <w:rPr>
                <w:sz w:val="11"/>
                <w:szCs w:val="11"/>
                <w:color w:val="auto"/>
              </w:rPr>
            </w:pPr>
          </w:p>
        </w:tc>
        <w:tc>
          <w:tcPr>
            <w:tcW w:w="700" w:type="dxa"/>
            <w:vAlign w:val="bottom"/>
            <w:gridSpan w:val="4"/>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18,856</w:t>
            </w:r>
          </w:p>
        </w:tc>
        <w:tc>
          <w:tcPr>
            <w:tcW w:w="0" w:type="dxa"/>
            <w:vAlign w:val="bottom"/>
          </w:tcPr>
          <w:p>
            <w:pPr>
              <w:spacing w:after="0"/>
              <w:rPr>
                <w:sz w:val="1"/>
                <w:szCs w:val="1"/>
                <w:color w:val="auto"/>
              </w:rPr>
            </w:pPr>
          </w:p>
        </w:tc>
      </w:tr>
      <w:tr>
        <w:trPr>
          <w:trHeight w:val="187"/>
        </w:trPr>
        <w:tc>
          <w:tcPr>
            <w:tcW w:w="110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6"/>
                <w:szCs w:val="16"/>
                <w:color w:val="auto"/>
              </w:rPr>
            </w:pP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0"/>
                <w:szCs w:val="10"/>
                <w:color w:val="auto"/>
              </w:rPr>
              <w:t>(435,268)</w:t>
            </w:r>
          </w:p>
        </w:tc>
        <w:tc>
          <w:tcPr>
            <w:tcW w:w="8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12,775</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(422,493)</w:t>
            </w:r>
          </w:p>
        </w:tc>
        <w:tc>
          <w:tcPr>
            <w:tcW w:w="0" w:type="dxa"/>
            <w:vAlign w:val="bottom"/>
          </w:tcPr>
          <w:p>
            <w:pPr>
              <w:spacing w:after="0"/>
              <w:rPr>
                <w:sz w:val="1"/>
                <w:szCs w:val="1"/>
                <w:color w:val="auto"/>
              </w:rPr>
            </w:pPr>
          </w:p>
        </w:tc>
      </w:tr>
      <w:tr>
        <w:trPr>
          <w:trHeight w:val="108"/>
        </w:trPr>
        <w:tc>
          <w:tcPr>
            <w:tcW w:w="1100" w:type="dxa"/>
            <w:vAlign w:val="bottom"/>
          </w:tcPr>
          <w:p>
            <w:pPr>
              <w:jc w:val="right"/>
              <w:ind w:right="129"/>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700" w:type="dxa"/>
            <w:vAlign w:val="bottom"/>
            <w:gridSpan w:val="4"/>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(1,940,388)</w:t>
            </w:r>
          </w:p>
        </w:tc>
        <w:tc>
          <w:tcPr>
            <w:tcW w:w="8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(1,940,388)</w:t>
            </w:r>
          </w:p>
        </w:tc>
        <w:tc>
          <w:tcPr>
            <w:tcW w:w="0" w:type="dxa"/>
            <w:vAlign w:val="bottom"/>
          </w:tcPr>
          <w:p>
            <w:pPr>
              <w:spacing w:after="0"/>
              <w:rPr>
                <w:sz w:val="1"/>
                <w:szCs w:val="1"/>
                <w:color w:val="auto"/>
              </w:rPr>
            </w:pPr>
          </w:p>
        </w:tc>
      </w:tr>
      <w:tr>
        <w:trPr>
          <w:trHeight w:val="125"/>
        </w:trPr>
        <w:tc>
          <w:tcPr>
            <w:tcW w:w="110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964,106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964,106</w:t>
            </w:r>
          </w:p>
        </w:tc>
        <w:tc>
          <w:tcPr>
            <w:tcW w:w="0" w:type="dxa"/>
            <w:vAlign w:val="bottom"/>
          </w:tcPr>
          <w:p>
            <w:pPr>
              <w:spacing w:after="0"/>
              <w:rPr>
                <w:sz w:val="1"/>
                <w:szCs w:val="1"/>
                <w:color w:val="auto"/>
              </w:rPr>
            </w:pPr>
          </w:p>
        </w:tc>
      </w:tr>
      <w:tr>
        <w:trPr>
          <w:trHeight w:val="108"/>
        </w:trPr>
        <w:tc>
          <w:tcPr>
            <w:tcW w:w="1100" w:type="dxa"/>
            <w:vAlign w:val="bottom"/>
          </w:tcPr>
          <w:p>
            <w:pPr>
              <w:jc w:val="right"/>
              <w:ind w:right="129"/>
              <w:spacing w:after="0" w:line="108" w:lineRule="exact"/>
              <w:rPr>
                <w:sz w:val="20"/>
                <w:szCs w:val="20"/>
                <w:color w:val="auto"/>
              </w:rPr>
            </w:pPr>
            <w:r>
              <w:rPr>
                <w:rFonts w:ascii="Times New Roman" w:cs="Times New Roman" w:eastAsia="Times New Roman" w:hAnsi="Times New Roman"/>
                <w:sz w:val="10"/>
                <w:szCs w:val="10"/>
                <w:color w:val="auto"/>
              </w:rPr>
              <w:t>3,254,960</w:t>
            </w:r>
          </w:p>
        </w:tc>
        <w:tc>
          <w:tcPr>
            <w:tcW w:w="100" w:type="dxa"/>
            <w:vAlign w:val="bottom"/>
            <w:tcBorders>
              <w:top w:val="single" w:sz="8" w:color="auto"/>
            </w:tcBorders>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top w:val="single" w:sz="8" w:color="auto"/>
            </w:tcBorders>
            <w:gridSpan w:val="3"/>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103,665</w:t>
            </w:r>
          </w:p>
        </w:tc>
        <w:tc>
          <w:tcPr>
            <w:tcW w:w="160" w:type="dxa"/>
            <w:vAlign w:val="bottom"/>
          </w:tcPr>
          <w:p>
            <w:pPr>
              <w:spacing w:after="0"/>
              <w:rPr>
                <w:sz w:val="9"/>
                <w:szCs w:val="9"/>
                <w:color w:val="auto"/>
              </w:rPr>
            </w:pPr>
          </w:p>
        </w:tc>
        <w:tc>
          <w:tcPr>
            <w:tcW w:w="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(78,867)</w:t>
            </w:r>
          </w:p>
        </w:tc>
        <w:tc>
          <w:tcPr>
            <w:tcW w:w="200" w:type="dxa"/>
            <w:vAlign w:val="bottom"/>
          </w:tcPr>
          <w:p>
            <w:pPr>
              <w:spacing w:after="0"/>
              <w:rPr>
                <w:sz w:val="9"/>
                <w:szCs w:val="9"/>
                <w:color w:val="auto"/>
              </w:rPr>
            </w:pPr>
          </w:p>
        </w:tc>
        <w:tc>
          <w:tcPr>
            <w:tcW w:w="280" w:type="dxa"/>
            <w:vAlign w:val="bottom"/>
            <w:tcBorders>
              <w:top w:val="single" w:sz="8" w:color="auto"/>
            </w:tcBorders>
          </w:tcPr>
          <w:p>
            <w:pPr>
              <w:ind w:left="180"/>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3,279,775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100" w:type="dxa"/>
            <w:vAlign w:val="bottom"/>
          </w:tcPr>
          <w:p>
            <w:pPr>
              <w:jc w:val="right"/>
              <w:ind w:right="129"/>
              <w:spacing w:after="0" w:line="91" w:lineRule="exact"/>
              <w:rPr>
                <w:sz w:val="20"/>
                <w:szCs w:val="20"/>
                <w:color w:val="auto"/>
              </w:rPr>
            </w:pPr>
            <w:r>
              <w:rPr>
                <w:rFonts w:ascii="Times New Roman" w:cs="Times New Roman" w:eastAsia="Times New Roman" w:hAnsi="Times New Roman"/>
                <w:sz w:val="10"/>
                <w:szCs w:val="10"/>
                <w:color w:val="auto"/>
              </w:rPr>
              <w:t>49,051</w:t>
            </w: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gridSpan w:val="2"/>
          </w:tcPr>
          <w:p>
            <w:pPr>
              <w:jc w:val="right"/>
              <w:ind w:right="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gridSpan w:val="2"/>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7"/>
                <w:szCs w:val="7"/>
                <w:color w:val="auto"/>
              </w:rPr>
            </w:pPr>
          </w:p>
        </w:tc>
        <w:tc>
          <w:tcPr>
            <w:tcW w:w="280" w:type="dxa"/>
            <w:vAlign w:val="bottom"/>
            <w:tcBorders>
              <w:top w:val="single" w:sz="8" w:color="auto"/>
            </w:tcBorders>
          </w:tcPr>
          <w:p>
            <w:pPr>
              <w:ind w:left="180"/>
              <w:spacing w:after="0" w:line="91" w:lineRule="exact"/>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Pr>
          <w:p>
            <w:pPr>
              <w:spacing w:after="0"/>
              <w:rPr>
                <w:sz w:val="7"/>
                <w:szCs w:val="7"/>
                <w:color w:val="auto"/>
              </w:rPr>
            </w:pPr>
          </w:p>
        </w:tc>
        <w:tc>
          <w:tcPr>
            <w:tcW w:w="40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color w:val="auto"/>
              </w:rPr>
              <w:t>49,051</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100" w:type="dxa"/>
            <w:vAlign w:val="bottom"/>
          </w:tcPr>
          <w:p>
            <w:pPr>
              <w:jc w:val="right"/>
              <w:ind w:right="129"/>
              <w:spacing w:after="0" w:line="108" w:lineRule="exact"/>
              <w:rPr>
                <w:sz w:val="20"/>
                <w:szCs w:val="20"/>
                <w:color w:val="auto"/>
              </w:rPr>
            </w:pPr>
            <w:r>
              <w:rPr>
                <w:rFonts w:ascii="Times New Roman" w:cs="Times New Roman" w:eastAsia="Times New Roman" w:hAnsi="Times New Roman"/>
                <w:sz w:val="10"/>
                <w:szCs w:val="10"/>
                <w:color w:val="auto"/>
              </w:rPr>
              <w:t>1,597</w:t>
            </w:r>
          </w:p>
        </w:tc>
        <w:tc>
          <w:tcPr>
            <w:tcW w:w="100" w:type="dxa"/>
            <w:vAlign w:val="bottom"/>
          </w:tcPr>
          <w:p>
            <w:pPr>
              <w:spacing w:after="0"/>
              <w:rPr>
                <w:sz w:val="9"/>
                <w:szCs w:val="9"/>
                <w:color w:val="auto"/>
              </w:rPr>
            </w:pPr>
          </w:p>
        </w:tc>
        <w:tc>
          <w:tcPr>
            <w:tcW w:w="700" w:type="dxa"/>
            <w:vAlign w:val="bottom"/>
            <w:gridSpan w:val="4"/>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1,597</w:t>
            </w:r>
          </w:p>
        </w:tc>
        <w:tc>
          <w:tcPr>
            <w:tcW w:w="0" w:type="dxa"/>
            <w:vAlign w:val="bottom"/>
          </w:tcPr>
          <w:p>
            <w:pPr>
              <w:spacing w:after="0"/>
              <w:rPr>
                <w:sz w:val="1"/>
                <w:szCs w:val="1"/>
                <w:color w:val="auto"/>
              </w:rPr>
            </w:pPr>
          </w:p>
        </w:tc>
      </w:tr>
      <w:tr>
        <w:trPr>
          <w:trHeight w:val="108"/>
        </w:trPr>
        <w:tc>
          <w:tcPr>
            <w:tcW w:w="1100" w:type="dxa"/>
            <w:vAlign w:val="bottom"/>
          </w:tcPr>
          <w:p>
            <w:pPr>
              <w:jc w:val="right"/>
              <w:ind w:right="109"/>
              <w:spacing w:after="0" w:line="108" w:lineRule="exact"/>
              <w:rPr>
                <w:sz w:val="20"/>
                <w:szCs w:val="20"/>
                <w:color w:val="auto"/>
              </w:rPr>
            </w:pPr>
            <w:r>
              <w:rPr>
                <w:rFonts w:ascii="Times New Roman" w:cs="Times New Roman" w:eastAsia="Times New Roman" w:hAnsi="Times New Roman"/>
                <w:sz w:val="10"/>
                <w:szCs w:val="10"/>
                <w:color w:val="auto"/>
              </w:rPr>
              <w:t>(55,498)</w:t>
            </w:r>
          </w:p>
        </w:tc>
        <w:tc>
          <w:tcPr>
            <w:tcW w:w="100" w:type="dxa"/>
            <w:vAlign w:val="bottom"/>
          </w:tcPr>
          <w:p>
            <w:pPr>
              <w:spacing w:after="0"/>
              <w:rPr>
                <w:sz w:val="9"/>
                <w:szCs w:val="9"/>
                <w:color w:val="auto"/>
              </w:rPr>
            </w:pPr>
          </w:p>
        </w:tc>
        <w:tc>
          <w:tcPr>
            <w:tcW w:w="700" w:type="dxa"/>
            <w:vAlign w:val="bottom"/>
            <w:gridSpan w:val="4"/>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(55,498)</w:t>
            </w:r>
          </w:p>
        </w:tc>
        <w:tc>
          <w:tcPr>
            <w:tcW w:w="0" w:type="dxa"/>
            <w:vAlign w:val="bottom"/>
          </w:tcPr>
          <w:p>
            <w:pPr>
              <w:spacing w:after="0"/>
              <w:rPr>
                <w:sz w:val="1"/>
                <w:szCs w:val="1"/>
                <w:color w:val="auto"/>
              </w:rPr>
            </w:pPr>
          </w:p>
        </w:tc>
      </w:tr>
      <w:tr>
        <w:trPr>
          <w:trHeight w:val="137"/>
        </w:trPr>
        <w:tc>
          <w:tcPr>
            <w:tcW w:w="110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81,776</w:t>
            </w:r>
          </w:p>
        </w:tc>
        <w:tc>
          <w:tcPr>
            <w:tcW w:w="100" w:type="dxa"/>
            <w:vAlign w:val="bottom"/>
          </w:tcPr>
          <w:p>
            <w:pPr>
              <w:spacing w:after="0"/>
              <w:rPr>
                <w:sz w:val="11"/>
                <w:szCs w:val="11"/>
                <w:color w:val="auto"/>
              </w:rPr>
            </w:pPr>
          </w:p>
        </w:tc>
        <w:tc>
          <w:tcPr>
            <w:tcW w:w="700" w:type="dxa"/>
            <w:vAlign w:val="bottom"/>
            <w:gridSpan w:val="4"/>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81,776</w:t>
            </w:r>
          </w:p>
        </w:tc>
        <w:tc>
          <w:tcPr>
            <w:tcW w:w="0" w:type="dxa"/>
            <w:vAlign w:val="bottom"/>
          </w:tcPr>
          <w:p>
            <w:pPr>
              <w:spacing w:after="0"/>
              <w:rPr>
                <w:sz w:val="1"/>
                <w:szCs w:val="1"/>
                <w:color w:val="auto"/>
              </w:rPr>
            </w:pPr>
          </w:p>
        </w:tc>
      </w:tr>
      <w:tr>
        <w:trPr>
          <w:trHeight w:val="187"/>
        </w:trPr>
        <w:tc>
          <w:tcPr>
            <w:tcW w:w="110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(1,046,315)</w:t>
            </w:r>
          </w:p>
        </w:tc>
        <w:tc>
          <w:tcPr>
            <w:tcW w:w="100" w:type="dxa"/>
            <w:vAlign w:val="bottom"/>
          </w:tcPr>
          <w:p>
            <w:pPr>
              <w:spacing w:after="0"/>
              <w:rPr>
                <w:sz w:val="16"/>
                <w:szCs w:val="16"/>
                <w:color w:val="auto"/>
              </w:rPr>
            </w:pPr>
          </w:p>
        </w:tc>
        <w:tc>
          <w:tcPr>
            <w:tcW w:w="700" w:type="dxa"/>
            <w:vAlign w:val="bottom"/>
            <w:gridSpan w:val="4"/>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(17,189)</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(1,063,499)</w:t>
            </w:r>
          </w:p>
        </w:tc>
        <w:tc>
          <w:tcPr>
            <w:tcW w:w="0" w:type="dxa"/>
            <w:vAlign w:val="bottom"/>
          </w:tcPr>
          <w:p>
            <w:pPr>
              <w:spacing w:after="0"/>
              <w:rPr>
                <w:sz w:val="1"/>
                <w:szCs w:val="1"/>
                <w:color w:val="auto"/>
              </w:rPr>
            </w:pPr>
          </w:p>
        </w:tc>
      </w:tr>
      <w:tr>
        <w:trPr>
          <w:trHeight w:val="108"/>
        </w:trPr>
        <w:tc>
          <w:tcPr>
            <w:tcW w:w="1100" w:type="dxa"/>
            <w:vAlign w:val="bottom"/>
          </w:tcPr>
          <w:p>
            <w:pPr>
              <w:jc w:val="right"/>
              <w:ind w:right="129"/>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700" w:type="dxa"/>
            <w:vAlign w:val="bottom"/>
            <w:gridSpan w:val="4"/>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1100" w:type="dxa"/>
            <w:vAlign w:val="bottom"/>
          </w:tcPr>
          <w:p>
            <w:pPr>
              <w:jc w:val="right"/>
              <w:ind w:right="129"/>
              <w:spacing w:after="0" w:line="108" w:lineRule="exact"/>
              <w:rPr>
                <w:sz w:val="20"/>
                <w:szCs w:val="20"/>
                <w:color w:val="auto"/>
              </w:rPr>
            </w:pPr>
            <w:r>
              <w:rPr>
                <w:rFonts w:ascii="Times New Roman" w:cs="Times New Roman" w:eastAsia="Times New Roman" w:hAnsi="Times New Roman"/>
                <w:sz w:val="10"/>
                <w:szCs w:val="10"/>
                <w:color w:val="auto"/>
              </w:rPr>
              <w:t>862,296</w:t>
            </w:r>
          </w:p>
        </w:tc>
        <w:tc>
          <w:tcPr>
            <w:tcW w:w="100" w:type="dxa"/>
            <w:vAlign w:val="bottom"/>
          </w:tcPr>
          <w:p>
            <w:pPr>
              <w:spacing w:after="0"/>
              <w:rPr>
                <w:sz w:val="9"/>
                <w:szCs w:val="9"/>
                <w:color w:val="auto"/>
              </w:rPr>
            </w:pPr>
          </w:p>
        </w:tc>
        <w:tc>
          <w:tcPr>
            <w:tcW w:w="700" w:type="dxa"/>
            <w:vAlign w:val="bottom"/>
            <w:gridSpan w:val="4"/>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862,296</w:t>
            </w:r>
          </w:p>
        </w:tc>
        <w:tc>
          <w:tcPr>
            <w:tcW w:w="0" w:type="dxa"/>
            <w:vAlign w:val="bottom"/>
          </w:tcPr>
          <w:p>
            <w:pPr>
              <w:spacing w:after="0"/>
              <w:rPr>
                <w:sz w:val="1"/>
                <w:szCs w:val="1"/>
                <w:color w:val="auto"/>
              </w:rPr>
            </w:pPr>
          </w:p>
        </w:tc>
      </w:tr>
      <w:tr>
        <w:trPr>
          <w:trHeight w:val="137"/>
        </w:trPr>
        <w:tc>
          <w:tcPr>
            <w:tcW w:w="110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28,343</w:t>
            </w:r>
          </w:p>
        </w:tc>
        <w:tc>
          <w:tcPr>
            <w:tcW w:w="100" w:type="dxa"/>
            <w:vAlign w:val="bottom"/>
          </w:tcPr>
          <w:p>
            <w:pPr>
              <w:spacing w:after="0"/>
              <w:rPr>
                <w:sz w:val="11"/>
                <w:szCs w:val="11"/>
                <w:color w:val="auto"/>
              </w:rPr>
            </w:pPr>
          </w:p>
        </w:tc>
        <w:tc>
          <w:tcPr>
            <w:tcW w:w="700" w:type="dxa"/>
            <w:vAlign w:val="bottom"/>
            <w:gridSpan w:val="4"/>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28,343</w:t>
            </w:r>
          </w:p>
        </w:tc>
        <w:tc>
          <w:tcPr>
            <w:tcW w:w="0" w:type="dxa"/>
            <w:vAlign w:val="bottom"/>
          </w:tcPr>
          <w:p>
            <w:pPr>
              <w:spacing w:after="0"/>
              <w:rPr>
                <w:sz w:val="1"/>
                <w:szCs w:val="1"/>
                <w:color w:val="auto"/>
              </w:rPr>
            </w:pPr>
          </w:p>
        </w:tc>
      </w:tr>
      <w:tr>
        <w:trPr>
          <w:trHeight w:val="216"/>
        </w:trPr>
        <w:tc>
          <w:tcPr>
            <w:tcW w:w="110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8"/>
                <w:szCs w:val="18"/>
                <w:color w:val="auto"/>
              </w:rPr>
            </w:pPr>
          </w:p>
        </w:tc>
        <w:tc>
          <w:tcPr>
            <w:tcW w:w="700" w:type="dxa"/>
            <w:vAlign w:val="bottom"/>
            <w:gridSpan w:val="4"/>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(497)</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(497)</w:t>
            </w:r>
          </w:p>
        </w:tc>
        <w:tc>
          <w:tcPr>
            <w:tcW w:w="0" w:type="dxa"/>
            <w:vAlign w:val="bottom"/>
          </w:tcPr>
          <w:p>
            <w:pPr>
              <w:spacing w:after="0"/>
              <w:rPr>
                <w:sz w:val="1"/>
                <w:szCs w:val="1"/>
                <w:color w:val="auto"/>
              </w:rPr>
            </w:pPr>
          </w:p>
        </w:tc>
      </w:tr>
      <w:tr>
        <w:trPr>
          <w:trHeight w:val="216"/>
        </w:trPr>
        <w:tc>
          <w:tcPr>
            <w:tcW w:w="110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8"/>
                <w:szCs w:val="18"/>
                <w:color w:val="auto"/>
              </w:rPr>
            </w:pPr>
          </w:p>
        </w:tc>
        <w:tc>
          <w:tcPr>
            <w:tcW w:w="700" w:type="dxa"/>
            <w:vAlign w:val="bottom"/>
            <w:gridSpan w:val="4"/>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12,234</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12,234</w:t>
            </w:r>
          </w:p>
        </w:tc>
        <w:tc>
          <w:tcPr>
            <w:tcW w:w="0" w:type="dxa"/>
            <w:vAlign w:val="bottom"/>
          </w:tcPr>
          <w:p>
            <w:pPr>
              <w:spacing w:after="0"/>
              <w:rPr>
                <w:sz w:val="1"/>
                <w:szCs w:val="1"/>
                <w:color w:val="auto"/>
              </w:rPr>
            </w:pPr>
          </w:p>
        </w:tc>
      </w:tr>
      <w:tr>
        <w:trPr>
          <w:trHeight w:val="187"/>
        </w:trPr>
        <w:tc>
          <w:tcPr>
            <w:tcW w:w="110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6"/>
                <w:szCs w:val="16"/>
                <w:color w:val="auto"/>
              </w:rPr>
            </w:pPr>
          </w:p>
        </w:tc>
        <w:tc>
          <w:tcPr>
            <w:tcW w:w="700" w:type="dxa"/>
            <w:vAlign w:val="bottom"/>
            <w:gridSpan w:val="4"/>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6,379</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6,379</w:t>
            </w:r>
          </w:p>
        </w:tc>
        <w:tc>
          <w:tcPr>
            <w:tcW w:w="0" w:type="dxa"/>
            <w:vAlign w:val="bottom"/>
          </w:tcPr>
          <w:p>
            <w:pPr>
              <w:spacing w:after="0"/>
              <w:rPr>
                <w:sz w:val="1"/>
                <w:szCs w:val="1"/>
                <w:color w:val="auto"/>
              </w:rPr>
            </w:pPr>
          </w:p>
        </w:tc>
      </w:tr>
      <w:tr>
        <w:trPr>
          <w:trHeight w:val="137"/>
        </w:trPr>
        <w:tc>
          <w:tcPr>
            <w:tcW w:w="110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700" w:type="dxa"/>
            <w:vAlign w:val="bottom"/>
            <w:gridSpan w:val="4"/>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14,894</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14,894</w:t>
            </w:r>
          </w:p>
        </w:tc>
        <w:tc>
          <w:tcPr>
            <w:tcW w:w="0" w:type="dxa"/>
            <w:vAlign w:val="bottom"/>
          </w:tcPr>
          <w:p>
            <w:pPr>
              <w:spacing w:after="0"/>
              <w:rPr>
                <w:sz w:val="1"/>
                <w:szCs w:val="1"/>
                <w:color w:val="auto"/>
              </w:rPr>
            </w:pPr>
          </w:p>
        </w:tc>
      </w:tr>
      <w:tr>
        <w:trPr>
          <w:trHeight w:val="187"/>
        </w:trPr>
        <w:tc>
          <w:tcPr>
            <w:tcW w:w="110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(5,218)</w:t>
            </w:r>
          </w:p>
        </w:tc>
        <w:tc>
          <w:tcPr>
            <w:tcW w:w="100" w:type="dxa"/>
            <w:vAlign w:val="bottom"/>
          </w:tcPr>
          <w:p>
            <w:pPr>
              <w:spacing w:after="0"/>
              <w:rPr>
                <w:sz w:val="16"/>
                <w:szCs w:val="16"/>
                <w:color w:val="auto"/>
              </w:rPr>
            </w:pPr>
          </w:p>
        </w:tc>
        <w:tc>
          <w:tcPr>
            <w:tcW w:w="700" w:type="dxa"/>
            <w:vAlign w:val="bottom"/>
            <w:gridSpan w:val="4"/>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(5,218)</w:t>
            </w:r>
          </w:p>
        </w:tc>
        <w:tc>
          <w:tcPr>
            <w:tcW w:w="0" w:type="dxa"/>
            <w:vAlign w:val="bottom"/>
          </w:tcPr>
          <w:p>
            <w:pPr>
              <w:spacing w:after="0"/>
              <w:rPr>
                <w:sz w:val="1"/>
                <w:szCs w:val="1"/>
                <w:color w:val="auto"/>
              </w:rPr>
            </w:pPr>
          </w:p>
        </w:tc>
      </w:tr>
      <w:tr>
        <w:trPr>
          <w:trHeight w:val="108"/>
        </w:trPr>
        <w:tc>
          <w:tcPr>
            <w:tcW w:w="1100" w:type="dxa"/>
            <w:vAlign w:val="bottom"/>
          </w:tcPr>
          <w:p>
            <w:pPr>
              <w:jc w:val="right"/>
              <w:ind w:right="129"/>
              <w:spacing w:after="0" w:line="108" w:lineRule="exact"/>
              <w:rPr>
                <w:sz w:val="20"/>
                <w:szCs w:val="20"/>
                <w:color w:val="auto"/>
              </w:rPr>
            </w:pPr>
            <w:r>
              <w:rPr>
                <w:rFonts w:ascii="Times New Roman" w:cs="Times New Roman" w:eastAsia="Times New Roman" w:hAnsi="Times New Roman"/>
                <w:sz w:val="10"/>
                <w:szCs w:val="10"/>
                <w:color w:val="auto"/>
              </w:rPr>
              <w:t>22,912</w:t>
            </w:r>
          </w:p>
        </w:tc>
        <w:tc>
          <w:tcPr>
            <w:tcW w:w="100" w:type="dxa"/>
            <w:vAlign w:val="bottom"/>
          </w:tcPr>
          <w:p>
            <w:pPr>
              <w:spacing w:after="0"/>
              <w:rPr>
                <w:sz w:val="9"/>
                <w:szCs w:val="9"/>
                <w:color w:val="auto"/>
              </w:rPr>
            </w:pPr>
          </w:p>
        </w:tc>
        <w:tc>
          <w:tcPr>
            <w:tcW w:w="700" w:type="dxa"/>
            <w:vAlign w:val="bottom"/>
            <w:gridSpan w:val="4"/>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22,912</w:t>
            </w:r>
          </w:p>
        </w:tc>
        <w:tc>
          <w:tcPr>
            <w:tcW w:w="0" w:type="dxa"/>
            <w:vAlign w:val="bottom"/>
          </w:tcPr>
          <w:p>
            <w:pPr>
              <w:spacing w:after="0"/>
              <w:rPr>
                <w:sz w:val="1"/>
                <w:szCs w:val="1"/>
                <w:color w:val="auto"/>
              </w:rPr>
            </w:pPr>
          </w:p>
        </w:tc>
      </w:tr>
      <w:tr>
        <w:trPr>
          <w:trHeight w:val="108"/>
        </w:trPr>
        <w:tc>
          <w:tcPr>
            <w:tcW w:w="1100" w:type="dxa"/>
            <w:vAlign w:val="bottom"/>
          </w:tcPr>
          <w:p>
            <w:pPr>
              <w:jc w:val="right"/>
              <w:ind w:right="129"/>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700" w:type="dxa"/>
            <w:vAlign w:val="bottom"/>
            <w:gridSpan w:val="4"/>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0"/>
                <w:szCs w:val="10"/>
                <w:color w:val="auto"/>
              </w:rPr>
              <w:t>95</w:t>
            </w:r>
          </w:p>
        </w:tc>
        <w:tc>
          <w:tcPr>
            <w:tcW w:w="60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(2,028)</w:t>
            </w:r>
          </w:p>
        </w:tc>
        <w:tc>
          <w:tcPr>
            <w:tcW w:w="1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(2,028)</w:t>
            </w:r>
          </w:p>
        </w:tc>
        <w:tc>
          <w:tcPr>
            <w:tcW w:w="0" w:type="dxa"/>
            <w:vAlign w:val="bottom"/>
          </w:tcPr>
          <w:p>
            <w:pPr>
              <w:spacing w:after="0"/>
              <w:rPr>
                <w:sz w:val="1"/>
                <w:szCs w:val="1"/>
                <w:color w:val="auto"/>
              </w:rPr>
            </w:pPr>
          </w:p>
        </w:tc>
      </w:tr>
      <w:tr>
        <w:trPr>
          <w:trHeight w:val="108"/>
        </w:trPr>
        <w:tc>
          <w:tcPr>
            <w:tcW w:w="1100" w:type="dxa"/>
            <w:vAlign w:val="bottom"/>
          </w:tcPr>
          <w:p>
            <w:pPr>
              <w:jc w:val="right"/>
              <w:ind w:right="129"/>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700" w:type="dxa"/>
            <w:vAlign w:val="bottom"/>
            <w:gridSpan w:val="4"/>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(195,910)</w:t>
            </w:r>
          </w:p>
        </w:tc>
        <w:tc>
          <w:tcPr>
            <w:tcW w:w="8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(195,910)</w:t>
            </w:r>
          </w:p>
        </w:tc>
        <w:tc>
          <w:tcPr>
            <w:tcW w:w="0" w:type="dxa"/>
            <w:vAlign w:val="bottom"/>
          </w:tcPr>
          <w:p>
            <w:pPr>
              <w:spacing w:after="0"/>
              <w:rPr>
                <w:sz w:val="1"/>
                <w:szCs w:val="1"/>
                <w:color w:val="auto"/>
              </w:rPr>
            </w:pPr>
          </w:p>
        </w:tc>
      </w:tr>
      <w:tr>
        <w:trPr>
          <w:trHeight w:val="125"/>
        </w:trPr>
        <w:tc>
          <w:tcPr>
            <w:tcW w:w="110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437,761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437,761</w:t>
            </w:r>
          </w:p>
        </w:tc>
        <w:tc>
          <w:tcPr>
            <w:tcW w:w="0" w:type="dxa"/>
            <w:vAlign w:val="bottom"/>
          </w:tcPr>
          <w:p>
            <w:pPr>
              <w:spacing w:after="0"/>
              <w:rPr>
                <w:sz w:val="1"/>
                <w:szCs w:val="1"/>
                <w:color w:val="auto"/>
              </w:rPr>
            </w:pPr>
          </w:p>
        </w:tc>
      </w:tr>
      <w:tr>
        <w:trPr>
          <w:trHeight w:val="117"/>
        </w:trPr>
        <w:tc>
          <w:tcPr>
            <w:tcW w:w="1100" w:type="dxa"/>
            <w:vAlign w:val="bottom"/>
          </w:tcPr>
          <w:p>
            <w:pPr>
              <w:jc w:val="right"/>
              <w:ind w:right="129"/>
              <w:spacing w:after="0" w:line="108" w:lineRule="exact"/>
              <w:rPr>
                <w:sz w:val="20"/>
                <w:szCs w:val="20"/>
                <w:color w:val="auto"/>
              </w:rPr>
            </w:pPr>
            <w:r>
              <w:rPr>
                <w:rFonts w:ascii="Times New Roman" w:cs="Times New Roman" w:eastAsia="Times New Roman" w:hAnsi="Times New Roman"/>
                <w:sz w:val="10"/>
                <w:szCs w:val="10"/>
                <w:color w:val="auto"/>
              </w:rPr>
              <w:t>3,193,904</w:t>
            </w:r>
          </w:p>
        </w:tc>
        <w:tc>
          <w:tcPr>
            <w:tcW w:w="100" w:type="dxa"/>
            <w:vAlign w:val="bottom"/>
            <w:tcBorders>
              <w:top w:val="single" w:sz="8" w:color="auto"/>
              <w:bottom w:val="single" w:sz="8" w:color="auto"/>
            </w:tcBorders>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top w:val="single" w:sz="8" w:color="auto"/>
              <w:bottom w:val="single" w:sz="8" w:color="auto"/>
            </w:tcBorders>
            <w:gridSpan w:val="3"/>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345,516</w:t>
            </w:r>
          </w:p>
        </w:tc>
        <w:tc>
          <w:tcPr>
            <w:tcW w:w="1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(63,046)</w:t>
            </w:r>
          </w:p>
        </w:tc>
        <w:tc>
          <w:tcPr>
            <w:tcW w:w="200" w:type="dxa"/>
            <w:vAlign w:val="bottom"/>
          </w:tcPr>
          <w:p>
            <w:pPr>
              <w:spacing w:after="0"/>
              <w:rPr>
                <w:sz w:val="10"/>
                <w:szCs w:val="10"/>
                <w:color w:val="auto"/>
              </w:rPr>
            </w:pPr>
          </w:p>
        </w:tc>
        <w:tc>
          <w:tcPr>
            <w:tcW w:w="280" w:type="dxa"/>
            <w:vAlign w:val="bottom"/>
            <w:tcBorders>
              <w:top w:val="single" w:sz="8" w:color="auto"/>
              <w:bottom w:val="single" w:sz="8" w:color="auto"/>
            </w:tcBorders>
          </w:tcPr>
          <w:p>
            <w:pPr>
              <w:ind w:left="180"/>
              <w:spacing w:after="0" w:line="108" w:lineRule="exact"/>
              <w:rPr>
                <w:sz w:val="20"/>
                <w:szCs w:val="20"/>
                <w:color w:val="auto"/>
              </w:rPr>
            </w:pPr>
            <w:r>
              <w:rPr>
                <w:rFonts w:ascii="Times New Roman" w:cs="Times New Roman" w:eastAsia="Times New Roman" w:hAnsi="Times New Roman"/>
                <w:sz w:val="10"/>
                <w:szCs w:val="10"/>
                <w:color w:val="auto"/>
                <w:w w:val="79"/>
              </w:rPr>
              <w:t>95</w:t>
            </w:r>
          </w:p>
        </w:tc>
        <w:tc>
          <w:tcPr>
            <w:tcW w:w="20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(2,028)</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3,474,368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-2209165</wp:posOffset>
            </wp:positionV>
            <wp:extent cx="68643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6435" cy="635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-1703070</wp:posOffset>
            </wp:positionV>
            <wp:extent cx="68643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6435" cy="635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-1622425</wp:posOffset>
            </wp:positionV>
            <wp:extent cx="68643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6435" cy="635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-99060</wp:posOffset>
            </wp:positionV>
            <wp:extent cx="68643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6435" cy="635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-17780</wp:posOffset>
            </wp:positionV>
            <wp:extent cx="68643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6435" cy="635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-5715</wp:posOffset>
            </wp:positionV>
            <wp:extent cx="68643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6435" cy="635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5800" w:space="120"/>
            <w:col w:w="4680"/>
          </w:cols>
          <w:pgMar w:left="220" w:top="341" w:right="1079" w:bottom="1440" w:gutter="0" w:footer="0" w:header="0"/>
          <w:type w:val="continuous"/>
        </w:sectPr>
      </w:pPr>
    </w:p>
    <w:p>
      <w:pPr>
        <w:jc w:val="center"/>
        <w:ind w:right="-75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1" w:right="1079" w:bottom="1440" w:gutter="0" w:footer="0" w:header="0"/>
          <w:type w:val="continuous"/>
        </w:sectPr>
      </w:pPr>
    </w:p>
    <w:bookmarkStart w:id="67" w:name="page68"/>
    <w:bookmarkEnd w:id="67"/>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67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41"/>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center"/>
              <w:ind w:right="1"/>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2005</w:t>
            </w: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21"/>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jc w:val="center"/>
              <w:ind w:right="21"/>
              <w:spacing w:after="0" w:line="98"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earnings</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437,761</w:t>
            </w:r>
          </w:p>
        </w:tc>
        <w:tc>
          <w:tcPr>
            <w:tcW w:w="14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964,106</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740,962</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Adjustment to reconcile net earnings to net cash provided by operating activities: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460,750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406,259</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338,434</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Minority interest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154,570</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70,443</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5,015</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Gain on issuance of subsidiary stock</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(318,209)</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Gain on sales of investments and other assets</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(18,562)</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(53,876)</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(36,961)</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Stock-based compensation cost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64,984</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34,108</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21,450</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Tax benefit associated with the exercise of stock options</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34,844</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36,085</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Changes in assets and liabilities, net of effects from acquisitions: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(increase) decrease in secured trust deposits</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(11,700)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(3,054)</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1,467</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decrease (increase) in trade receivables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98,540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(65,103)</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(39,416)</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(increase) decrease in prepaid expenses and other assets</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(227,034)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(183,437)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39,302</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(decrease) increase in accounts payable, accrued liabilities, deferred revenue and other</w:t>
            </w:r>
          </w:p>
        </w:tc>
        <w:tc>
          <w:tcPr>
            <w:tcW w:w="1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(173,771)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149,236</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55,246</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increase in reserve for claim losses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114,866</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114,289</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15,734</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(decrease) increase in income taxes</w:t>
            </w:r>
          </w:p>
        </w:tc>
        <w:tc>
          <w:tcPr>
            <w:tcW w:w="1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(179,256)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166,926</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(6,716)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721,148</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1,316,532</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1,170,602</w:t>
            </w:r>
          </w:p>
        </w:tc>
        <w:tc>
          <w:tcPr>
            <w:tcW w:w="0" w:type="dxa"/>
            <w:vAlign w:val="bottom"/>
          </w:tcPr>
          <w:p>
            <w:pPr>
              <w:spacing w:after="0"/>
              <w:rPr>
                <w:sz w:val="1"/>
                <w:szCs w:val="1"/>
                <w:color w:val="auto"/>
              </w:rPr>
            </w:pPr>
          </w:p>
        </w:tc>
      </w:tr>
      <w:tr>
        <w:trPr>
          <w:trHeight w:val="145"/>
        </w:trPr>
        <w:tc>
          <w:tcPr>
            <w:tcW w:w="6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sales of investment securities available for sale</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2,981,431</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3,187,813</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2,810,659</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maturities of investment securities available for sale</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302,842</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402,285</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219,084</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sales of assets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4,656</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21,877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6,330</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Collections of notes receivable</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4,337</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6,798</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6,490</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received as collateral on loaned securities, net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5,942</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4,822</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Additions to title plants</w:t>
            </w:r>
          </w:p>
        </w:tc>
        <w:tc>
          <w:tcPr>
            <w:tcW w:w="1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(18,493)</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(10,437)</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(648)</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Additions to property and equipment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(145,387)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(149,911)</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(134,318)</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Additions to capitalized software</w:t>
            </w:r>
          </w:p>
        </w:tc>
        <w:tc>
          <w:tcPr>
            <w:tcW w:w="1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(180,875)</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(166,081)</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(94,919)</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Additions to notes receivable</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(4,458)</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(6,765)</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(6,516)</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Purchases of investment securities available for sale</w:t>
            </w:r>
          </w:p>
        </w:tc>
        <w:tc>
          <w:tcPr>
            <w:tcW w:w="1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(2,960,536)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(4,259,006)</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(3,741,056)</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(purchases of) proceeds from short-term investment activities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213,340</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(313,432)</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190,262</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Distribution of FIS</w:t>
            </w:r>
          </w:p>
        </w:tc>
        <w:tc>
          <w:tcPr>
            <w:tcW w:w="1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(145,562)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Sale of subsidiary, net of cash sold</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454,337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5,000</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Acquisition of businesses, net of cash acquired</w:t>
            </w:r>
          </w:p>
        </w:tc>
        <w:tc>
          <w:tcPr>
            <w:tcW w:w="1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(172,955)</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(193,061)</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(1,016,501)</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(115,718)</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(1,020,761)</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(1,756,133)</w:t>
            </w:r>
          </w:p>
        </w:tc>
        <w:tc>
          <w:tcPr>
            <w:tcW w:w="0" w:type="dxa"/>
            <w:vAlign w:val="bottom"/>
          </w:tcPr>
          <w:p>
            <w:pPr>
              <w:spacing w:after="0"/>
              <w:rPr>
                <w:sz w:val="1"/>
                <w:szCs w:val="1"/>
                <w:color w:val="auto"/>
              </w:rPr>
            </w:pPr>
          </w:p>
        </w:tc>
      </w:tr>
      <w:tr>
        <w:trPr>
          <w:trHeight w:val="145"/>
        </w:trPr>
        <w:tc>
          <w:tcPr>
            <w:tcW w:w="6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Borrowings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642,203</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3,001,017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911,710</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Debt service payments</w:t>
            </w:r>
          </w:p>
        </w:tc>
        <w:tc>
          <w:tcPr>
            <w:tcW w:w="1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(873,109)</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(1,159,553)</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(229,367)</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Debt issuance costs</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(1,004)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(35,156)</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(1,400)</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Dividends paid</w:t>
            </w:r>
          </w:p>
        </w:tc>
        <w:tc>
          <w:tcPr>
            <w:tcW w:w="1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(195,910)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(1,940,388)</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(136,079)</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Subsidiary dividends paid to minority interest shareholders</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(40,896)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50,648</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51,846</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76,899</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Exercise of subsidiary stock options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45,852</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Tax benefit associated with the exercise of stock options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81,776</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Subsidiary purchases of treasury stock</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(145,689)</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(70,874)</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(128,723)</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cash (used in) provided by financing activities</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(436,129)</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(153,108)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493,040</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Net increase (decrease) in cash and cash equivalents, excluding pledged cash related to secured trust deposits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169,301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142,663</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(92,491)</w:t>
            </w:r>
          </w:p>
        </w:tc>
        <w:tc>
          <w:tcPr>
            <w:tcW w:w="0" w:type="dxa"/>
            <w:vAlign w:val="bottom"/>
          </w:tcPr>
          <w:p>
            <w:pPr>
              <w:spacing w:after="0"/>
              <w:rPr>
                <w:sz w:val="1"/>
                <w:szCs w:val="1"/>
                <w:color w:val="auto"/>
              </w:rPr>
            </w:pPr>
          </w:p>
        </w:tc>
      </w:tr>
      <w:tr>
        <w:trPr>
          <w:trHeight w:val="149"/>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 excluding pledged cash related to secured trust deposits, at beginning of year</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278,685</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136,022</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228,513</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Cash and cash equivalents, excluding pledged cash related to secured trust deposits, at end of year</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700" w:type="dxa"/>
            <w:vAlign w:val="bottom"/>
            <w:vMerge w:val="continue"/>
          </w:tcPr>
          <w:p>
            <w:pPr>
              <w:spacing w:after="0"/>
              <w:rPr>
                <w:sz w:val="12"/>
                <w:szCs w:val="12"/>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447,986</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278,685</w:t>
            </w:r>
          </w:p>
        </w:tc>
        <w:tc>
          <w:tcPr>
            <w:tcW w:w="380" w:type="dxa"/>
            <w:vAlign w:val="bottom"/>
          </w:tcPr>
          <w:p>
            <w:pPr>
              <w:spacing w:after="0"/>
              <w:rPr>
                <w:sz w:val="12"/>
                <w:szCs w:val="12"/>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136,022</w:t>
            </w:r>
          </w:p>
        </w:tc>
        <w:tc>
          <w:tcPr>
            <w:tcW w:w="0" w:type="dxa"/>
            <w:vAlign w:val="bottom"/>
          </w:tcPr>
          <w:p>
            <w:pPr>
              <w:spacing w:after="0"/>
              <w:rPr>
                <w:sz w:val="1"/>
                <w:szCs w:val="1"/>
                <w:color w:val="auto"/>
              </w:rPr>
            </w:pPr>
          </w:p>
        </w:tc>
      </w:tr>
      <w:tr>
        <w:trPr>
          <w:trHeight w:val="31"/>
        </w:trPr>
        <w:tc>
          <w:tcPr>
            <w:tcW w:w="6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68" w:name="page69"/>
    <w:bookmarkEnd w:id="68"/>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175" w:lineRule="exact"/>
        <w:rPr>
          <w:sz w:val="20"/>
          <w:szCs w:val="20"/>
          <w:color w:val="auto"/>
        </w:rPr>
      </w:pPr>
    </w:p>
    <w:p>
      <w:pPr>
        <w:ind w:left="1080" w:hanging="393"/>
        <w:spacing w:after="0"/>
        <w:tabs>
          <w:tab w:leader="none" w:pos="1080" w:val="left"/>
        </w:tabs>
        <w:numPr>
          <w:ilvl w:val="0"/>
          <w:numId w:val="2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w:t>
      </w:r>
    </w:p>
    <w:p>
      <w:pPr>
        <w:spacing w:after="0" w:line="98"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The following describes the significant accounting policies of Fidelity National Financial, Inc. and its subsidiaries (collectively, the “Company” or “FNF”) which have been followed in preparing the accompanying Consolidated Financial Statements.</w:t>
      </w:r>
    </w:p>
    <w:p>
      <w:pPr>
        <w:spacing w:after="0" w:line="47" w:lineRule="exact"/>
        <w:rPr>
          <w:sz w:val="20"/>
          <w:szCs w:val="20"/>
          <w:color w:val="auto"/>
        </w:rPr>
      </w:pPr>
    </w:p>
    <w:p>
      <w:pPr>
        <w:jc w:val="both"/>
        <w:ind w:left="680" w:right="60" w:firstLine="399"/>
        <w:spacing w:after="0" w:line="269" w:lineRule="auto"/>
        <w:rPr>
          <w:sz w:val="20"/>
          <w:szCs w:val="20"/>
          <w:color w:val="auto"/>
        </w:rPr>
      </w:pPr>
      <w:r>
        <w:rPr>
          <w:rFonts w:ascii="Times New Roman" w:cs="Times New Roman" w:eastAsia="Times New Roman" w:hAnsi="Times New Roman"/>
          <w:sz w:val="13"/>
          <w:szCs w:val="13"/>
          <w:color w:val="auto"/>
        </w:rPr>
        <w:t>The Company made a reclassification adjustment to the Consolidated Statements of Earnings, included within this Annual Report on Form 10-K, with regard to the presentation of interest and investment income and other operating expenses. This adjustment was necessary to properly reflect certain credits earned as a reduction of other operating expenses as opposed to an increase in investment income. The adjustment resulted in a reduction of interest and investment income of $14.4 million in 2005, and $0.2 million in 2004.</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Description of Business</w:t>
      </w:r>
    </w:p>
    <w:p>
      <w:pPr>
        <w:spacing w:after="0" w:line="100"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Fidelity National Financial, Inc. is a holding company that is a provider, through its subsidiaries, of title insurance, specialty insurance, and claims management services. FNF is one of the nation’s largest title insurance companies through its title insurance underwriters, with an approximately 29.0% national market share. FNF also provides flood insurance, personal lines insurance, and home warranty insurance through its specialty insurance subsidiaries. Since February 1, 2006, when FNF closed its acquisition of a 40% interest in Sedgwick CMS (“Sedgwick”), the Company is also now a leading provider of outsourced claims management services to large corporate and public sector entities.</w:t>
      </w:r>
    </w:p>
    <w:p>
      <w:pPr>
        <w:spacing w:after="0" w:line="62"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Prior to October 18, 2005, the Company was known as Fidelity National Title Group, Inc. (“FNT”) and was a wholly-owned subsidiary of another publicly traded company, also called Fidelity National Financial, Inc. (“Old FNF”). On October 18, 2005, Old FNF distributed to its shareholders a minority interest in FNT, making it a majority-owned, publicly traded company. On October 24, 2006, Old FNF transferred certain assets to FNT in return for the issuance of 45,265,956 shares of FNT common stock to Old FNF (the “Asset Contribution”). Old FNF then distributed to its shareholders all of its shares of FNT common stock, making FNT a stand alone publicly traded company (the “2006 Distribution”). Old FNF was then merged with and into another of its subsidiaries, Fidelity National Information Services, Inc. (“FIS”), after which FNT’s name was changed to Fidelity National Financial, Inc. Under applicable accounting principles, following these transactions, Old FNF’s historical financial statements, with the exception of equity and earnings per share, became FNF’s historical financial statements, including the results of FIS through the date of the Company’s spin-off from Old FNF. The Company’s historical equity has been derived from FNT’s historical equity and the Company’s historical basic and diluted earnings per share have been calculated using FNT’s basic and diluted weighted average shares outstanding.</w:t>
      </w:r>
    </w:p>
    <w:p>
      <w:pPr>
        <w:spacing w:after="0" w:line="66"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 xml:space="preserve">Acquisitions among entities under common control such as the Asset Contribution are not considered business combinations and are to be accounted for at historical cost in accordance with </w:t>
      </w:r>
      <w:r>
        <w:rPr>
          <w:rFonts w:ascii="Times New Roman" w:cs="Times New Roman" w:eastAsia="Times New Roman" w:hAnsi="Times New Roman"/>
          <w:sz w:val="13"/>
          <w:szCs w:val="13"/>
          <w:i w:val="1"/>
          <w:iCs w:val="1"/>
          <w:color w:val="auto"/>
        </w:rPr>
        <w:t>Emerging Issues Task Force</w:t>
      </w:r>
      <w:r>
        <w:rPr>
          <w:rFonts w:ascii="Times New Roman" w:cs="Times New Roman" w:eastAsia="Times New Roman" w:hAnsi="Times New Roman"/>
          <w:sz w:val="13"/>
          <w:szCs w:val="13"/>
          <w:color w:val="auto"/>
        </w:rPr>
        <w:t xml:space="preserve"> (“EITF”) </w:t>
      </w:r>
      <w:r>
        <w:rPr>
          <w:rFonts w:ascii="Times New Roman" w:cs="Times New Roman" w:eastAsia="Times New Roman" w:hAnsi="Times New Roman"/>
          <w:sz w:val="13"/>
          <w:szCs w:val="13"/>
          <w:i w:val="1"/>
          <w:iCs w:val="1"/>
          <w:color w:val="auto"/>
        </w:rPr>
        <w:t>Issue No. 90-5, Exchanges of Ownership Interests between Enterprises under Common Control.</w:t>
      </w:r>
      <w:r>
        <w:rPr>
          <w:rFonts w:ascii="Times New Roman" w:cs="Times New Roman" w:eastAsia="Times New Roman" w:hAnsi="Times New Roman"/>
          <w:sz w:val="13"/>
          <w:szCs w:val="13"/>
          <w:color w:val="auto"/>
        </w:rPr>
        <w:t xml:space="preserve"> Furthermore, the substance of the Asset Contribution and the 2006 Distribution and the Old FNF-FIS merger is effectively a reverse spin-off of FIS by Old FNF in accordance with </w:t>
      </w:r>
      <w:r>
        <w:rPr>
          <w:rFonts w:ascii="Times New Roman" w:cs="Times New Roman" w:eastAsia="Times New Roman" w:hAnsi="Times New Roman"/>
          <w:sz w:val="13"/>
          <w:szCs w:val="13"/>
          <w:i w:val="1"/>
          <w:iCs w:val="1"/>
          <w:color w:val="auto"/>
        </w:rPr>
        <w:t>EITF Issue No. 02-11, Accounting for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Reverse Spinoffs. </w:t>
      </w:r>
      <w:r>
        <w:rPr>
          <w:rFonts w:ascii="Times New Roman" w:cs="Times New Roman" w:eastAsia="Times New Roman" w:hAnsi="Times New Roman"/>
          <w:sz w:val="13"/>
          <w:szCs w:val="13"/>
          <w:color w:val="auto"/>
        </w:rPr>
        <w:t>Accordingly, the historical financial statements of Old FNF, with the exception of equity and earnings per share, became those of FNF; however, the criteria to account for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FIS as discontinued operations as prescribed by Financial Accounting Standards Board (“FASB”) </w:t>
      </w:r>
      <w:r>
        <w:rPr>
          <w:rFonts w:ascii="Times New Roman" w:cs="Times New Roman" w:eastAsia="Times New Roman" w:hAnsi="Times New Roman"/>
          <w:sz w:val="13"/>
          <w:szCs w:val="13"/>
          <w:i w:val="1"/>
          <w:iCs w:val="1"/>
          <w:color w:val="auto"/>
        </w:rPr>
        <w:t>Statement of Financial Accounting Standards</w:t>
      </w:r>
      <w:r>
        <w:rPr>
          <w:rFonts w:ascii="Times New Roman" w:cs="Times New Roman" w:eastAsia="Times New Roman" w:hAnsi="Times New Roman"/>
          <w:sz w:val="13"/>
          <w:szCs w:val="13"/>
          <w:color w:val="auto"/>
        </w:rPr>
        <w:t xml:space="preserve"> (“SFAS”) </w:t>
      </w:r>
      <w:r>
        <w:rPr>
          <w:rFonts w:ascii="Times New Roman" w:cs="Times New Roman" w:eastAsia="Times New Roman" w:hAnsi="Times New Roman"/>
          <w:sz w:val="13"/>
          <w:szCs w:val="13"/>
          <w:i w:val="1"/>
          <w:iCs w:val="1"/>
          <w:color w:val="auto"/>
        </w:rPr>
        <w:t>No. 144, Accounting for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Impairment or Disposal of Long-Lived Assets </w:t>
      </w:r>
      <w:r>
        <w:rPr>
          <w:rFonts w:ascii="Times New Roman" w:cs="Times New Roman" w:eastAsia="Times New Roman" w:hAnsi="Times New Roman"/>
          <w:sz w:val="13"/>
          <w:szCs w:val="13"/>
          <w:color w:val="auto"/>
        </w:rPr>
        <w:t>(“SFAS No. 144”) were not met. This is primarily due to our continuing involvement with and significant influence over FIS subsequent to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merger of Old FNF and FIS through common board members, common senior management and continuing business relationships. As a result, for periods prior to October 24, 2006, FIS continues to be included in our consolidated financial statements.</w:t>
      </w:r>
    </w:p>
    <w:p>
      <w:pPr>
        <w:spacing w:after="0" w:line="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Prior to October 24, 2006, through FIS, Old FNF provided industry leading data processing, payment and risk management services to financial institutions and retailers.</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1" w:right="1079" w:bottom="1440" w:gutter="0" w:footer="0" w:header="0"/>
        </w:sectPr>
      </w:pPr>
    </w:p>
    <w:bookmarkStart w:id="69" w:name="page70"/>
    <w:bookmarkEnd w:id="69"/>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7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During the periods presented, FNF had four reporting segments:</w:t>
      </w:r>
    </w:p>
    <w:p>
      <w:pPr>
        <w:spacing w:after="0" w:line="94" w:lineRule="exact"/>
        <w:rPr>
          <w:sz w:val="20"/>
          <w:szCs w:val="20"/>
          <w:color w:val="auto"/>
        </w:rPr>
      </w:pPr>
    </w:p>
    <w:p>
      <w:pPr>
        <w:ind w:left="1280" w:hanging="190"/>
        <w:spacing w:after="0" w:line="258" w:lineRule="auto"/>
        <w:tabs>
          <w:tab w:leader="none" w:pos="12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Fidelity National Title Group, Inc. </w:t>
      </w:r>
      <w:r>
        <w:rPr>
          <w:rFonts w:ascii="Times New Roman" w:cs="Times New Roman" w:eastAsia="Times New Roman" w:hAnsi="Times New Roman"/>
          <w:sz w:val="13"/>
          <w:szCs w:val="13"/>
          <w:color w:val="auto"/>
        </w:rPr>
        <w:t>This segment consists of the operations of FNF’s title insurance underwriters — Fidelity National Title, Chicago Title, Ticor Title, Security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Union Title and Alamo Title — which together issued approximately 29.0% of all title insurance policies issued nationally during 2005. This segment provides core title insurance and escrow and other title related services including collection and trust activities, trustee’s sales guarantees, recordings and reconveyances. The Company’s principal title insurance subsidiaries consist of Fidelity National Title Insurance Company, Chicago Title Insurance Company, Chicago Title Insurance Company of Oregon, Ticor</w:t>
      </w:r>
    </w:p>
    <w:p>
      <w:pPr>
        <w:spacing w:after="0" w:line="1" w:lineRule="exact"/>
        <w:rPr>
          <w:rFonts w:ascii="Times New Roman" w:cs="Times New Roman" w:eastAsia="Times New Roman" w:hAnsi="Times New Roman"/>
          <w:sz w:val="13"/>
          <w:szCs w:val="13"/>
          <w:color w:val="auto"/>
        </w:rPr>
      </w:pPr>
    </w:p>
    <w:p>
      <w:pPr>
        <w:ind w:left="1280" w:right="40"/>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Title Insurance Company, Ticor Title Insurance Company of Florida, Security Union Title Insurance Company and Alamo Title Insurance. The Company’s principal underwritten title company subsidiaries, essentially wholly-owned title agencies, consist of Fidelity National Title Company, Fidelity National Title Company of California, Chicago</w:t>
      </w:r>
    </w:p>
    <w:p>
      <w:pPr>
        <w:ind w:left="12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Title Company and Ticor Title Company of California, formerly American Title Company.</w:t>
      </w:r>
    </w:p>
    <w:p>
      <w:pPr>
        <w:spacing w:after="0" w:line="70" w:lineRule="exact"/>
        <w:rPr>
          <w:rFonts w:ascii="Times New Roman" w:cs="Times New Roman" w:eastAsia="Times New Roman" w:hAnsi="Times New Roman"/>
          <w:sz w:val="13"/>
          <w:szCs w:val="13"/>
          <w:color w:val="auto"/>
        </w:rPr>
      </w:pPr>
    </w:p>
    <w:p>
      <w:pPr>
        <w:ind w:left="1280" w:right="200" w:hanging="190"/>
        <w:spacing w:after="0" w:line="289" w:lineRule="auto"/>
        <w:tabs>
          <w:tab w:leader="none" w:pos="12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Specialty Insurance. </w:t>
      </w:r>
      <w:r>
        <w:rPr>
          <w:rFonts w:ascii="Times New Roman" w:cs="Times New Roman" w:eastAsia="Times New Roman" w:hAnsi="Times New Roman"/>
          <w:sz w:val="13"/>
          <w:szCs w:val="13"/>
          <w:color w:val="auto"/>
        </w:rPr>
        <w:t>The specialty insurance segment, consisting of FNF’s various non-title insurance subsidiaries, issues flood, home warranty, homeowners, automobile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certain niche personal lines insurance policies.</w:t>
      </w:r>
    </w:p>
    <w:p>
      <w:pPr>
        <w:spacing w:after="0" w:line="33" w:lineRule="exact"/>
        <w:rPr>
          <w:rFonts w:ascii="Times New Roman" w:cs="Times New Roman" w:eastAsia="Times New Roman" w:hAnsi="Times New Roman"/>
          <w:sz w:val="13"/>
          <w:szCs w:val="13"/>
          <w:color w:val="auto"/>
        </w:rPr>
      </w:pPr>
    </w:p>
    <w:p>
      <w:pPr>
        <w:ind w:left="1280" w:right="20" w:hanging="190"/>
        <w:spacing w:after="0" w:line="289" w:lineRule="auto"/>
        <w:tabs>
          <w:tab w:leader="none" w:pos="12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Corporate and Other. </w:t>
      </w:r>
      <w:r>
        <w:rPr>
          <w:rFonts w:ascii="Times New Roman" w:cs="Times New Roman" w:eastAsia="Times New Roman" w:hAnsi="Times New Roman"/>
          <w:sz w:val="13"/>
          <w:szCs w:val="13"/>
          <w:color w:val="auto"/>
        </w:rPr>
        <w:t>The corporate and other segment consists of the operations of the FNF parent holding company, certain other unallocated corporate overhead expenses,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Company’s share in the operations of certain equity investments, including Sedgwick and Fidelity National Real Estate Solutions.</w:t>
      </w:r>
    </w:p>
    <w:p>
      <w:pPr>
        <w:spacing w:after="0" w:line="33" w:lineRule="exact"/>
        <w:rPr>
          <w:rFonts w:ascii="Times New Roman" w:cs="Times New Roman" w:eastAsia="Times New Roman" w:hAnsi="Times New Roman"/>
          <w:sz w:val="13"/>
          <w:szCs w:val="13"/>
          <w:color w:val="auto"/>
        </w:rPr>
      </w:pPr>
    </w:p>
    <w:p>
      <w:pPr>
        <w:ind w:left="1280" w:right="60" w:hanging="190"/>
        <w:spacing w:after="0" w:line="259" w:lineRule="auto"/>
        <w:tabs>
          <w:tab w:leader="none" w:pos="12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Fidelity National Information Services, Inc. </w:t>
      </w:r>
      <w:r>
        <w:rPr>
          <w:rFonts w:ascii="Times New Roman" w:cs="Times New Roman" w:eastAsia="Times New Roman" w:hAnsi="Times New Roman"/>
          <w:sz w:val="13"/>
          <w:szCs w:val="13"/>
          <w:color w:val="auto"/>
        </w:rPr>
        <w:t>Prior to October 24, 2006, this segment consisted of the operations of FNF’s majority owned subsidiary, FIS. FIS provides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transaction processing services, consisting principally of technology solutions for banks and other financial institutions, credit and debit card services and check risk management and related services for retailers and others. FIS also provides lender processing services, consisting principally of technology solutions for mortgage lenders, selected mortgage origination services such as title agency and closing services, default management and mortgage information services. FIS’s credit and debit card services and check risk management services were added through its merger with Certegy, Inc. (“Certegy”). This merger closed in February 2006 and as a result these businesses are only included in the historical financial information in the financial statements from the merger until the 2006 Distribution.</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Principles of Consolidation and Basis of Presentation</w:t>
      </w:r>
    </w:p>
    <w:p>
      <w:pPr>
        <w:spacing w:after="0" w:line="100" w:lineRule="exact"/>
        <w:rPr>
          <w:sz w:val="20"/>
          <w:szCs w:val="20"/>
          <w:color w:val="auto"/>
        </w:rPr>
      </w:pPr>
    </w:p>
    <w:p>
      <w:pPr>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The accompanying Consolidated Financial Statements include the accounts of the Company and its wholly-owned and majority-owned subsidiaries. All intercompany profits, transactions and balances have been eliminated. The Company’s investments in non-majority-owned partnerships and affiliates are accounted for on the equity method until such time that they become wholly or majority owned. Minority interest expense is recorded on the consolidated statement of earnings relating to majority owned subsidiaries and the appropriate minority interest liability is recorded on the Consolidated Balance Sheets in each period.</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Old FNF Asset Contribution and Stock Distribution</w:t>
      </w:r>
    </w:p>
    <w:p>
      <w:pPr>
        <w:spacing w:after="0" w:line="100" w:lineRule="exact"/>
        <w:rPr>
          <w:sz w:val="20"/>
          <w:szCs w:val="20"/>
          <w:color w:val="auto"/>
        </w:rPr>
      </w:pPr>
    </w:p>
    <w:p>
      <w:pPr>
        <w:ind w:left="680" w:right="220" w:firstLine="399"/>
        <w:spacing w:after="0" w:line="261" w:lineRule="auto"/>
        <w:rPr>
          <w:sz w:val="20"/>
          <w:szCs w:val="20"/>
          <w:color w:val="auto"/>
        </w:rPr>
      </w:pPr>
      <w:r>
        <w:rPr>
          <w:rFonts w:ascii="Times New Roman" w:cs="Times New Roman" w:eastAsia="Times New Roman" w:hAnsi="Times New Roman"/>
          <w:sz w:val="13"/>
          <w:szCs w:val="13"/>
          <w:color w:val="auto"/>
        </w:rPr>
        <w:t>On June 25, 2006, the Company, then known as FNT, entered into a Securities Exchange and Distribution Agreement (the “SEDA”) with Old FNF, and Old FNF entered into a merger agreement with Fidelity National Information Services, Inc. (“FIS”) (both amended and restated as of September 18, 2006), providing for the elimination of Old FNF’s holding company structure, the sale of certain of Old FNF’s assets and liabilities to the Company in exchange for shares of our stock, and the distribution of Old FNF’s ownership stake in the Company to Old FNF shareholders. Pursuant to the SEDA, on October 24, 2006, the Company completed the acquisition of substantially all of the assets and liabilities of Old FNF (other than Old FNF’s interests in FIS and in FNF Capital Leasing, Inc., a small leasing subsidiary) in exchange for 45,265,956 shares of our Class A common stock in the</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0" w:name="page71"/>
    <w:bookmarkEnd w:id="70"/>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7" w:lineRule="exact"/>
        <w:rPr>
          <w:sz w:val="20"/>
          <w:szCs w:val="20"/>
          <w:color w:val="auto"/>
        </w:rPr>
      </w:pPr>
    </w:p>
    <w:p>
      <w:pPr>
        <w:ind w:left="680"/>
        <w:spacing w:after="0" w:line="257" w:lineRule="auto"/>
        <w:rPr>
          <w:sz w:val="20"/>
          <w:szCs w:val="20"/>
          <w:color w:val="auto"/>
        </w:rPr>
      </w:pPr>
      <w:r>
        <w:rPr>
          <w:rFonts w:ascii="Times New Roman" w:cs="Times New Roman" w:eastAsia="Times New Roman" w:hAnsi="Times New Roman"/>
          <w:sz w:val="13"/>
          <w:szCs w:val="13"/>
          <w:color w:val="auto"/>
        </w:rPr>
        <w:t>Asset Contribution. The assets transferred included Old FNF’s specialty insurance business, its interest in certain claims management operations, certain timber and real estate holdings and certain smaller operations, together with all cash and certain investment assets held by Old FNF as of October 24, 2006. In connection with the Asset Contribution, Old FNF converted all of the FNT Class B common stock held by Old FNF into FNT Class A common stock and distributed the shares acquired by Old FNF from the Company, together with the converted shares, to holders of record of Old FNF common stock as of October 17, 2006 in a tax-free distribution (the “2006 Distribution”). As a result of the 2006 Distribution, Old FNF no longer owns any of the Company’s common stock and the Company is now a stand alone public company with all of its approximately 220.7 million shares held by the public. Also, on November 9, 2006, Old FNF merged with and into FIS, after which the Company legally changed its name to Fidelity National Financial, Inc. As of November 10, 2006, the Company’s common stock is now traded on the New York Stock Exchange under the trading symbol FNF. Old FNF’s current chairman of the board and chief executive officer has assumed the same positions in FNF and the position of executive chairman of the board of FIS. Other key members of Old FNF’s senior management will also continue their involvement in both FNF and FIS in executive capacities.</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Recapitalization of Fidelity National Information Services, Inc. (“FIS”) and Minority Interest Sale Resulting in a Gain on Issuance of Subsidiary Stock</w:t>
      </w:r>
    </w:p>
    <w:p>
      <w:pPr>
        <w:spacing w:after="0" w:line="100" w:lineRule="exact"/>
        <w:rPr>
          <w:sz w:val="20"/>
          <w:szCs w:val="20"/>
          <w:color w:val="auto"/>
        </w:rPr>
      </w:pPr>
    </w:p>
    <w:p>
      <w:pPr>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The recapitalization of FIS was completed on March 9, 2005 through $2.8 billion in borrowings under new senior credit facilities consisting of an $800 million Term Loan A facility, a $2.0 billion Term Loan B facility (collectively, the “Term Loan Facilities”) and an undrawn $400 million revolving credit facility (the “Revolver”). FIS fully drew upon the entire</w:t>
      </w:r>
    </w:p>
    <w:p>
      <w:pPr>
        <w:ind w:left="680" w:right="120"/>
        <w:spacing w:after="0" w:line="264" w:lineRule="auto"/>
        <w:rPr>
          <w:sz w:val="20"/>
          <w:szCs w:val="20"/>
          <w:color w:val="auto"/>
        </w:rPr>
      </w:pPr>
      <w:r>
        <w:rPr>
          <w:rFonts w:ascii="Times New Roman" w:cs="Times New Roman" w:eastAsia="Times New Roman" w:hAnsi="Times New Roman"/>
          <w:sz w:val="13"/>
          <w:szCs w:val="13"/>
          <w:color w:val="auto"/>
        </w:rPr>
        <w:t>$2.8 billion in Term Loan Facilities while the Revolver remained undrawn at the closing and used $2.7 billion of such funds to repay a note that had previously been distributed by it to Old FNF.</w:t>
      </w:r>
    </w:p>
    <w:p>
      <w:pPr>
        <w:spacing w:after="0" w:line="61" w:lineRule="exact"/>
        <w:rPr>
          <w:sz w:val="20"/>
          <w:szCs w:val="20"/>
          <w:color w:val="auto"/>
        </w:rPr>
      </w:pPr>
    </w:p>
    <w:p>
      <w:pPr>
        <w:ind w:left="680" w:right="100" w:firstLine="399"/>
        <w:spacing w:after="0" w:line="259" w:lineRule="auto"/>
        <w:rPr>
          <w:sz w:val="20"/>
          <w:szCs w:val="20"/>
          <w:color w:val="auto"/>
        </w:rPr>
      </w:pPr>
      <w:r>
        <w:rPr>
          <w:rFonts w:ascii="Times New Roman" w:cs="Times New Roman" w:eastAsia="Times New Roman" w:hAnsi="Times New Roman"/>
          <w:sz w:val="13"/>
          <w:szCs w:val="13"/>
          <w:color w:val="auto"/>
        </w:rPr>
        <w:t>The minority equity interest sale was accomplished through FIS selling an approximately 25% minority equity interest in the common stock of FIS to an investment group led by Thomas H. Lee Partners (“THL”) and Texas Pacific Group (“TPG”). FIS issued a total of 50 million shares of the common stock of FIS to the investment group for a total purchase price of $500 million, before certain expenses paid by FIS. The minority equity interest sale resulted in a non-operating gain of $318.2 million. This gain was calculated under the provisions of Securities and Exchange Commission (“SEC”) Staff Accounting Bulletin Topic 5H (“SAB Topic 5H”) and relates to the issuance of securities of a non-wholly owned subsidiary. The gain represents the difference between the Company’s book value investment in FIS immediately prior to the transaction and its book value investment in FIS immediately following the transaction. No deferred income taxes were recorded in connection with this transaction as the tax basis of the investment was greater than the book basis on the date of the sale.</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Distribution of Fidelity National Title Group</w:t>
      </w:r>
    </w:p>
    <w:p>
      <w:pPr>
        <w:spacing w:after="0" w:line="100"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On October 17, 2005, Old FNF completed a pro rata distribution of shares representing 17.5% of the outstanding common stock of FNT to Old FNF’s shareholders. This distribution completed a restructuring that resulted in FNT becoming the parent company of Old FNF’s title insurance businesses. From the time of the distribution until October 24, 2006 (see “Old FNF Asset Contribution and Stock Distribution” above), FNT was a majority-owned subsidiary of FNF and a separate registrant reporting its results on a stand-alone basis. During that time, Old FNF continued to consolidate FNT in its results, and recorded minority interest liabilities and expense relating to the 17.5% minority interest. This restructuring was a taxable transaction to Old FNF and its shareholders. Old FNF recognized income tax expense of approximately $100 million in the fourth quarter of 2005 relating to this restructuring.</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Investments</w:t>
      </w:r>
    </w:p>
    <w:p>
      <w:pPr>
        <w:spacing w:after="0" w:line="100" w:lineRule="exact"/>
        <w:rPr>
          <w:sz w:val="20"/>
          <w:szCs w:val="20"/>
          <w:color w:val="auto"/>
        </w:rPr>
      </w:pPr>
    </w:p>
    <w:p>
      <w:pPr>
        <w:ind w:left="680" w:right="160" w:firstLine="399"/>
        <w:spacing w:after="0" w:line="286" w:lineRule="auto"/>
        <w:rPr>
          <w:sz w:val="20"/>
          <w:szCs w:val="20"/>
          <w:color w:val="auto"/>
        </w:rPr>
      </w:pPr>
      <w:r>
        <w:rPr>
          <w:rFonts w:ascii="Times New Roman" w:cs="Times New Roman" w:eastAsia="Times New Roman" w:hAnsi="Times New Roman"/>
          <w:sz w:val="13"/>
          <w:szCs w:val="13"/>
          <w:color w:val="auto"/>
        </w:rPr>
        <w:t>Fixed maturity securities are purchased to support the investment strategies of the Company, which are developed based on factors including rate of return, maturity, credit risk, tax considerations and regulatory</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1" w:name="page72"/>
    <w:bookmarkEnd w:id="71"/>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7" w:lineRule="exact"/>
        <w:rPr>
          <w:sz w:val="20"/>
          <w:szCs w:val="20"/>
          <w:color w:val="auto"/>
        </w:rPr>
      </w:pPr>
    </w:p>
    <w:p>
      <w:pPr>
        <w:ind w:left="680" w:right="60"/>
        <w:spacing w:after="0" w:line="259" w:lineRule="auto"/>
        <w:rPr>
          <w:sz w:val="20"/>
          <w:szCs w:val="20"/>
          <w:color w:val="auto"/>
        </w:rPr>
      </w:pPr>
      <w:r>
        <w:rPr>
          <w:rFonts w:ascii="Times New Roman" w:cs="Times New Roman" w:eastAsia="Times New Roman" w:hAnsi="Times New Roman"/>
          <w:sz w:val="13"/>
          <w:szCs w:val="13"/>
          <w:color w:val="auto"/>
        </w:rPr>
        <w:t>requirements. Fixed maturity securities which may be sold prior to maturity to support the Company’s investment strategies are carried at fair value and are classified as available for sale as of the balance sheet dates. Fair values for fixed maturity securities are principally a function of current interest rates and are based on quoted market prices. Included in fixed maturities are mortgage-backed securities, which are recorded at purchase cost. Discount or premium is recorded for the difference between the purchase price and the principal amount. The discount or premium is amortized using the interest method and is recorded as an adjustment to interest and investment income. The interest method results in the recognition of a constant rate of return on the investment equal to the prevailing rate at the time of purchase or at the time of subsequent adjustments of book value. Changes in prepayment assumptions are accounted for retrospectively.</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Equity securities are considered to be available for sale and carried at fair value as of the balance sheet dates. Fair values are based on quoted market prices.</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Other long-term investments consist primarily of equity investments accounted for under the equity method of accounting.</w:t>
      </w:r>
    </w:p>
    <w:p>
      <w:pPr>
        <w:spacing w:after="0" w:line="96"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Short-term investments, which consist primarily of securities purchased under agreements to resell, commercial paper and money market instruments, which have an original maturity of one year or less, are carried at amortized cost, which approximates fair value.</w:t>
      </w:r>
    </w:p>
    <w:p>
      <w:pPr>
        <w:spacing w:after="0" w:line="47" w:lineRule="exact"/>
        <w:rPr>
          <w:sz w:val="20"/>
          <w:szCs w:val="20"/>
          <w:color w:val="auto"/>
        </w:rPr>
      </w:pPr>
    </w:p>
    <w:p>
      <w:pPr>
        <w:ind w:left="680" w:right="220" w:firstLine="399"/>
        <w:spacing w:after="0" w:line="263" w:lineRule="auto"/>
        <w:rPr>
          <w:sz w:val="20"/>
          <w:szCs w:val="20"/>
          <w:color w:val="auto"/>
        </w:rPr>
      </w:pPr>
      <w:r>
        <w:rPr>
          <w:rFonts w:ascii="Times New Roman" w:cs="Times New Roman" w:eastAsia="Times New Roman" w:hAnsi="Times New Roman"/>
          <w:sz w:val="13"/>
          <w:szCs w:val="13"/>
          <w:color w:val="auto"/>
        </w:rPr>
        <w:t>Realized gains and losses on the sale of investments are determined on the basis of the cost of the specific investments sold and are credited or charged to income on a trade date basis. Unrealized gains or losses on fixed maturity and equity securities which are classified as available for sale, net of applicable deferred income taxes (benefits), are excluded from earnings and credited or charged directly to a separate component of stockholders’ equity. If any unrealized losses on fixed maturity or equity securities are deemed other-than-temporary, such unrealized losses are recognized as realized losses.</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Cash and Cash Equivalents</w:t>
      </w:r>
    </w:p>
    <w:p>
      <w:pPr>
        <w:spacing w:after="0" w:line="100" w:lineRule="exact"/>
        <w:rPr>
          <w:sz w:val="20"/>
          <w:szCs w:val="20"/>
          <w:color w:val="auto"/>
        </w:rPr>
      </w:pPr>
    </w:p>
    <w:p>
      <w:pPr>
        <w:ind w:left="680" w:right="320" w:firstLine="399"/>
        <w:spacing w:after="0" w:line="286" w:lineRule="auto"/>
        <w:rPr>
          <w:sz w:val="20"/>
          <w:szCs w:val="20"/>
          <w:color w:val="auto"/>
        </w:rPr>
      </w:pPr>
      <w:r>
        <w:rPr>
          <w:rFonts w:ascii="Times New Roman" w:cs="Times New Roman" w:eastAsia="Times New Roman" w:hAnsi="Times New Roman"/>
          <w:sz w:val="13"/>
          <w:szCs w:val="13"/>
          <w:color w:val="auto"/>
        </w:rPr>
        <w:t>For purposes of reporting cash flows, highly liquid instruments purchased with original maturities of three months or less are considered cash equivalents. The carrying amounts reported in the Consolidated Balance Sheets for these instruments approximate their fair value.</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Fair Value of Financial Instruments</w:t>
      </w:r>
    </w:p>
    <w:p>
      <w:pPr>
        <w:spacing w:after="0" w:line="100" w:lineRule="exact"/>
        <w:rPr>
          <w:sz w:val="20"/>
          <w:szCs w:val="20"/>
          <w:color w:val="auto"/>
        </w:rPr>
      </w:pPr>
    </w:p>
    <w:p>
      <w:pPr>
        <w:ind w:left="680" w:right="240" w:firstLine="399"/>
        <w:spacing w:after="0" w:line="263" w:lineRule="auto"/>
        <w:rPr>
          <w:sz w:val="20"/>
          <w:szCs w:val="20"/>
          <w:color w:val="auto"/>
        </w:rPr>
      </w:pPr>
      <w:r>
        <w:rPr>
          <w:rFonts w:ascii="Times New Roman" w:cs="Times New Roman" w:eastAsia="Times New Roman" w:hAnsi="Times New Roman"/>
          <w:sz w:val="13"/>
          <w:szCs w:val="13"/>
          <w:color w:val="auto"/>
        </w:rPr>
        <w:t>The fair values of financial instruments presented in the applicable notes to the Company’s Consolidated Financial Statements are estimates of the fair values at a specific point in time using available market information and appropriate valuation methodologies. These estimates are subjective in nature and involve uncertainties and significant judgment in the interpretation of current market data. Therefore, the fair values presented are not necessarily indicative of amounts the Company could realize or settle currently. The Company does not necessarily intend to dispose of or liquidate such instruments prior to maturity.</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Trade and Notes Receivables</w:t>
      </w:r>
    </w:p>
    <w:p>
      <w:pPr>
        <w:spacing w:after="0" w:line="100"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The carrying values reported in the Consolidated Balance Sheets for trade and notes receivables approximate their fair value. Included in trade receivables at December 31, 2005 are unbilled receivables totaling $97.4 million.</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Goodwill</w:t>
      </w:r>
    </w:p>
    <w:p>
      <w:pPr>
        <w:spacing w:after="0" w:line="98" w:lineRule="exact"/>
        <w:rPr>
          <w:sz w:val="20"/>
          <w:szCs w:val="20"/>
          <w:color w:val="auto"/>
        </w:rPr>
      </w:pPr>
    </w:p>
    <w:p>
      <w:pPr>
        <w:ind w:left="680" w:right="340" w:firstLine="399"/>
        <w:spacing w:after="0" w:line="289" w:lineRule="auto"/>
        <w:rPr>
          <w:sz w:val="20"/>
          <w:szCs w:val="20"/>
          <w:color w:val="auto"/>
        </w:rPr>
      </w:pPr>
      <w:r>
        <w:rPr>
          <w:rFonts w:ascii="Times New Roman" w:cs="Times New Roman" w:eastAsia="Times New Roman" w:hAnsi="Times New Roman"/>
          <w:sz w:val="13"/>
          <w:szCs w:val="13"/>
          <w:color w:val="auto"/>
        </w:rPr>
        <w:t xml:space="preserve">Goodwill represents the excess of cost over fair value of identifiable net assets acquired and assumed in a business combination. SFAS No. 142, </w:t>
      </w:r>
      <w:r>
        <w:rPr>
          <w:rFonts w:ascii="Times New Roman" w:cs="Times New Roman" w:eastAsia="Times New Roman" w:hAnsi="Times New Roman"/>
          <w:sz w:val="13"/>
          <w:szCs w:val="13"/>
          <w:i w:val="1"/>
          <w:iCs w:val="1"/>
          <w:color w:val="auto"/>
        </w:rPr>
        <w:t>Goodwill and Intangible Assets</w:t>
      </w:r>
      <w:r>
        <w:rPr>
          <w:rFonts w:ascii="Times New Roman" w:cs="Times New Roman" w:eastAsia="Times New Roman" w:hAnsi="Times New Roman"/>
          <w:sz w:val="13"/>
          <w:szCs w:val="13"/>
          <w:color w:val="auto"/>
        </w:rPr>
        <w:t xml:space="preserve"> (“SFAS No. 142”) provides that goodwill and other intangible assets with indefinite useful lives should not be amortized, but shall be tested for impairment</w:t>
      </w:r>
    </w:p>
    <w:p>
      <w:pPr>
        <w:spacing w:after="0" w:line="2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2" w:name="page73"/>
    <w:bookmarkEnd w:id="72"/>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7" w:lineRule="exact"/>
        <w:rPr>
          <w:sz w:val="20"/>
          <w:szCs w:val="20"/>
          <w:color w:val="auto"/>
        </w:rPr>
      </w:pPr>
    </w:p>
    <w:p>
      <w:pPr>
        <w:ind w:left="680" w:right="100"/>
        <w:spacing w:after="0" w:line="286" w:lineRule="auto"/>
        <w:rPr>
          <w:sz w:val="20"/>
          <w:szCs w:val="20"/>
          <w:color w:val="auto"/>
        </w:rPr>
      </w:pPr>
      <w:r>
        <w:rPr>
          <w:rFonts w:ascii="Times New Roman" w:cs="Times New Roman" w:eastAsia="Times New Roman" w:hAnsi="Times New Roman"/>
          <w:sz w:val="13"/>
          <w:szCs w:val="13"/>
          <w:color w:val="auto"/>
        </w:rPr>
        <w:t>annually, or more frequently if circumstances indicate potential impairment, through a comparison of fair value to its carrying amount. The Company measures for impairment on an annual basis.</w:t>
      </w:r>
    </w:p>
    <w:p>
      <w:pPr>
        <w:spacing w:after="0" w:line="47"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As required by SFAS No. 142, the Company completed its annual goodwill impairment tests in the fourth quarter of each respective year using a September 30 measurement date, and has determined fair values were in excess of carrying values. Accordingly, no goodwill impairments have been recorded.</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Capitalized Software</w:t>
      </w:r>
    </w:p>
    <w:p>
      <w:pPr>
        <w:spacing w:after="0" w:line="100" w:lineRule="exact"/>
        <w:rPr>
          <w:sz w:val="20"/>
          <w:szCs w:val="20"/>
          <w:color w:val="auto"/>
        </w:rPr>
      </w:pPr>
    </w:p>
    <w:p>
      <w:pPr>
        <w:ind w:left="680" w:firstLine="399"/>
        <w:spacing w:after="0" w:line="254" w:lineRule="auto"/>
        <w:rPr>
          <w:sz w:val="20"/>
          <w:szCs w:val="20"/>
          <w:color w:val="auto"/>
        </w:rPr>
      </w:pPr>
      <w:r>
        <w:rPr>
          <w:rFonts w:ascii="Times New Roman" w:cs="Times New Roman" w:eastAsia="Times New Roman" w:hAnsi="Times New Roman"/>
          <w:sz w:val="13"/>
          <w:szCs w:val="13"/>
          <w:color w:val="auto"/>
        </w:rPr>
        <w:t xml:space="preserve">Capitalized software includes software acquired in business acquisitions, purchased software and internally developed capitalized software. Purchased software is recorded at cost and amortized using the straight-line method over a 3-year period and software acquired in a business acquisition is recorded at its fair value upon acquisition and amortized using straight-line and accelerated methods over its estimated useful life, generally 5 to 10 years. Capitalized computer software development costs are accounted for in accordance with either SFAS No. 86, </w:t>
      </w:r>
      <w:r>
        <w:rPr>
          <w:rFonts w:ascii="Times New Roman" w:cs="Times New Roman" w:eastAsia="Times New Roman" w:hAnsi="Times New Roman"/>
          <w:sz w:val="13"/>
          <w:szCs w:val="13"/>
          <w:i w:val="1"/>
          <w:iCs w:val="1"/>
          <w:color w:val="auto"/>
        </w:rPr>
        <w:t xml:space="preserve">Accounting for the Costs of Computer Software to Be Sold, Leased, or Otherwise Marketed </w:t>
      </w:r>
      <w:r>
        <w:rPr>
          <w:rFonts w:ascii="Times New Roman" w:cs="Times New Roman" w:eastAsia="Times New Roman" w:hAnsi="Times New Roman"/>
          <w:sz w:val="13"/>
          <w:szCs w:val="13"/>
          <w:color w:val="auto"/>
        </w:rPr>
        <w:t>(“SFAS No. 86”), or with American Institute of Certified Public Accountants’ Statement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Position (“SOP”) No. 98-1, </w:t>
      </w:r>
      <w:r>
        <w:rPr>
          <w:rFonts w:ascii="Times New Roman" w:cs="Times New Roman" w:eastAsia="Times New Roman" w:hAnsi="Times New Roman"/>
          <w:sz w:val="13"/>
          <w:szCs w:val="13"/>
          <w:i w:val="1"/>
          <w:iCs w:val="1"/>
          <w:color w:val="auto"/>
        </w:rPr>
        <w:t>Accounting for the Costs of Computer Software Developed or Obtained for Internal Use</w:t>
      </w:r>
      <w:r>
        <w:rPr>
          <w:rFonts w:ascii="Times New Roman" w:cs="Times New Roman" w:eastAsia="Times New Roman" w:hAnsi="Times New Roman"/>
          <w:sz w:val="13"/>
          <w:szCs w:val="13"/>
          <w:color w:val="auto"/>
        </w:rPr>
        <w:t xml:space="preserve"> (“SOP 98-1”). After the technological feasibility of the software has been established (for SFAS No. 86 software), or at the beginning of application development (for SOP No. 98-1 software), software development costs, which include salaries and related payroll costs and costs of independent contractors incurred during development, are capitalized. Research and development costs incurred prior to the establishment of technological feasibility (for SFAS No. 86 software), or prior to application development (for SOP No. 98-1 software), of a product are expensed as incurred and are not significant. The cost of internally developed computer software that is subject to the provisions of SFAS 86 is amortized on a product-by-product basis commencing on the date of general release of the products, generally the greater of</w:t>
      </w:r>
    </w:p>
    <w:p>
      <w:pPr>
        <w:spacing w:after="0" w:line="5" w:lineRule="exact"/>
        <w:rPr>
          <w:sz w:val="20"/>
          <w:szCs w:val="20"/>
          <w:color w:val="auto"/>
        </w:rPr>
      </w:pPr>
    </w:p>
    <w:p>
      <w:pPr>
        <w:ind w:left="680" w:right="120" w:firstLine="7"/>
        <w:spacing w:after="0" w:line="264" w:lineRule="auto"/>
        <w:tabs>
          <w:tab w:leader="none" w:pos="866"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straight-line method over its estimated useful life, which ranges from three to ten years or (2) the ratio of current revenues to total anticipated revenue over its useful life. The cost of purchased software that is subject to the provisions of SOP No. 98-1 is amortized on a straight-line basis over its estimated useful life.</w:t>
      </w:r>
    </w:p>
    <w:p>
      <w:pPr>
        <w:spacing w:after="0" w:line="61" w:lineRule="exact"/>
        <w:rPr>
          <w:sz w:val="20"/>
          <w:szCs w:val="20"/>
          <w:color w:val="auto"/>
        </w:rPr>
      </w:pPr>
    </w:p>
    <w:p>
      <w:pPr>
        <w:ind w:left="680" w:right="380" w:firstLine="399"/>
        <w:spacing w:after="0" w:line="286" w:lineRule="auto"/>
        <w:rPr>
          <w:sz w:val="20"/>
          <w:szCs w:val="20"/>
          <w:color w:val="auto"/>
        </w:rPr>
      </w:pPr>
      <w:r>
        <w:rPr>
          <w:rFonts w:ascii="Times New Roman" w:cs="Times New Roman" w:eastAsia="Times New Roman" w:hAnsi="Times New Roman"/>
          <w:sz w:val="13"/>
          <w:szCs w:val="13"/>
          <w:color w:val="auto"/>
        </w:rPr>
        <w:t>At December 31, 2006, capitalized software costs were $142.2 million, less accumulated amortization of $58.7 million. At December 31, 2005, capitalized software costs were $780.6 million, less accumulated amortization of $250.3 million and included FIS capitalized software costs of $660.9 million, less accumulated amortization of $208.9 million.</w:t>
      </w:r>
    </w:p>
    <w:p>
      <w:pPr>
        <w:spacing w:after="0" w:line="47" w:lineRule="exact"/>
        <w:rPr>
          <w:sz w:val="20"/>
          <w:szCs w:val="20"/>
          <w:color w:val="auto"/>
        </w:rPr>
      </w:pPr>
    </w:p>
    <w:p>
      <w:pPr>
        <w:ind w:left="680" w:right="320" w:firstLine="399"/>
        <w:spacing w:after="0" w:line="286" w:lineRule="auto"/>
        <w:rPr>
          <w:sz w:val="20"/>
          <w:szCs w:val="20"/>
          <w:color w:val="auto"/>
        </w:rPr>
      </w:pPr>
      <w:r>
        <w:rPr>
          <w:rFonts w:ascii="Times New Roman" w:cs="Times New Roman" w:eastAsia="Times New Roman" w:hAnsi="Times New Roman"/>
          <w:sz w:val="13"/>
          <w:szCs w:val="13"/>
          <w:color w:val="auto"/>
        </w:rPr>
        <w:t>Amortization expense relating to computer software was $127.4 million, $110.7 million, and $85.9 million for the years ended December 31, 2006, 2005 and 2004, respectively, primarily related to amortization expense recorded by FIS in each period.</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Other Intangible Assets</w:t>
      </w:r>
    </w:p>
    <w:p>
      <w:pPr>
        <w:spacing w:after="0" w:line="100" w:lineRule="exact"/>
        <w:rPr>
          <w:sz w:val="20"/>
          <w:szCs w:val="20"/>
          <w:color w:val="auto"/>
        </w:rPr>
      </w:pPr>
    </w:p>
    <w:p>
      <w:pPr>
        <w:ind w:left="680" w:right="140" w:firstLine="399"/>
        <w:spacing w:after="0" w:line="261" w:lineRule="auto"/>
        <w:rPr>
          <w:sz w:val="20"/>
          <w:szCs w:val="20"/>
          <w:color w:val="auto"/>
        </w:rPr>
      </w:pPr>
      <w:r>
        <w:rPr>
          <w:rFonts w:ascii="Times New Roman" w:cs="Times New Roman" w:eastAsia="Times New Roman" w:hAnsi="Times New Roman"/>
          <w:sz w:val="13"/>
          <w:szCs w:val="13"/>
          <w:color w:val="auto"/>
        </w:rPr>
        <w:t>The Company has other intangible assets, not including software, which consist primarily of customer relationships and contracts and trademarks which are generally recorded in connection with acquisitions at their fair value. SFAS No. 142 requires that intangible assets with estimable lives be amortized over their respective estimated useful lives to their estimated residual values and reviewed for impairment in accordance with SFAS No. 144. Customer relationships are amortized over their estimated useful lives using an accelerated method which takes into consideration expected customer attrition rates over a ten-year period. Contractual relationships are generally amortized over their contractual life. Trademarks are considered intangible assets with indefinite lives and are reviewed for impairment at least annually in accordance with SFAS No. 142.</w:t>
      </w:r>
    </w:p>
    <w:p>
      <w:pPr>
        <w:spacing w:after="0" w:line="62" w:lineRule="exact"/>
        <w:rPr>
          <w:sz w:val="20"/>
          <w:szCs w:val="20"/>
          <w:color w:val="auto"/>
        </w:rPr>
      </w:pPr>
    </w:p>
    <w:p>
      <w:pPr>
        <w:ind w:left="680" w:right="240" w:firstLine="399"/>
        <w:spacing w:after="0" w:line="286" w:lineRule="auto"/>
        <w:rPr>
          <w:sz w:val="20"/>
          <w:szCs w:val="20"/>
          <w:color w:val="auto"/>
        </w:rPr>
      </w:pPr>
      <w:r>
        <w:rPr>
          <w:rFonts w:ascii="Times New Roman" w:cs="Times New Roman" w:eastAsia="Times New Roman" w:hAnsi="Times New Roman"/>
          <w:sz w:val="13"/>
          <w:szCs w:val="13"/>
          <w:color w:val="auto"/>
        </w:rPr>
        <w:t>During 2005 and 2004, in accordance with SFAS No. 144, the Company determined that the carrying value of certain of its intangible assets, software and license fees may not be recoverable and recorded impairment expense of $9.3 million and $6.3 million, respectively, relating to the impairment of these assets. These expense amounts</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3" w:name="page74"/>
    <w:bookmarkEnd w:id="73"/>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were included in other operating expenses in the Consolidated Statements of Earnings for the years ended December 31, 2005 and 2004. There was no such expense recorded in 2006.</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Title Plants</w:t>
      </w:r>
    </w:p>
    <w:p>
      <w:pPr>
        <w:spacing w:after="0" w:line="100" w:lineRule="exact"/>
        <w:rPr>
          <w:sz w:val="20"/>
          <w:szCs w:val="20"/>
          <w:color w:val="auto"/>
        </w:rPr>
      </w:pPr>
    </w:p>
    <w:p>
      <w:pPr>
        <w:ind w:left="680" w:right="100" w:firstLine="399"/>
        <w:spacing w:after="0" w:line="263" w:lineRule="auto"/>
        <w:rPr>
          <w:sz w:val="20"/>
          <w:szCs w:val="20"/>
          <w:color w:val="auto"/>
        </w:rPr>
      </w:pPr>
      <w:r>
        <w:rPr>
          <w:rFonts w:ascii="Times New Roman" w:cs="Times New Roman" w:eastAsia="Times New Roman" w:hAnsi="Times New Roman"/>
          <w:sz w:val="13"/>
          <w:szCs w:val="13"/>
          <w:color w:val="auto"/>
        </w:rPr>
        <w:t>Title plants are recorded at the cost incurred to construct or obtain and organize historical title information to the point it can be used to perform title searches. Costs incurred to maintain, update and operate title plants are expensed as incurred. Title plants are not amortized as they are considered to have an indefinite life if maintained. Sales of title plants are reported at the amount received net of the adjusted costs of the title plant sold. Sales of title plant copies are reported at the amount received. No cost is allocated to the sale of copies of title plants unless the carrying value of the title plant is diminished or impaired.</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Property and Equipment</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Property and equipment are recorded at cost, less depreciation. Depreciation is computed primarily using the straight-line method based on the estimated useful lives of the related</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assets: thirty years for buildings and three to seven years for furniture, fixtures and equipment. Leasehold improvements are amortized on a straight-line basis over the lesser of the term of</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the applicable lease or the estimated useful lives of such assets.</w:t>
      </w:r>
    </w:p>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Reserve for Claim Losses</w:t>
      </w:r>
    </w:p>
    <w:p>
      <w:pPr>
        <w:spacing w:after="0" w:line="100"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The Company’s reserve for claim losses includes known claims for title and specialty insurance as well as losses the Company expects to incur, net of recoupments. Each known claim is reserved based on a review by the Company as to the estimated amount of the claim and the costs required to settle the claim. Reserves for claims which are incurred but not reported are established at the time premium revenue is recognized based on historical loss experience and other factors, including industry trends, claim loss history, current legal environment, geographic considerations and type of policy written. For specialty insurance, reserve for claims incurred but not reported are estimated based on historical loss experience.</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reserve for claim losses also includes reserves for losses arising from the escrow, closing and disbursement functions due to fraud or operational error.</w:t>
      </w:r>
    </w:p>
    <w:p>
      <w:pPr>
        <w:spacing w:after="0" w:line="96"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If a loss is related to a policy issued by an independent agent, the Company may proceed against the independent agent pursuant to the terms of the agency agreement. In any event, the Company may proceed against third parties who are responsible for any loss under the title insurance policy under rights of subrogation.</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Secured Trust Deposits</w:t>
      </w:r>
    </w:p>
    <w:p>
      <w:pPr>
        <w:spacing w:after="0" w:line="100" w:lineRule="exact"/>
        <w:rPr>
          <w:sz w:val="20"/>
          <w:szCs w:val="20"/>
          <w:color w:val="auto"/>
        </w:rPr>
      </w:pPr>
    </w:p>
    <w:p>
      <w:pPr>
        <w:ind w:left="680" w:right="500" w:firstLine="399"/>
        <w:spacing w:after="0" w:line="269" w:lineRule="auto"/>
        <w:rPr>
          <w:sz w:val="20"/>
          <w:szCs w:val="20"/>
          <w:color w:val="auto"/>
        </w:rPr>
      </w:pPr>
      <w:r>
        <w:rPr>
          <w:rFonts w:ascii="Times New Roman" w:cs="Times New Roman" w:eastAsia="Times New Roman" w:hAnsi="Times New Roman"/>
          <w:sz w:val="13"/>
          <w:szCs w:val="13"/>
          <w:color w:val="auto"/>
        </w:rPr>
        <w:t>In the state of Illinois, a trust company is permitted to commingle and invest customers’ assets with those of the Company, pending completion of real estate transactions. Accordingly, the Company’s Consolidated Balance Sheets reflect a secured trust deposit liability of $905.5 million and $882.6 million at December 31, 2006 and 2005, respectively, representing customers’ assets held by us and corresponding assets including cash and investments pledged as security for those trust balances.</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Income Taxes</w:t>
      </w:r>
    </w:p>
    <w:p>
      <w:pPr>
        <w:spacing w:after="0" w:line="100"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The Company recognizes deferred tax assets and liabilities for temporary differences between the financial reporting basis and the tax basis of the Company’s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are applied to the years during which temporary differences are expected to be settled and reflected in the financial statements in the period enacted.</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4" w:name="page75"/>
    <w:bookmarkEnd w:id="74"/>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Reinsurance</w:t>
      </w:r>
    </w:p>
    <w:p>
      <w:pPr>
        <w:spacing w:after="0" w:line="100" w:lineRule="exact"/>
        <w:rPr>
          <w:sz w:val="20"/>
          <w:szCs w:val="20"/>
          <w:color w:val="auto"/>
        </w:rPr>
      </w:pPr>
    </w:p>
    <w:p>
      <w:pPr>
        <w:ind w:left="680" w:right="80" w:firstLine="399"/>
        <w:spacing w:after="0" w:line="261" w:lineRule="auto"/>
        <w:rPr>
          <w:sz w:val="20"/>
          <w:szCs w:val="20"/>
          <w:color w:val="auto"/>
        </w:rPr>
      </w:pPr>
      <w:r>
        <w:rPr>
          <w:rFonts w:ascii="Times New Roman" w:cs="Times New Roman" w:eastAsia="Times New Roman" w:hAnsi="Times New Roman"/>
          <w:sz w:val="13"/>
          <w:szCs w:val="13"/>
          <w:color w:val="auto"/>
        </w:rPr>
        <w:t>In a limited number of situations, the Company limits its maximum loss exposure by reinsuring certain risks with other insurers. The Company also earns a small amount of additional income, which is reflected in the Company’s direct premiums, by assuming reinsurance for certain risks of other insurers. The Company also cedes a portion of certain policy and other liabilities under agent fidelity, excess of loss and case-by-case reinsurance agreements. Reinsurance agreements provide that in the event of a loss (including costs, attorneys’ fees and expenses) exceeding the retained amounts, the reinsurer is liable for the excess amount assumed. However, the ceding company remains primarily liable in the event the reinsurer does not meet its contractual obligations.</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Revenue Recognition</w:t>
      </w:r>
    </w:p>
    <w:p>
      <w:pPr>
        <w:spacing w:after="0" w:line="98" w:lineRule="exact"/>
        <w:rPr>
          <w:sz w:val="20"/>
          <w:szCs w:val="20"/>
          <w:color w:val="auto"/>
        </w:rPr>
      </w:pPr>
    </w:p>
    <w:p>
      <w:pPr>
        <w:ind w:left="680" w:right="8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Fidelity National Title Group. </w:t>
      </w:r>
      <w:r>
        <w:rPr>
          <w:rFonts w:ascii="Times New Roman" w:cs="Times New Roman" w:eastAsia="Times New Roman" w:hAnsi="Times New Roman"/>
          <w:sz w:val="13"/>
          <w:szCs w:val="13"/>
          <w:color w:val="auto"/>
        </w:rPr>
        <w:t>Direct title insurance premiums and escrow and other title related fees are recognized as revenue at the time of closing of the related transaction as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earnings process is considered complete, whereas premium revenues from agency operations and agency commissions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w:t>
      </w:r>
    </w:p>
    <w:p>
      <w:pPr>
        <w:spacing w:after="0" w:line="60" w:lineRule="exact"/>
        <w:rPr>
          <w:sz w:val="20"/>
          <w:szCs w:val="20"/>
          <w:color w:val="auto"/>
        </w:rPr>
      </w:pPr>
    </w:p>
    <w:p>
      <w:pPr>
        <w:ind w:left="680" w:right="22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Specialty Insurance. </w:t>
      </w:r>
      <w:r>
        <w:rPr>
          <w:rFonts w:ascii="Times New Roman" w:cs="Times New Roman" w:eastAsia="Times New Roman" w:hAnsi="Times New Roman"/>
          <w:sz w:val="13"/>
          <w:szCs w:val="13"/>
          <w:color w:val="auto"/>
        </w:rPr>
        <w:t>Revenues from home warranty and personal lines insurance policies are recognized over the life of the policy, which is one year. Revenues and commissions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related to the sale of flood insurance are recognized when the policy is reported.</w:t>
      </w:r>
    </w:p>
    <w:p>
      <w:pPr>
        <w:spacing w:after="0" w:line="43" w:lineRule="exact"/>
        <w:rPr>
          <w:sz w:val="20"/>
          <w:szCs w:val="20"/>
          <w:color w:val="auto"/>
        </w:rPr>
      </w:pPr>
    </w:p>
    <w:p>
      <w:pPr>
        <w:ind w:left="680" w:right="24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Fidelity National Information Services, Inc. </w:t>
      </w:r>
      <w:r>
        <w:rPr>
          <w:rFonts w:ascii="Times New Roman" w:cs="Times New Roman" w:eastAsia="Times New Roman" w:hAnsi="Times New Roman"/>
          <w:sz w:val="13"/>
          <w:szCs w:val="13"/>
          <w:color w:val="auto"/>
        </w:rPr>
        <w:t>In this segment, the Company earns revenues from processing services, software licensing and software related services and data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information services.</w:t>
      </w:r>
    </w:p>
    <w:p>
      <w:pPr>
        <w:spacing w:after="0" w:line="45" w:lineRule="exact"/>
        <w:rPr>
          <w:sz w:val="20"/>
          <w:szCs w:val="20"/>
          <w:color w:val="auto"/>
        </w:rPr>
      </w:pPr>
    </w:p>
    <w:p>
      <w:pPr>
        <w:ind w:left="680" w:right="120" w:firstLine="399"/>
        <w:spacing w:after="0" w:line="263" w:lineRule="auto"/>
        <w:rPr>
          <w:sz w:val="20"/>
          <w:szCs w:val="20"/>
          <w:color w:val="auto"/>
        </w:rPr>
      </w:pPr>
      <w:r>
        <w:rPr>
          <w:rFonts w:ascii="Times New Roman" w:cs="Times New Roman" w:eastAsia="Times New Roman" w:hAnsi="Times New Roman"/>
          <w:sz w:val="13"/>
          <w:szCs w:val="13"/>
          <w:color w:val="auto"/>
        </w:rPr>
        <w:t>The Company recognizes revenues relating to bank processing services and mortgage processing services along with software licensing and software related services. Several of the Company’s contracts include a software license and one or more of the following services: data processing, development, implementation, conversion, training, programming, maintenance and application management. In some cases, these services are offered in combination with one another and in other cases the Company offers them individually. Revenues from bank and mortgage processing services are typically volume-based depending on factors such as the estimated number of accounts, transactions processed and computer resources utilized.</w:t>
      </w:r>
    </w:p>
    <w:p>
      <w:pPr>
        <w:spacing w:after="0" w:line="62" w:lineRule="exact"/>
        <w:rPr>
          <w:sz w:val="20"/>
          <w:szCs w:val="20"/>
          <w:color w:val="auto"/>
        </w:rPr>
      </w:pPr>
    </w:p>
    <w:p>
      <w:pPr>
        <w:ind w:left="680" w:right="20" w:firstLine="399"/>
        <w:spacing w:after="0" w:line="258" w:lineRule="auto"/>
        <w:rPr>
          <w:sz w:val="20"/>
          <w:szCs w:val="20"/>
          <w:color w:val="auto"/>
        </w:rPr>
      </w:pPr>
      <w:r>
        <w:rPr>
          <w:rFonts w:ascii="Times New Roman" w:cs="Times New Roman" w:eastAsia="Times New Roman" w:hAnsi="Times New Roman"/>
          <w:sz w:val="13"/>
          <w:szCs w:val="13"/>
          <w:color w:val="auto"/>
        </w:rPr>
        <w:t>The substantial majority of the revenues in this business are from outsourced data processing and application management arrangements. Revenues from these arrangements are recognized as services are performed in accordance with SEC Staff Accounting Bulletin No. 104 (“SAB No. 104”), “Revenue Recognition” and related interpretations. SAB No. 104 sets forth guidance as to when revenue is realized or realizable and earned when all of the following criteria are met: (1) persuasive evidence of an arrangement exists; (2) delivery has occurred or services have been rendered; (3) the seller’s price to the buyer is fixed and determinable; and (4) collectibility is reasonably assured. Revenue and deferred costs related to implementation, conversion and programming services associated with the Company’s data processing and application management agreements are deferred during the implementation phase and subsequently recognized using the straight-line method over the term of the related agreement. The Company evaluates these deferred costs for impairment in the event any indications of impairment exist.</w:t>
      </w:r>
    </w:p>
    <w:p>
      <w:pPr>
        <w:spacing w:after="0" w:line="225"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 xml:space="preserve">In the event that the Company’s arrangements with its customers include more than one product or service, the Company determines whether the individual elements can be recognized separately in accordance with the provisions of EITF No. 00-21, </w:t>
      </w:r>
      <w:r>
        <w:rPr>
          <w:rFonts w:ascii="Times New Roman" w:cs="Times New Roman" w:eastAsia="Times New Roman" w:hAnsi="Times New Roman"/>
          <w:sz w:val="13"/>
          <w:szCs w:val="13"/>
          <w:i w:val="1"/>
          <w:iCs w:val="1"/>
          <w:color w:val="auto"/>
        </w:rPr>
        <w:t>Revenue Arrangements with Multiple Deliverables</w:t>
      </w:r>
      <w:r>
        <w:rPr>
          <w:rFonts w:ascii="Times New Roman" w:cs="Times New Roman" w:eastAsia="Times New Roman" w:hAnsi="Times New Roman"/>
          <w:sz w:val="13"/>
          <w:szCs w:val="13"/>
          <w:color w:val="auto"/>
        </w:rPr>
        <w:t xml:space="preserve"> (“EITF 00-21”). EITF 00-21 addresses the determination of whether an arrangement involving more than one deliverable contains more than one unit of accounting and how the arrangement consideration should be measured and allocated to the separate units of accounting. If all of the products and services are software related products and services as determined under the provisions of SOP 97-2 (“SOP No. 97-2”), entitled </w:t>
      </w:r>
      <w:r>
        <w:rPr>
          <w:rFonts w:ascii="Times New Roman" w:cs="Times New Roman" w:eastAsia="Times New Roman" w:hAnsi="Times New Roman"/>
          <w:sz w:val="13"/>
          <w:szCs w:val="13"/>
          <w:i w:val="1"/>
          <w:iCs w:val="1"/>
          <w:color w:val="auto"/>
        </w:rPr>
        <w:t>Software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Revenue Recognition, </w:t>
      </w:r>
      <w:r>
        <w:rPr>
          <w:rFonts w:ascii="Times New Roman" w:cs="Times New Roman" w:eastAsia="Times New Roman" w:hAnsi="Times New Roman"/>
          <w:sz w:val="13"/>
          <w:szCs w:val="13"/>
          <w:color w:val="auto"/>
        </w:rPr>
        <w:t>and SOP 98-9, entitled</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5" w:name="page76"/>
    <w:bookmarkEnd w:id="75"/>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5" w:lineRule="exact"/>
        <w:rPr>
          <w:sz w:val="20"/>
          <w:szCs w:val="20"/>
          <w:color w:val="auto"/>
        </w:rPr>
      </w:pPr>
    </w:p>
    <w:p>
      <w:pPr>
        <w:ind w:left="680" w:right="60"/>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Modification of SOP No. 97-2, Software Revenue Recognition, with Respect to Certain Transactions, </w:t>
      </w:r>
      <w:r>
        <w:rPr>
          <w:rFonts w:ascii="Times New Roman" w:cs="Times New Roman" w:eastAsia="Times New Roman" w:hAnsi="Times New Roman"/>
          <w:sz w:val="13"/>
          <w:szCs w:val="13"/>
          <w:color w:val="auto"/>
        </w:rPr>
        <w:t>the Company applies these pronouncements and related interpretations to determine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appropriate units of accounting and how the arrangement consideration should be measured and allocated to the separate units of accounting.</w:t>
      </w:r>
    </w:p>
    <w:p>
      <w:pPr>
        <w:spacing w:after="0" w:line="45" w:lineRule="exact"/>
        <w:rPr>
          <w:sz w:val="20"/>
          <w:szCs w:val="20"/>
          <w:color w:val="auto"/>
        </w:rPr>
      </w:pPr>
    </w:p>
    <w:p>
      <w:pPr>
        <w:ind w:left="680" w:right="60" w:firstLine="399"/>
        <w:spacing w:after="0" w:line="256" w:lineRule="auto"/>
        <w:rPr>
          <w:sz w:val="20"/>
          <w:szCs w:val="20"/>
          <w:color w:val="auto"/>
        </w:rPr>
      </w:pPr>
      <w:r>
        <w:rPr>
          <w:rFonts w:ascii="Times New Roman" w:cs="Times New Roman" w:eastAsia="Times New Roman" w:hAnsi="Times New Roman"/>
          <w:sz w:val="13"/>
          <w:szCs w:val="13"/>
          <w:color w:val="auto"/>
        </w:rPr>
        <w:t>The Company recognizes software license and maintenance fees as well as associated development, implementation, training, conversion and programming fees in accordance with SOP No. 97-2 and SOP No. 98-9. Initial license fees are recognized when a contract exists, the fee is fixed or determinable, software delivery has occurred and collection of the receivable is deemed probable, provided that vendor-specific objective evidence, or VSOE, has been established for each element or for the undelivered elements. The Company determines the fair value of each element or the undelivered elements in multi-element software arrangements based on VSOE. If the arrangement is subject to accounting under SOP No. 97-2, VSOE for each element is based on the price charged when the same element is sold separately. If evidence of fair value of all undelivered elements exists but evidence does not exist for one or more delivered elements, then revenue is recognized using the residual method. Under the residual method, the fair value of the undelivered elements is deferred and the remaining portion of the arrangement fee is recognized as revenue. If evidence of fair value does not exist for one or more undelivered elements of a contract, then all revenue is deferred until all elements are delivered or fair value is determined for all remaining undelivered elements. Revenue from maintenance and support is recognized ratably over the term of the agreement. The Company records deferred revenue for maintenance amounts invoiced prior to revenue recognition.</w:t>
      </w:r>
    </w:p>
    <w:p>
      <w:pPr>
        <w:spacing w:after="0" w:line="69"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 xml:space="preserve">With respect to a small percentage of revenues, the Company uses contract accounting, as required by SOP No. 97-2, when the arrangement with the customer includes significant customization, modification, or production of software. For elements accounted for under contract accounting, revenue is recognized in accordance with SOP 81-1, </w:t>
      </w:r>
      <w:r>
        <w:rPr>
          <w:rFonts w:ascii="Times New Roman" w:cs="Times New Roman" w:eastAsia="Times New Roman" w:hAnsi="Times New Roman"/>
          <w:sz w:val="13"/>
          <w:szCs w:val="13"/>
          <w:i w:val="1"/>
          <w:iCs w:val="1"/>
          <w:color w:val="auto"/>
        </w:rPr>
        <w:t>Accounting for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Performance of Construction Type and Certain Production-Type Contracts, </w:t>
      </w:r>
      <w:r>
        <w:rPr>
          <w:rFonts w:ascii="Times New Roman" w:cs="Times New Roman" w:eastAsia="Times New Roman" w:hAnsi="Times New Roman"/>
          <w:sz w:val="13"/>
          <w:szCs w:val="13"/>
          <w:color w:val="auto"/>
        </w:rPr>
        <w:t>using the percentage-of-completion method since reasonably dependable estimates of revenues and contract hours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applicable to various elements of a contract can be made. Revenues in excess of billings on these agreements are recorded as unbilled receivables and are included in accounts receivable. Billings in excess of revenue recognized on these agreements are recorded as deferred revenue until revenue recognition criteria are met. Changes in estimates for revenues, costs and profits are recognized in the period in which they are determinable. When the Company’s estimate indicates that the entire contract will be performed at a loss, a provision for the entire loss is recorded in that accounting period.</w:t>
      </w:r>
    </w:p>
    <w:p>
      <w:pPr>
        <w:spacing w:after="0" w:line="64"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The Company recognizes revenues from mortgage origination services and default management services. Mortgage origination services consist of centralized title agency and closing services for various types of lenders. Revenues relating to centralized title agency and closing services are recognized at the time of closing of the related real estate transaction. Ancillary service fees are recognized when the service is provided. Default management services consist of services provided to assist customers through the default and foreclosure process, including property preservation and maintenance services (such as lock changes, window replacement, debris removal and lawn service), posting and publication of foreclosure and auction notices, title searches, document preparation and recording services, and referrals for legal and property brokerage services. Revenue derived from these services is recognized as the services are performed in accordance with SAB No. 104 as described above.</w:t>
      </w:r>
    </w:p>
    <w:p>
      <w:pPr>
        <w:spacing w:after="0" w:line="64" w:lineRule="exact"/>
        <w:rPr>
          <w:sz w:val="20"/>
          <w:szCs w:val="20"/>
          <w:color w:val="auto"/>
        </w:rPr>
      </w:pPr>
    </w:p>
    <w:p>
      <w:pPr>
        <w:ind w:left="680" w:right="60" w:firstLine="399"/>
        <w:spacing w:after="0" w:line="269" w:lineRule="auto"/>
        <w:rPr>
          <w:sz w:val="20"/>
          <w:szCs w:val="20"/>
          <w:color w:val="auto"/>
        </w:rPr>
      </w:pPr>
      <w:r>
        <w:rPr>
          <w:rFonts w:ascii="Times New Roman" w:cs="Times New Roman" w:eastAsia="Times New Roman" w:hAnsi="Times New Roman"/>
          <w:sz w:val="13"/>
          <w:szCs w:val="13"/>
          <w:color w:val="auto"/>
        </w:rPr>
        <w:t>The Company records revenue from providing data or data-related services. These services principally include appraisal and valuation services, property records information, real estate tax services, borrower credit and flood zone information and multiple listing software and services. Revenue derived from these services is recognized as the services are performed in accordance with SAB No. 104 as described above.</w:t>
      </w:r>
    </w:p>
    <w:p>
      <w:pPr>
        <w:spacing w:after="0" w:line="58"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The Company’s flood and tax units provide various services including life-of-loan monitoring services. Revenue for life-of-loan services is deferred and recognized ratably over the estimated average life of the loan service period, which is determined based on the Company’s historical experience. The Company evaluates its historical experience on a periodic basis, and adjusts the estimated life of the loan service period prospectively. Revenue derived from software and service arrangements is recognized in accordance with SOP No. 97-2.</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6" w:name="page77"/>
    <w:bookmarkEnd w:id="76"/>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Revenues from other services in this segment are recognized as the services are performed in accordance with SAB No. 104 as described above.</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Earnings Per Share and Unaudited Pro forma Earnings Per Share</w:t>
      </w:r>
    </w:p>
    <w:p>
      <w:pPr>
        <w:spacing w:after="0" w:line="100" w:lineRule="exact"/>
        <w:rPr>
          <w:sz w:val="20"/>
          <w:szCs w:val="20"/>
          <w:color w:val="auto"/>
        </w:rPr>
      </w:pPr>
    </w:p>
    <w:p>
      <w:pPr>
        <w:ind w:left="680" w:right="60" w:firstLine="399"/>
        <w:spacing w:after="0" w:line="269" w:lineRule="auto"/>
        <w:rPr>
          <w:sz w:val="20"/>
          <w:szCs w:val="20"/>
          <w:color w:val="auto"/>
        </w:rPr>
      </w:pPr>
      <w:r>
        <w:rPr>
          <w:rFonts w:ascii="Times New Roman" w:cs="Times New Roman" w:eastAsia="Times New Roman" w:hAnsi="Times New Roman"/>
          <w:sz w:val="13"/>
          <w:szCs w:val="13"/>
          <w:color w:val="auto"/>
        </w:rPr>
        <w:t>Basic earnings per share is computed by dividing net earnings available to common stockholders by the weighted average number of common shares outstanding during the period. Diluted earnings per share is calculated by dividing net earnings available to common stockholders plus the impact of assumed conversions of dilutive potential securities. The Company has granted certain options, warrants and restricted stock which have been treated as common share equivalents for purposes of calculating diluted earnings per share.</w:t>
      </w:r>
    </w:p>
    <w:p>
      <w:pPr>
        <w:spacing w:after="0" w:line="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presents the computation of basic and diluted earnings per share:</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8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gridSpan w:val="6"/>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r>
      <w:tr>
        <w:trPr>
          <w:trHeight w:val="98"/>
        </w:trPr>
        <w:tc>
          <w:tcPr>
            <w:tcW w:w="810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jc w:val="right"/>
              <w:ind w:right="179"/>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6"/>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8"/>
                <w:szCs w:val="8"/>
                <w:color w:val="auto"/>
              </w:rPr>
            </w:pPr>
          </w:p>
        </w:tc>
      </w:tr>
      <w:tr>
        <w:trPr>
          <w:trHeight w:val="133"/>
        </w:trPr>
        <w:tc>
          <w:tcPr>
            <w:tcW w:w="8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20" w:type="dxa"/>
            <w:vAlign w:val="bottom"/>
          </w:tcPr>
          <w:p>
            <w:pPr>
              <w:spacing w:after="0"/>
              <w:rPr>
                <w:sz w:val="11"/>
                <w:szCs w:val="1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except per share data)</w:t>
            </w:r>
          </w:p>
        </w:tc>
        <w:tc>
          <w:tcPr>
            <w:tcW w:w="100" w:type="dxa"/>
            <w:vAlign w:val="bottom"/>
          </w:tcPr>
          <w:p>
            <w:pPr>
              <w:spacing w:after="0"/>
              <w:rPr>
                <w:sz w:val="11"/>
                <w:szCs w:val="11"/>
                <w:color w:val="auto"/>
              </w:rPr>
            </w:pPr>
          </w:p>
        </w:tc>
      </w:tr>
      <w:tr>
        <w:trPr>
          <w:trHeight w:val="171"/>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and diluted earnings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437,761</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964,106</w:t>
            </w:r>
          </w:p>
        </w:tc>
      </w:tr>
      <w:tr>
        <w:trPr>
          <w:trHeight w:val="167"/>
        </w:trPr>
        <w:tc>
          <w:tcPr>
            <w:tcW w:w="810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shares outstanding during the year, basic basis</w:t>
            </w: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182,031</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173,463</w:t>
            </w:r>
          </w:p>
        </w:tc>
        <w:tc>
          <w:tcPr>
            <w:tcW w:w="100" w:type="dxa"/>
            <w:vAlign w:val="bottom"/>
          </w:tcPr>
          <w:p>
            <w:pPr>
              <w:spacing w:after="0"/>
              <w:rPr>
                <w:sz w:val="14"/>
                <w:szCs w:val="14"/>
                <w:color w:val="auto"/>
              </w:rPr>
            </w:pPr>
          </w:p>
        </w:tc>
      </w:tr>
      <w:tr>
        <w:trPr>
          <w:trHeight w:val="157"/>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Plus: Common equivalent shares assumed from conversion of options</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830</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112</w:t>
            </w:r>
          </w:p>
        </w:tc>
      </w:tr>
      <w:tr>
        <w:trPr>
          <w:trHeight w:val="171"/>
        </w:trPr>
        <w:tc>
          <w:tcPr>
            <w:tcW w:w="810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shares outstanding during the year, diluted basis</w:t>
            </w:r>
          </w:p>
        </w:tc>
        <w:tc>
          <w:tcPr>
            <w:tcW w:w="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182,861</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173,575</w:t>
            </w:r>
          </w:p>
        </w:tc>
        <w:tc>
          <w:tcPr>
            <w:tcW w:w="100" w:type="dxa"/>
            <w:vAlign w:val="bottom"/>
          </w:tcPr>
          <w:p>
            <w:pPr>
              <w:spacing w:after="0"/>
              <w:rPr>
                <w:sz w:val="14"/>
                <w:szCs w:val="14"/>
                <w:color w:val="auto"/>
              </w:rPr>
            </w:pPr>
          </w:p>
        </w:tc>
      </w:tr>
      <w:tr>
        <w:trPr>
          <w:trHeight w:val="172"/>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earnings per share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2.40</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5.56</w:t>
            </w:r>
          </w:p>
        </w:tc>
      </w:tr>
      <w:tr>
        <w:trPr>
          <w:trHeight w:val="177"/>
        </w:trPr>
        <w:tc>
          <w:tcPr>
            <w:tcW w:w="8100" w:type="dxa"/>
            <w:vAlign w:val="bottom"/>
          </w:tcPr>
          <w:p>
            <w:pPr>
              <w:spacing w:after="0"/>
              <w:rPr>
                <w:sz w:val="20"/>
                <w:szCs w:val="20"/>
                <w:color w:val="auto"/>
              </w:rPr>
            </w:pPr>
            <w:r>
              <w:rPr>
                <w:rFonts w:ascii="Times New Roman" w:cs="Times New Roman" w:eastAsia="Times New Roman" w:hAnsi="Times New Roman"/>
                <w:sz w:val="13"/>
                <w:szCs w:val="13"/>
                <w:color w:val="auto"/>
              </w:rPr>
              <w:t>Diluted earnings per share</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100" w:type="dxa"/>
            <w:vAlign w:val="bottom"/>
          </w:tcPr>
          <w:p>
            <w:pPr>
              <w:spacing w:after="0"/>
              <w:rPr>
                <w:sz w:val="15"/>
                <w:szCs w:val="15"/>
                <w:color w:val="auto"/>
              </w:rPr>
            </w:pPr>
          </w:p>
        </w:tc>
      </w:tr>
    </w:tbl>
    <w:p>
      <w:pPr>
        <w:spacing w:after="0" w:line="86"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Options to purchase 2,297,140 shares and 2,206,500 shares of the Company’s common stock for the years ended December 31, 2006 and 2005, respectively, were not included in the computation of diluted earnings per share because they were anti-dilutive.</w:t>
      </w:r>
    </w:p>
    <w:p>
      <w:pPr>
        <w:spacing w:after="0" w:line="47" w:lineRule="exact"/>
        <w:rPr>
          <w:sz w:val="20"/>
          <w:szCs w:val="20"/>
          <w:color w:val="auto"/>
        </w:rPr>
      </w:pPr>
    </w:p>
    <w:p>
      <w:pPr>
        <w:ind w:left="680" w:right="240" w:firstLine="399"/>
        <w:spacing w:after="0" w:line="286" w:lineRule="auto"/>
        <w:rPr>
          <w:sz w:val="20"/>
          <w:szCs w:val="20"/>
          <w:color w:val="auto"/>
        </w:rPr>
      </w:pPr>
      <w:r>
        <w:rPr>
          <w:rFonts w:ascii="Times New Roman" w:cs="Times New Roman" w:eastAsia="Times New Roman" w:hAnsi="Times New Roman"/>
          <w:sz w:val="13"/>
          <w:szCs w:val="13"/>
          <w:color w:val="auto"/>
        </w:rPr>
        <w:t>Unaudited pro forma net earnings per share for the year ended December 31, 2004, has been calculated using the number of outstanding shares of FNF common stock as of a date prior to the distribution of FNF stock by Old FNF.</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Transactions with Related Parties</w:t>
      </w:r>
    </w:p>
    <w:p>
      <w:pPr>
        <w:spacing w:after="0" w:line="100" w:lineRule="exact"/>
        <w:rPr>
          <w:sz w:val="20"/>
          <w:szCs w:val="20"/>
          <w:color w:val="auto"/>
        </w:rPr>
      </w:pPr>
    </w:p>
    <w:p>
      <w:pPr>
        <w:ind w:left="680" w:right="500" w:firstLine="399"/>
        <w:spacing w:after="0" w:line="286" w:lineRule="auto"/>
        <w:rPr>
          <w:sz w:val="20"/>
          <w:szCs w:val="20"/>
          <w:color w:val="auto"/>
        </w:rPr>
      </w:pPr>
      <w:r>
        <w:rPr>
          <w:rFonts w:ascii="Times New Roman" w:cs="Times New Roman" w:eastAsia="Times New Roman" w:hAnsi="Times New Roman"/>
          <w:sz w:val="13"/>
          <w:szCs w:val="13"/>
          <w:color w:val="auto"/>
        </w:rPr>
        <w:t>Beginning on October 24, 2006, the Company’s financial statements reflect transactions with FIS, which is a related party. Prior to October 24, 2006, these transactions were eliminated because FIS’ results of operations were included in our consolidated results.</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7" w:name="page78"/>
    <w:bookmarkEnd w:id="77"/>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9000" w:type="dxa"/>
            <w:vAlign w:val="bottom"/>
          </w:tcPr>
          <w:p>
            <w:pPr>
              <w:ind w:left="3120"/>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6"/>
        </w:trPr>
        <w:tc>
          <w:tcPr>
            <w:tcW w:w="9000" w:type="dxa"/>
            <w:vAlign w:val="bottom"/>
          </w:tcPr>
          <w:p>
            <w:pPr>
              <w:ind w:left="28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24"/>
        </w:trPr>
        <w:tc>
          <w:tcPr>
            <w:tcW w:w="90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 list of related party items included in revenues and expenses for the period from October 24 through December 31, 2006 is as follows: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6"/>
        </w:trPr>
        <w:tc>
          <w:tcPr>
            <w:tcW w:w="9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0"/>
                <w:szCs w:val="10"/>
                <w:b w:val="1"/>
                <w:bCs w:val="1"/>
                <w:color w:val="auto"/>
              </w:rPr>
              <w:t>2006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33"/>
        </w:trPr>
        <w:tc>
          <w:tcPr>
            <w:tcW w:w="9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1"/>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2"/>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Agency title premiums earned</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22.4</w:t>
            </w:r>
          </w:p>
        </w:tc>
        <w:tc>
          <w:tcPr>
            <w:tcW w:w="80" w:type="dxa"/>
            <w:vAlign w:val="bottom"/>
          </w:tcPr>
          <w:p>
            <w:pPr>
              <w:spacing w:after="0"/>
              <w:rPr>
                <w:sz w:val="14"/>
                <w:szCs w:val="14"/>
                <w:color w:val="auto"/>
              </w:rPr>
            </w:pPr>
          </w:p>
        </w:tc>
      </w:tr>
      <w:tr>
        <w:trPr>
          <w:trHeight w:val="16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Expenses:</w:t>
            </w: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7"/>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Agency title commissions</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tcPr>
          <w:p>
            <w:pPr>
              <w:spacing w:after="0"/>
              <w:rPr>
                <w:sz w:val="13"/>
                <w:szCs w:val="13"/>
                <w:color w:val="auto"/>
              </w:rPr>
            </w:pPr>
          </w:p>
        </w:tc>
      </w:tr>
      <w:tr>
        <w:trPr>
          <w:trHeight w:val="15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Data processing costs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shd w:val="clear" w:color="auto" w:fill="CCEEFF"/>
          </w:tcPr>
          <w:p>
            <w:pPr>
              <w:spacing w:after="0"/>
              <w:rPr>
                <w:sz w:val="13"/>
                <w:szCs w:val="13"/>
                <w:color w:val="auto"/>
              </w:rPr>
            </w:pPr>
          </w:p>
        </w:tc>
      </w:tr>
      <w:tr>
        <w:trPr>
          <w:trHeight w:val="157"/>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Corporate services allocated</w:t>
            </w:r>
          </w:p>
        </w:tc>
        <w:tc>
          <w:tcPr>
            <w:tcW w:w="120" w:type="dxa"/>
            <w:vAlign w:val="bottom"/>
          </w:tcPr>
          <w:p>
            <w:pPr>
              <w:spacing w:after="0"/>
              <w:rPr>
                <w:sz w:val="13"/>
                <w:szCs w:val="13"/>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(1.5)</w:t>
            </w:r>
          </w:p>
        </w:tc>
      </w:tr>
      <w:tr>
        <w:trPr>
          <w:trHeight w:val="15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Title insurance information expense</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3"/>
                <w:szCs w:val="13"/>
                <w:color w:val="auto"/>
              </w:rPr>
            </w:pPr>
          </w:p>
        </w:tc>
      </w:tr>
      <w:tr>
        <w:trPr>
          <w:trHeight w:val="157"/>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Other real-estate related information</w:t>
            </w:r>
          </w:p>
        </w:tc>
        <w:tc>
          <w:tcPr>
            <w:tcW w:w="12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3"/>
                <w:szCs w:val="13"/>
                <w:color w:val="auto"/>
              </w:rPr>
            </w:pPr>
          </w:p>
        </w:tc>
      </w:tr>
      <w:tr>
        <w:trPr>
          <w:trHeight w:val="15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Software expense</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shd w:val="clear" w:color="auto" w:fill="CCEEFF"/>
          </w:tcPr>
          <w:p>
            <w:pPr>
              <w:spacing w:after="0"/>
              <w:rPr>
                <w:sz w:val="13"/>
                <w:szCs w:val="13"/>
                <w:color w:val="auto"/>
              </w:rPr>
            </w:pPr>
          </w:p>
        </w:tc>
      </w:tr>
      <w:tr>
        <w:trPr>
          <w:trHeight w:val="157"/>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Rental expense</w:t>
            </w:r>
          </w:p>
        </w:tc>
        <w:tc>
          <w:tcPr>
            <w:tcW w:w="12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13"/>
                <w:szCs w:val="13"/>
                <w:color w:val="auto"/>
              </w:rPr>
            </w:pPr>
          </w:p>
        </w:tc>
      </w:tr>
      <w:tr>
        <w:trPr>
          <w:trHeight w:val="15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License and cost sharing</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3"/>
                <w:szCs w:val="13"/>
                <w:color w:val="auto"/>
              </w:rPr>
            </w:pPr>
          </w:p>
        </w:tc>
      </w:tr>
      <w:tr>
        <w:trPr>
          <w:trHeight w:val="166"/>
        </w:trPr>
        <w:tc>
          <w:tcPr>
            <w:tcW w:w="9000" w:type="dxa"/>
            <w:vAlign w:val="bottom"/>
          </w:tcPr>
          <w:p>
            <w:pPr>
              <w:spacing w:after="0"/>
              <w:rPr>
                <w:sz w:val="20"/>
                <w:szCs w:val="20"/>
                <w:color w:val="auto"/>
              </w:rPr>
            </w:pPr>
            <w:r>
              <w:rPr>
                <w:rFonts w:ascii="Times New Roman" w:cs="Times New Roman" w:eastAsia="Times New Roman" w:hAnsi="Times New Roman"/>
                <w:sz w:val="13"/>
                <w:szCs w:val="13"/>
                <w:color w:val="auto"/>
              </w:rPr>
              <w:t>Total expenses</w:t>
            </w: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86"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An FIS subsidiary acts as the title agent in the issuance of title insurance policies by a title insurance underwriter owned by us and in connection with certain trustee sales guarantees, a form of title insurance issued as part of the foreclosure process. As a result, FNF’s title insurance subsidiaries pay commissions on title insurance policies sold through FIS. For the period from October 24 through December 31, 2006, these FIS operations generated $22.4 million of revenues for FNF, which the Company recorded as agency title premiums and FNF paid FIS commissions at the rate of 88% of premiums generated, equal to $19.5 million.</w:t>
      </w:r>
    </w:p>
    <w:p>
      <w:pPr>
        <w:spacing w:after="0" w:line="62" w:lineRule="exact"/>
        <w:rPr>
          <w:sz w:val="20"/>
          <w:szCs w:val="20"/>
          <w:color w:val="auto"/>
        </w:rPr>
      </w:pPr>
    </w:p>
    <w:p>
      <w:pPr>
        <w:ind w:left="680" w:right="300" w:firstLine="399"/>
        <w:spacing w:after="0" w:line="286" w:lineRule="auto"/>
        <w:rPr>
          <w:sz w:val="20"/>
          <w:szCs w:val="20"/>
          <w:color w:val="auto"/>
        </w:rPr>
      </w:pPr>
      <w:r>
        <w:rPr>
          <w:rFonts w:ascii="Times New Roman" w:cs="Times New Roman" w:eastAsia="Times New Roman" w:hAnsi="Times New Roman"/>
          <w:sz w:val="13"/>
          <w:szCs w:val="13"/>
          <w:color w:val="auto"/>
        </w:rPr>
        <w:t>From October 24 through December 31, 2006, FNF’s expenses included $17.6 million paid to a subsidiary of FIS for the provision by FIS to us of IT infrastructure support, data center management and related IT support services and $3.1 million in software expenses relating to an agreement with a subsidiary of FIS.</w:t>
      </w:r>
    </w:p>
    <w:p>
      <w:pPr>
        <w:spacing w:after="0" w:line="47"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Historically, the Company has provided corporate services to FIS. These corporate services include accounting, internal audit, treasury, payroll, human resources, tax, legal, purchasing, risk management, mergers and acquisitions and general management. From October 24 through December 31, 2006, FNF’s expenses were reduced by $1.5 million as a result of the provision of corporate services by the Company to FIS.</w:t>
      </w:r>
    </w:p>
    <w:p>
      <w:pPr>
        <w:spacing w:after="0" w:line="58" w:lineRule="exact"/>
        <w:rPr>
          <w:sz w:val="20"/>
          <w:szCs w:val="20"/>
          <w:color w:val="auto"/>
        </w:rPr>
      </w:pPr>
    </w:p>
    <w:p>
      <w:pPr>
        <w:ind w:left="680" w:right="80" w:firstLine="399"/>
        <w:spacing w:after="0" w:line="256" w:lineRule="auto"/>
        <w:rPr>
          <w:sz w:val="20"/>
          <w:szCs w:val="20"/>
          <w:color w:val="auto"/>
        </w:rPr>
      </w:pPr>
      <w:r>
        <w:rPr>
          <w:rFonts w:ascii="Times New Roman" w:cs="Times New Roman" w:eastAsia="Times New Roman" w:hAnsi="Times New Roman"/>
          <w:sz w:val="13"/>
          <w:szCs w:val="13"/>
          <w:color w:val="auto"/>
        </w:rPr>
        <w:t>The title plant assets of several of FNF’s title insurance subsidiaries are managed or maintained by a subsidiary of FIS. The underlying title plant information and software continues to be owned by each of FNF’s title insurance underwriters, but FIS manages and updates the information in return for either (i) a management fee or (ii) the right to sell that information to title insurers, including title insurance underwriters that FNF owns and other third party customers. In most cases, FIS is responsible for keeping the title plant assets current and fully functioning, for which FNF pays a fee to FIS based on its use of, or access to, the title plant. From October 24 through December 31, 2006, FNF’s expenses to FIS under these arrangements were $5.5 million. In addition, each of FNF’s applicable title insurance underwriters in turn receives a royalty on sales of access to its title plant assets. From October 24 through December 31, 2006, FNF’s revenues included title plant royalties of $0.4 million. FNF has entered into agreements with FIS that permit FIS and certain of its subsidiaries to access and use (but not to re-sell) the starters databases and back plant databases of FNF’s title insurance subsidiaries. Starters databases are FNF’s databases of previously issued title policies and back plant databases contain historical records relating to title that are not regularly updated. Each of FNF’s applicable title insurance subsidiaries receives a fee for any access to or use of its starters and back plant databases by FIS. FNF also does business with additional entities within FIS that provide real estate</w:t>
      </w:r>
    </w:p>
    <w:p>
      <w:pPr>
        <w:spacing w:after="0" w:line="2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8" w:name="page79"/>
    <w:bookmarkEnd w:id="78"/>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information to its operations, for which it recorded expenses of $2.4 million from October 24, through December 31, 2006.</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FNF also has certain license and cost sharing agreements with FIS, for which FNF’s expenses included $1.2 million from October 24 through December 31, 2006.</w:t>
      </w:r>
    </w:p>
    <w:p>
      <w:pPr>
        <w:spacing w:after="0" w:line="96" w:lineRule="exact"/>
        <w:rPr>
          <w:sz w:val="20"/>
          <w:szCs w:val="20"/>
          <w:color w:val="auto"/>
        </w:rPr>
      </w:pPr>
    </w:p>
    <w:p>
      <w:pPr>
        <w:ind w:left="680" w:right="380" w:firstLine="399"/>
        <w:spacing w:after="0" w:line="286" w:lineRule="auto"/>
        <w:rPr>
          <w:sz w:val="20"/>
          <w:szCs w:val="20"/>
          <w:color w:val="auto"/>
        </w:rPr>
      </w:pPr>
      <w:r>
        <w:rPr>
          <w:rFonts w:ascii="Times New Roman" w:cs="Times New Roman" w:eastAsia="Times New Roman" w:hAnsi="Times New Roman"/>
          <w:sz w:val="13"/>
          <w:szCs w:val="13"/>
          <w:color w:val="auto"/>
        </w:rPr>
        <w:t>FNF’s expenses from October 24 through December 31, 2006 included expenses for a lease of office space to FNF for its corporate headquarters and business operations in the amount of $1.8 million and were reduced by $0.1 million for the lease of an aircraft to FIS.</w:t>
      </w:r>
    </w:p>
    <w:p>
      <w:pPr>
        <w:spacing w:after="0" w:line="47" w:lineRule="exact"/>
        <w:rPr>
          <w:sz w:val="20"/>
          <w:szCs w:val="20"/>
          <w:color w:val="auto"/>
        </w:rPr>
      </w:pPr>
    </w:p>
    <w:p>
      <w:pPr>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FNF pays amounts to a subsidiary of FIS for capitalized software development and for title plant construction. During the period from October 24, 2006 through December 31, 2006, these amounts included capitalized software development costs of $1.9 million and capitalized title plant construction costs of $2.7 million.</w:t>
      </w:r>
    </w:p>
    <w:p>
      <w:pPr>
        <w:spacing w:after="0" w:line="47"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The Company believes the amounts earned by it or charged to it under each of the foregoing arrangements are fair and reasonable. Although the commission rate paid on the title insurance premiums written by the FIS title agencies was set without negotiation, the Company believes the commissions earned are consistent with the average rate that would be available to a third party title agent given the amount and the geographic distribution of the business produced and the low risk of loss profile of the business placed. In connection with the title plant management and maintenance services provided by FIS, the Company believes that the fees charged to it by FIS are at approximately the same rates that FIS and other similar vendors charge unaffiliated title insurers. The IT infrastructure support and data center management services provided to the Company by FIS are priced within the range of prices that FIS offers to its unaffiliated third party customers for the same types of services. However, the amounts the Company earned or were charged under these arrangements were not negotiated at arm’s length, and may not represent the terms that might have been obtained from an unrelated third party.</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Stock-Based Compensation Plans</w:t>
      </w:r>
    </w:p>
    <w:p>
      <w:pPr>
        <w:spacing w:after="0" w:line="100" w:lineRule="exact"/>
        <w:rPr>
          <w:sz w:val="20"/>
          <w:szCs w:val="20"/>
          <w:color w:val="auto"/>
        </w:rPr>
      </w:pPr>
    </w:p>
    <w:p>
      <w:pPr>
        <w:ind w:left="680" w:firstLine="399"/>
        <w:spacing w:after="0" w:line="255" w:lineRule="auto"/>
        <w:rPr>
          <w:sz w:val="20"/>
          <w:szCs w:val="20"/>
          <w:color w:val="auto"/>
        </w:rPr>
      </w:pPr>
      <w:r>
        <w:rPr>
          <w:rFonts w:ascii="Times New Roman" w:cs="Times New Roman" w:eastAsia="Times New Roman" w:hAnsi="Times New Roman"/>
          <w:sz w:val="13"/>
          <w:szCs w:val="13"/>
          <w:color w:val="auto"/>
        </w:rPr>
        <w:t>In December 2004, the FASB issued SFAS No. 123R, “Share-Based Payment” (“SFAS 123R”), which requires that compensation cost relating to share-based payments be recognized in the Company’s consolidated financial statements. Effective as of the beginning of 2003, the Company adopted the fair value recognition provision of SFAS No. 123, “Accounting for Stock-Based Compensation” (“SFAS 123”). Using the fair value method of accounting, compensation cost is measured based on the fair value of the award at the grant date and recognized over the service period. Upon adoption of SFAS 123, the Company elected to use the prospective method of transition, as permitted by SFAS No. 148, “Accounting for Stock-Based Compensation — Transition and Disclosure” (“SFAS 148”). Using this method, stock-based employee compensation cost was recognized from the beginning of 2003 as if the fair value method of accounting had been used to account for all employee awards granted, modified, or settled in years beginning after December 31, 2002. SFAS 123R does not allow for the prospective method, but requires the recording of expense relating to the vesting of all unvested options beginning in the first quarter of 2006. The adoption of SFAS 123R on January 1,</w:t>
      </w:r>
    </w:p>
    <w:p>
      <w:pPr>
        <w:spacing w:after="0" w:line="3" w:lineRule="exact"/>
        <w:rPr>
          <w:sz w:val="20"/>
          <w:szCs w:val="20"/>
          <w:color w:val="auto"/>
        </w:rPr>
      </w:pPr>
    </w:p>
    <w:p>
      <w:pPr>
        <w:ind w:left="680"/>
        <w:spacing w:after="0" w:line="254" w:lineRule="auto"/>
        <w:rPr>
          <w:sz w:val="20"/>
          <w:szCs w:val="20"/>
          <w:color w:val="auto"/>
        </w:rPr>
      </w:pPr>
      <w:r>
        <w:rPr>
          <w:rFonts w:ascii="Times New Roman" w:cs="Times New Roman" w:eastAsia="Times New Roman" w:hAnsi="Times New Roman"/>
          <w:sz w:val="13"/>
          <w:szCs w:val="13"/>
          <w:color w:val="auto"/>
        </w:rPr>
        <w:t>2006 had no material impact on the Company’s income before income taxes, net income, cash flow from operations, cash flow from financing activities, or basic or diluted earnings per share in 2006 due to the fact that all options accounted for using the intrinsic value method under Accounting Principles Board Opinion No. 25, “Accounting for Stock Issued to Employees,” were fully vested as of December 31, 2005. In accordance with the provisions of SFAS 123R, share-based compensation expense for 2005 and 2004 has not been restated. Net earnings reflect stock-based compensation expense amounts of $65.0 million, $34.1 million, and $21.5 million for the years ended December 31, 2006, 2005, and 2004, which are included in personnel costs in the reported financial results of each period. Included in the 2006 amount is a $24.5 million charge related to the vesting of performance based options at FIS for which the vesting criteria was met during the first quarter and a $0.3 million charge for accelerated vesting, which was approved by the compensation committee, of stock options and restricted stock shares granted to a director who resigned from the board of directors in the third quarter of 2006.</w:t>
      </w:r>
    </w:p>
    <w:p>
      <w:pPr>
        <w:spacing w:after="0" w:line="2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9" w:name="page80"/>
    <w:bookmarkEnd w:id="79"/>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77"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For purposes of pro forma disclosures, the estimated fair value of the options is amortized into expense over the options’ vesting period. For the year ended December 31, 2006, there was no difference between net earnings as reported and pro forma net earnings as calculated pursuant to SFAS 123 because, as of January 1, 2006, all stock-based compensation awards that were granted prior to our adoption of SFAS 123 were fully vested. The following table illustrates the effect on net income and earnings per share if the Company had applied the fair value recognition provisions of SFAS No. 123 to all outstanding and unvested awards in 2005 and 2004:</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8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5"/>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r>
      <w:tr>
        <w:trPr>
          <w:trHeight w:val="98"/>
        </w:trPr>
        <w:tc>
          <w:tcPr>
            <w:tcW w:w="810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8"/>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6"/>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8"/>
                <w:szCs w:val="8"/>
                <w:color w:val="auto"/>
              </w:rPr>
            </w:pPr>
          </w:p>
        </w:tc>
      </w:tr>
      <w:tr>
        <w:trPr>
          <w:trHeight w:val="133"/>
        </w:trPr>
        <w:tc>
          <w:tcPr>
            <w:tcW w:w="8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(Dollars</w:t>
            </w:r>
          </w:p>
        </w:tc>
        <w:tc>
          <w:tcPr>
            <w:tcW w:w="1080" w:type="dxa"/>
            <w:vAlign w:val="bottom"/>
            <w:gridSpan w:val="3"/>
          </w:tcPr>
          <w:p>
            <w:pPr>
              <w:jc w:val="right"/>
              <w:ind w:right="336"/>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0" w:type="dxa"/>
            <w:vAlign w:val="bottom"/>
          </w:tcPr>
          <w:p>
            <w:pPr>
              <w:spacing w:after="0"/>
              <w:rPr>
                <w:sz w:val="11"/>
                <w:szCs w:val="11"/>
                <w:color w:val="auto"/>
              </w:rPr>
            </w:pPr>
          </w:p>
        </w:tc>
      </w:tr>
      <w:tr>
        <w:trPr>
          <w:trHeight w:val="161"/>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earnings, as reported</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964,106</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740,962</w:t>
            </w:r>
          </w:p>
        </w:tc>
      </w:tr>
      <w:tr>
        <w:trPr>
          <w:trHeight w:val="157"/>
        </w:trPr>
        <w:tc>
          <w:tcPr>
            <w:tcW w:w="8100" w:type="dxa"/>
            <w:vAlign w:val="bottom"/>
          </w:tcPr>
          <w:p>
            <w:pPr>
              <w:spacing w:after="0"/>
              <w:rPr>
                <w:sz w:val="20"/>
                <w:szCs w:val="20"/>
                <w:color w:val="auto"/>
              </w:rPr>
            </w:pPr>
            <w:r>
              <w:rPr>
                <w:rFonts w:ascii="Times New Roman" w:cs="Times New Roman" w:eastAsia="Times New Roman" w:hAnsi="Times New Roman"/>
                <w:sz w:val="13"/>
                <w:szCs w:val="13"/>
                <w:color w:val="auto"/>
              </w:rPr>
              <w:t>Add: Stock-based compensation expense included in reported net earnings, net of related tax effects</w:t>
            </w:r>
          </w:p>
        </w:tc>
        <w:tc>
          <w:tcPr>
            <w:tcW w:w="16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21,147</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13,522</w:t>
            </w:r>
          </w:p>
        </w:tc>
      </w:tr>
      <w:tr>
        <w:trPr>
          <w:trHeight w:val="157"/>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Deduct: Total stock-based employee compensation expense determined under fair value based methods for all awards, net of related tax effects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3"/>
                <w:szCs w:val="13"/>
                <w:color w:val="auto"/>
              </w:rPr>
              <w:t>(22,291)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(15,227)</w:t>
            </w:r>
          </w:p>
        </w:tc>
      </w:tr>
      <w:tr>
        <w:trPr>
          <w:trHeight w:val="171"/>
        </w:trPr>
        <w:tc>
          <w:tcPr>
            <w:tcW w:w="8100" w:type="dxa"/>
            <w:vAlign w:val="bottom"/>
          </w:tcPr>
          <w:p>
            <w:pPr>
              <w:spacing w:after="0"/>
              <w:rPr>
                <w:sz w:val="20"/>
                <w:szCs w:val="20"/>
                <w:color w:val="auto"/>
              </w:rPr>
            </w:pPr>
            <w:r>
              <w:rPr>
                <w:rFonts w:ascii="Times New Roman" w:cs="Times New Roman" w:eastAsia="Times New Roman" w:hAnsi="Times New Roman"/>
                <w:sz w:val="13"/>
                <w:szCs w:val="13"/>
                <w:color w:val="auto"/>
              </w:rPr>
              <w:t>Pro forma net earnings</w:t>
            </w: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962,962</w:t>
            </w: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739,257</w:t>
            </w:r>
          </w:p>
        </w:tc>
        <w:tc>
          <w:tcPr>
            <w:tcW w:w="100" w:type="dxa"/>
            <w:vAlign w:val="bottom"/>
          </w:tcPr>
          <w:p>
            <w:pPr>
              <w:spacing w:after="0"/>
              <w:rPr>
                <w:sz w:val="14"/>
                <w:szCs w:val="14"/>
                <w:color w:val="auto"/>
              </w:rPr>
            </w:pPr>
          </w:p>
        </w:tc>
      </w:tr>
      <w:tr>
        <w:trPr>
          <w:trHeight w:val="162"/>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per share:</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Basic — as reported on Consolidated Statements of Earnings</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5.56</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4.28</w:t>
            </w:r>
          </w:p>
        </w:tc>
      </w:tr>
      <w:tr>
        <w:trPr>
          <w:trHeight w:val="157"/>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Basic — pro forma (2004 Unaudited)</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5.55</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4.27</w:t>
            </w:r>
          </w:p>
        </w:tc>
      </w:tr>
      <w:tr>
        <w:trPr>
          <w:trHeight w:val="157"/>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Diluted — as reported on Consolidated Statements of Earnings</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5.55</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4.28</w:t>
            </w:r>
          </w:p>
        </w:tc>
      </w:tr>
      <w:tr>
        <w:trPr>
          <w:trHeight w:val="157"/>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Diluted — pro forma (2004 Unaudited)</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5.55</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4.27</w:t>
            </w:r>
          </w:p>
        </w:tc>
      </w:tr>
    </w:tbl>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Derivative Financial Instruments</w:t>
      </w:r>
    </w:p>
    <w:p>
      <w:pPr>
        <w:spacing w:after="0" w:line="98"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 xml:space="preserve">FIS accounts for derivative financial instruments in accordance with SFAS No. 133, </w:t>
      </w:r>
      <w:r>
        <w:rPr>
          <w:rFonts w:ascii="Times New Roman" w:cs="Times New Roman" w:eastAsia="Times New Roman" w:hAnsi="Times New Roman"/>
          <w:sz w:val="13"/>
          <w:szCs w:val="13"/>
          <w:i w:val="1"/>
          <w:iCs w:val="1"/>
          <w:color w:val="auto"/>
        </w:rPr>
        <w:t>Accounting for Derivative Instruments and Hedging Activities</w:t>
      </w:r>
      <w:r>
        <w:rPr>
          <w:rFonts w:ascii="Times New Roman" w:cs="Times New Roman" w:eastAsia="Times New Roman" w:hAnsi="Times New Roman"/>
          <w:sz w:val="13"/>
          <w:szCs w:val="13"/>
          <w:color w:val="auto"/>
        </w:rPr>
        <w:t xml:space="preserve"> (“SFAS No. 133”), as amended. FIS engaged in hedging activities relating to its variable rate debt through the use of interest rate swaps. FIS designated these interest rate swaps as cash flow hedges. The estimated fair value of the cash flow hedges were recorded as an asset or liability and, prior to October 24, 2006, were included in the Consolidated Balance Sheets in prepaid expenses and other assets or accounts payable and accrued liabilities and as a component of accumulated other comprehensive earnings, net of deferred taxes. The amount included in accumulated other comprehensive earnings was reclassified into interest expense as a yield adjustment as interest expense on the debt was recognized. FIS’s cash flow hedges were highly effective and there was no impact on earnings due to hedge ineffectiveness. It was the policy of FIS to execute such instruments with credit-worthy banks and not to enter into derivative financial instruments for speculative purposes.</w:t>
      </w:r>
    </w:p>
    <w:p>
      <w:pPr>
        <w:spacing w:after="0" w:line="223" w:lineRule="exact"/>
        <w:rPr>
          <w:sz w:val="20"/>
          <w:szCs w:val="20"/>
          <w:color w:val="auto"/>
        </w:rPr>
      </w:pPr>
    </w:p>
    <w:p>
      <w:pPr>
        <w:ind w:left="680" w:right="40" w:firstLine="399"/>
        <w:spacing w:after="0" w:line="256" w:lineRule="auto"/>
        <w:rPr>
          <w:sz w:val="20"/>
          <w:szCs w:val="20"/>
          <w:color w:val="auto"/>
        </w:rPr>
      </w:pPr>
      <w:r>
        <w:rPr>
          <w:rFonts w:ascii="Times New Roman" w:cs="Times New Roman" w:eastAsia="Times New Roman" w:hAnsi="Times New Roman"/>
          <w:sz w:val="13"/>
          <w:szCs w:val="13"/>
          <w:color w:val="auto"/>
        </w:rPr>
        <w:t>From September 2004 through October 2006, FIS also owned warrants to purchase additional shares relating to its investment in Covansys Corporation (“Covansys”). From September 2004 until March 25, 2005, FIS accounted for the warrants under SFAS No. 133 as the warrants were considered derivative instruments. At the date of the Covansys acquisition, the warrants were recorded at fair value aggregating $23.5 million. During the first quarter of 2005, FIS recorded a loss of $4.4 million on the decrease in fair value of the warrants through March 25, 2005 which was reflected in the Consolidated Statements of Earnings in realized gains and losses. On March 25, 2005, the terms of the warrants were amended such that the accounting for the investment in the warrants was then governed by the provisions of SFAS No. 115, “Accounting for Certain Investments in Debt and Equity Securities”, and changes in the fair value of the warrants were recorded in other comprehensive earnings. During 2004, FIS did not engage in any hedging activities and thus recorded all derivative financial instruments at fair value in the Consolidated Balance Sheets and all changes in fair value were recognized in realized gains and losses in the Consolidated Statements of Earnings. During 2004, FIS’s derivative financial instruments were limited to the investment in warrants to purchase common stock of Covansys and certain put and call options relating to the minority interest in certain majority-owned subsidiaries.</w:t>
      </w:r>
    </w:p>
    <w:p>
      <w:pPr>
        <w:spacing w:after="0" w:line="2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80" w:name="page81"/>
    <w:bookmarkEnd w:id="80"/>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Foreign Currency Translation</w:t>
      </w:r>
    </w:p>
    <w:p>
      <w:pPr>
        <w:spacing w:after="0" w:line="100"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The functional currency for the foreign operations of the Company is either the U.S. Dollar or the local currency. For foreign operations where the local currency is the functional currency, the translation of foreign currencies into U.S. Dollars is performed for balance sheet accounts using exchange rates in effect at the balance sheet date and for revenue and expense accounts using a weighted average exchange rate during the period. The unrealized gains and losses resulting from the translation are included in accumulated other comprehensive earnings in the Consolidated Statements of Stockholders’ Equity and are excluded from net earnings. Gains or losses resulting from foreign currency transactions are included in realized gains and losses and are insignificant in 2006, 2005 and 2004.</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Management Estimates</w:t>
      </w:r>
    </w:p>
    <w:p>
      <w:pPr>
        <w:spacing w:after="0" w:line="100" w:lineRule="exact"/>
        <w:rPr>
          <w:sz w:val="20"/>
          <w:szCs w:val="20"/>
          <w:color w:val="auto"/>
        </w:rPr>
      </w:pPr>
    </w:p>
    <w:p>
      <w:pPr>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The preparation of these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Certain Reclassifications</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Certain reclassifications have been made in the 2005 and 2004 Consolidated Financial Statements to conform to the classifications used in 2006.</w:t>
      </w:r>
    </w:p>
    <w:p>
      <w:pPr>
        <w:spacing w:after="0" w:line="173" w:lineRule="exact"/>
        <w:rPr>
          <w:sz w:val="20"/>
          <w:szCs w:val="20"/>
          <w:color w:val="auto"/>
        </w:rPr>
      </w:pPr>
    </w:p>
    <w:p>
      <w:pPr>
        <w:ind w:left="1080" w:hanging="393"/>
        <w:spacing w:after="0"/>
        <w:tabs>
          <w:tab w:leader="none" w:pos="1080" w:val="left"/>
        </w:tabs>
        <w:numPr>
          <w:ilvl w:val="0"/>
          <w:numId w:val="3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Acquisitions</w:t>
      </w:r>
    </w:p>
    <w:p>
      <w:pPr>
        <w:spacing w:after="0" w:line="98"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The results of operations and financial position of the entities acquired during any year are included in the Consolidated Financial Statements from and after the date of acquisition. Based on the Company’s valuation, any differences between the fair value of the identifiable assets and liabilities and the purchase price paid are recorded as goodwill. There were no significant acquisitions in 2006 except for the acquisition of Certegy Inc. (“Certegy”) by FIS. (See “FIS Acquisitions” below.) All significant acquisitions in 2005 and 2004 were attributable to FIS and are no longer included in our Consolidated Financial Statements after the closing of the SEDA.</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Cascade Timberlands LLC</w:t>
      </w:r>
    </w:p>
    <w:p>
      <w:pPr>
        <w:spacing w:after="0" w:line="98"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The Company began purchasing equity interests in Cascade Timberlands LLC (“Cascade Timberlands”) in March 2006. As of December 31, 2006, the Company had acquired approximately 71% of Cascade Timberlands for $89.2 million. The primary assets of Cascade Timberlands are approximately 293,000 acres of productive timberlands located on the eastern side of the Cascade mountain range extending from Bend, Oregon south on State Highway 20 toward the California border. Cascade Timberlands was created by the secured creditors of Crown Pacific LP upon the conclusion of the bankruptcy case of Crown Pacific LP in December 2004.</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Acquisition of Equity Interest in Sedgwick</w:t>
      </w:r>
    </w:p>
    <w:p>
      <w:pPr>
        <w:spacing w:after="0" w:line="98" w:lineRule="exact"/>
        <w:rPr>
          <w:sz w:val="20"/>
          <w:szCs w:val="20"/>
          <w:color w:val="auto"/>
        </w:rPr>
      </w:pPr>
    </w:p>
    <w:p>
      <w:pPr>
        <w:ind w:left="680" w:right="120" w:firstLine="399"/>
        <w:spacing w:after="0" w:line="263" w:lineRule="auto"/>
        <w:rPr>
          <w:sz w:val="20"/>
          <w:szCs w:val="20"/>
          <w:color w:val="auto"/>
        </w:rPr>
      </w:pPr>
      <w:r>
        <w:rPr>
          <w:rFonts w:ascii="Times New Roman" w:cs="Times New Roman" w:eastAsia="Times New Roman" w:hAnsi="Times New Roman"/>
          <w:sz w:val="13"/>
          <w:szCs w:val="13"/>
          <w:color w:val="auto"/>
        </w:rPr>
        <w:t>On January 31, 2006, the Company, along with its equity partners, Thomas H. Lee Partners (“THL”) and Evercore Capital Partners, completed an acquisition of Sedgwick CMS Holdings, Inc. (“Sedgwick”). The Company acquired an approximately 40% interest in Sedgwick for approximately $126 million. Sedgwick, headquartered in Memphis, Tennessee, is a leading provider of outsourced insurance claims management services to large corporate and public sector entities. In September 2006, the Company invested an additional $6.8 million in Sedgwick, but maintained its 40% interest.</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1" w:right="1079" w:bottom="1440" w:gutter="0" w:footer="0" w:header="0"/>
        </w:sectPr>
      </w:pPr>
    </w:p>
    <w:bookmarkStart w:id="81" w:name="page82"/>
    <w:bookmarkEnd w:id="81"/>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Service Link, L.P.</w:t>
      </w:r>
    </w:p>
    <w:p>
      <w:pPr>
        <w:spacing w:after="0" w:line="98" w:lineRule="exact"/>
        <w:rPr>
          <w:sz w:val="20"/>
          <w:szCs w:val="20"/>
          <w:color w:val="auto"/>
        </w:rPr>
      </w:pPr>
    </w:p>
    <w:p>
      <w:pPr>
        <w:ind w:left="680" w:right="240" w:firstLine="399"/>
        <w:spacing w:after="0" w:line="269" w:lineRule="auto"/>
        <w:rPr>
          <w:sz w:val="20"/>
          <w:szCs w:val="20"/>
          <w:color w:val="auto"/>
        </w:rPr>
      </w:pPr>
      <w:r>
        <w:rPr>
          <w:rFonts w:ascii="Times New Roman" w:cs="Times New Roman" w:eastAsia="Times New Roman" w:hAnsi="Times New Roman"/>
          <w:sz w:val="13"/>
          <w:szCs w:val="13"/>
          <w:color w:val="auto"/>
        </w:rPr>
        <w:t>On August 1, 2005, the Company acquired Service Link, L.P. (“Service Link”), a national provider of centralized mortgage and residential real estate title and closing services to major financial institutions and institutional lenders. The initial acquisition price was approximately $110 million in cash. During the third quarter of 2006, the Company paid additional contingent consideration of $57.0 million related to this purchase, based on Service Link’s operations meeting certain performance measures over a 12-month period ending in July 2006.</w:t>
      </w:r>
    </w:p>
    <w:p>
      <w:pPr>
        <w:spacing w:after="0" w:line="1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American Pioneer Title Insurance Company</w:t>
      </w:r>
    </w:p>
    <w:p>
      <w:pPr>
        <w:spacing w:after="0" w:line="98"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On March 22, 2004, the Company acquired American Pioneer Title Insurance Company (“APTIC”) for $115.2 million in cash. APTIC is a 45-state licensed title insurance underwriter with significant agency operations and computerized title plant assets in Florida. APTIC was subsequently renamed Ticor Title Insurance Company of Florida and operates under the Company’s Ticor Title brand.</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FIS Acquisitions</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As a result of the 2006 Distribution, the results of operations of FIS acquisitions are not reflected in the Company’s financial statements for periods after October 23, 2006.</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Certegy Inc.</w:t>
      </w:r>
    </w:p>
    <w:p>
      <w:pPr>
        <w:spacing w:after="0" w:line="98" w:lineRule="exact"/>
        <w:rPr>
          <w:sz w:val="20"/>
          <w:szCs w:val="20"/>
          <w:color w:val="auto"/>
        </w:rPr>
      </w:pPr>
    </w:p>
    <w:p>
      <w:pPr>
        <w:jc w:val="both"/>
        <w:ind w:left="680" w:right="300" w:firstLine="399"/>
        <w:spacing w:after="0" w:line="269" w:lineRule="auto"/>
        <w:rPr>
          <w:sz w:val="20"/>
          <w:szCs w:val="20"/>
          <w:color w:val="auto"/>
        </w:rPr>
      </w:pPr>
      <w:r>
        <w:rPr>
          <w:rFonts w:ascii="Times New Roman" w:cs="Times New Roman" w:eastAsia="Times New Roman" w:hAnsi="Times New Roman"/>
          <w:sz w:val="13"/>
          <w:szCs w:val="13"/>
          <w:color w:val="auto"/>
        </w:rPr>
        <w:t>On September 14, 2005, the Company through Fidelity National Information Services, Inc. (“Former FIS”) entered into a definitive merger agreement with Certegy under which Former FIS and Certegy combined operations to form a single publicly traded company called Fidelity National Information Services, Inc. Certegy was a payment processing company headquartered in St. Petersburg, Florida. On January 26, 2006, Certegy’s shareholders approved the merger which was subsequently consummated on February 1, 2006.</w:t>
      </w:r>
    </w:p>
    <w:p>
      <w:pPr>
        <w:spacing w:after="0" w:line="58"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Generally accepted accounting principles in the U.S. require that one of the two companies in the transaction be designated as the acquirer for accounting purposes. FIS was designated as the accounting acquirer because immediately after the merger its shareholders held more than 50% of the common stock of the combined company. As a result, the merger was accounted for as a reverse acquisition under the purchase method of accounting. Under this accounting treatment, FIS was considered the acquiring entity and Certegy was considered the acquired entity for financial reporting purposes.</w:t>
      </w:r>
    </w:p>
    <w:p>
      <w:pPr>
        <w:spacing w:after="0" w:line="62" w:lineRule="exact"/>
        <w:rPr>
          <w:sz w:val="20"/>
          <w:szCs w:val="20"/>
          <w:color w:val="auto"/>
        </w:rPr>
      </w:pPr>
    </w:p>
    <w:p>
      <w:pPr>
        <w:jc w:val="both"/>
        <w:ind w:left="680" w:right="160" w:firstLine="399"/>
        <w:spacing w:after="0" w:line="263" w:lineRule="auto"/>
        <w:rPr>
          <w:sz w:val="20"/>
          <w:szCs w:val="20"/>
          <w:color w:val="auto"/>
        </w:rPr>
      </w:pPr>
      <w:r>
        <w:rPr>
          <w:rFonts w:ascii="Times New Roman" w:cs="Times New Roman" w:eastAsia="Times New Roman" w:hAnsi="Times New Roman"/>
          <w:sz w:val="13"/>
          <w:szCs w:val="13"/>
          <w:color w:val="auto"/>
        </w:rPr>
        <w:t>The purchase price was based on the number of outstanding shares of common stock of Certegy on February 1, 2006, the date of consummation of the merger, valued at $33.38 per share (which was the average of the trading price of Certegy common stock two days before and two days after the announcement of the merger on September 15, 2005 of $37.13, less the $3.75 per share special dividend declared prior to closing). The purchase price also included the estimated fair value of Certegy’s stock options and restricted stock units outstanding at the transaction date.</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71"/>
        </w:trPr>
        <w:tc>
          <w:tcPr>
            <w:tcW w:w="92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The total purchase price was as follows (in millions):</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98"/>
        </w:trPr>
        <w:tc>
          <w:tcPr>
            <w:tcW w:w="9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7"/>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Value of Certegy’s common stock</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2,121.0</w:t>
            </w:r>
          </w:p>
        </w:tc>
        <w:tc>
          <w:tcPr>
            <w:tcW w:w="80" w:type="dxa"/>
            <w:vAlign w:val="bottom"/>
            <w:shd w:val="clear" w:color="auto" w:fill="CCEEFF"/>
          </w:tcPr>
          <w:p>
            <w:pPr>
              <w:spacing w:after="0"/>
              <w:rPr>
                <w:sz w:val="13"/>
                <w:szCs w:val="13"/>
                <w:color w:val="auto"/>
              </w:rPr>
            </w:pPr>
          </w:p>
        </w:tc>
      </w:tr>
      <w:tr>
        <w:trPr>
          <w:trHeight w:val="157"/>
        </w:trPr>
        <w:tc>
          <w:tcPr>
            <w:tcW w:w="9200" w:type="dxa"/>
            <w:vAlign w:val="bottom"/>
          </w:tcPr>
          <w:p>
            <w:pPr>
              <w:spacing w:after="0"/>
              <w:rPr>
                <w:sz w:val="20"/>
                <w:szCs w:val="20"/>
                <w:color w:val="auto"/>
              </w:rPr>
            </w:pPr>
            <w:r>
              <w:rPr>
                <w:rFonts w:ascii="Times New Roman" w:cs="Times New Roman" w:eastAsia="Times New Roman" w:hAnsi="Times New Roman"/>
                <w:sz w:val="13"/>
                <w:szCs w:val="13"/>
                <w:color w:val="auto"/>
              </w:rPr>
              <w:t>Value of Certegy’s stock options</w:t>
            </w:r>
          </w:p>
        </w:tc>
        <w:tc>
          <w:tcPr>
            <w:tcW w:w="18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54.2</w:t>
            </w:r>
          </w:p>
        </w:tc>
      </w:tr>
      <w:tr>
        <w:trPr>
          <w:trHeight w:val="157"/>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FIS’s estimated transaction costs</w:t>
            </w: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CEEFF"/>
          </w:tcPr>
          <w:p>
            <w:pPr>
              <w:spacing w:after="0"/>
              <w:rPr>
                <w:sz w:val="13"/>
                <w:szCs w:val="13"/>
                <w:color w:val="auto"/>
              </w:rPr>
            </w:pPr>
          </w:p>
        </w:tc>
      </w:tr>
      <w:tr>
        <w:trPr>
          <w:trHeight w:val="166"/>
        </w:trPr>
        <w:tc>
          <w:tcPr>
            <w:tcW w:w="92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2,181.</w:t>
            </w:r>
            <w:r>
              <w:rPr>
                <w:rFonts w:ascii="Times New Roman" w:cs="Times New Roman" w:eastAsia="Times New Roman" w:hAnsi="Times New Roman"/>
                <w:sz w:val="13"/>
                <w:szCs w:val="13"/>
                <w:u w:val="single" w:color="auto"/>
                <w:color w:val="auto"/>
              </w:rPr>
              <w:t>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86" w:lineRule="exact"/>
        <w:rPr>
          <w:sz w:val="20"/>
          <w:szCs w:val="20"/>
          <w:color w:val="auto"/>
        </w:rPr>
      </w:pPr>
    </w:p>
    <w:p>
      <w:pPr>
        <w:jc w:val="both"/>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The transaction was accounted for by FIS under the purchase method of accounting, and as a result, the purchase price was allocated to Certegy’s tangible and identifiable intangible assets acquired and liabilities assumed</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82" w:name="page83"/>
    <w:bookmarkEnd w:id="82"/>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7" w:lineRule="exact"/>
        <w:rPr>
          <w:sz w:val="20"/>
          <w:szCs w:val="20"/>
          <w:color w:val="auto"/>
        </w:rPr>
      </w:pPr>
    </w:p>
    <w:p>
      <w:pPr>
        <w:ind w:left="680" w:right="1040"/>
        <w:spacing w:after="0" w:line="286" w:lineRule="auto"/>
        <w:rPr>
          <w:sz w:val="20"/>
          <w:szCs w:val="20"/>
          <w:color w:val="auto"/>
        </w:rPr>
      </w:pPr>
      <w:r>
        <w:rPr>
          <w:rFonts w:ascii="Times New Roman" w:cs="Times New Roman" w:eastAsia="Times New Roman" w:hAnsi="Times New Roman"/>
          <w:sz w:val="13"/>
          <w:szCs w:val="13"/>
          <w:color w:val="auto"/>
        </w:rPr>
        <w:t>based on their fair values as of February 1, 2006. Goodwill was recorded based on the amount that the purchase price exceeds the fair value of the net assets acquired. The purchase price allocation was as follows (in millions):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Tangible assets</w:t>
            </w: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826.8</w:t>
            </w:r>
          </w:p>
        </w:tc>
        <w:tc>
          <w:tcPr>
            <w:tcW w:w="80" w:type="dxa"/>
            <w:vAlign w:val="bottom"/>
            <w:shd w:val="clear" w:color="auto" w:fill="CCEEFF"/>
          </w:tcPr>
          <w:p>
            <w:pPr>
              <w:spacing w:after="0"/>
              <w:rPr>
                <w:sz w:val="13"/>
                <w:szCs w:val="13"/>
                <w:color w:val="auto"/>
              </w:rPr>
            </w:pPr>
          </w:p>
        </w:tc>
      </w:tr>
      <w:tr>
        <w:trPr>
          <w:trHeight w:val="157"/>
        </w:trPr>
        <w:tc>
          <w:tcPr>
            <w:tcW w:w="9080" w:type="dxa"/>
            <w:vAlign w:val="bottom"/>
          </w:tcPr>
          <w:p>
            <w:pPr>
              <w:spacing w:after="0"/>
              <w:rPr>
                <w:sz w:val="20"/>
                <w:szCs w:val="20"/>
                <w:color w:val="auto"/>
              </w:rPr>
            </w:pPr>
            <w:r>
              <w:rPr>
                <w:rFonts w:ascii="Times New Roman" w:cs="Times New Roman" w:eastAsia="Times New Roman" w:hAnsi="Times New Roman"/>
                <w:sz w:val="13"/>
                <w:szCs w:val="13"/>
                <w:color w:val="auto"/>
              </w:rPr>
              <w:t>Computer software</w:t>
            </w:r>
          </w:p>
        </w:tc>
        <w:tc>
          <w:tcPr>
            <w:tcW w:w="22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131.6</w:t>
            </w:r>
          </w:p>
        </w:tc>
        <w:tc>
          <w:tcPr>
            <w:tcW w:w="80" w:type="dxa"/>
            <w:vAlign w:val="bottom"/>
          </w:tcPr>
          <w:p>
            <w:pPr>
              <w:spacing w:after="0"/>
              <w:rPr>
                <w:sz w:val="13"/>
                <w:szCs w:val="13"/>
                <w:color w:val="auto"/>
              </w:rPr>
            </w:pPr>
          </w:p>
        </w:tc>
      </w:tr>
      <w:tr>
        <w:trPr>
          <w:trHeight w:val="157"/>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Intangible assets</w:t>
            </w: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653.5</w:t>
            </w:r>
          </w:p>
        </w:tc>
        <w:tc>
          <w:tcPr>
            <w:tcW w:w="80" w:type="dxa"/>
            <w:vAlign w:val="bottom"/>
            <w:shd w:val="clear" w:color="auto" w:fill="CCEEFF"/>
          </w:tcPr>
          <w:p>
            <w:pPr>
              <w:spacing w:after="0"/>
              <w:rPr>
                <w:sz w:val="13"/>
                <w:szCs w:val="13"/>
                <w:color w:val="auto"/>
              </w:rPr>
            </w:pPr>
          </w:p>
        </w:tc>
      </w:tr>
      <w:tr>
        <w:trPr>
          <w:trHeight w:val="157"/>
        </w:trPr>
        <w:tc>
          <w:tcPr>
            <w:tcW w:w="9080" w:type="dxa"/>
            <w:vAlign w:val="bottom"/>
          </w:tcPr>
          <w:p>
            <w:pPr>
              <w:spacing w:after="0"/>
              <w:rPr>
                <w:sz w:val="20"/>
                <w:szCs w:val="20"/>
                <w:color w:val="auto"/>
              </w:rPr>
            </w:pPr>
            <w:r>
              <w:rPr>
                <w:rFonts w:ascii="Times New Roman" w:cs="Times New Roman" w:eastAsia="Times New Roman" w:hAnsi="Times New Roman"/>
                <w:sz w:val="13"/>
                <w:szCs w:val="13"/>
                <w:color w:val="auto"/>
              </w:rPr>
              <w:t>Goodwill</w:t>
            </w:r>
          </w:p>
        </w:tc>
        <w:tc>
          <w:tcPr>
            <w:tcW w:w="22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1,951.7</w:t>
            </w:r>
          </w:p>
        </w:tc>
        <w:tc>
          <w:tcPr>
            <w:tcW w:w="80" w:type="dxa"/>
            <w:vAlign w:val="bottom"/>
          </w:tcPr>
          <w:p>
            <w:pPr>
              <w:spacing w:after="0"/>
              <w:rPr>
                <w:sz w:val="13"/>
                <w:szCs w:val="13"/>
                <w:color w:val="auto"/>
              </w:rPr>
            </w:pPr>
          </w:p>
        </w:tc>
      </w:tr>
      <w:tr>
        <w:trPr>
          <w:trHeight w:val="157"/>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Liabilities assumed</w:t>
            </w:r>
          </w:p>
        </w:tc>
        <w:tc>
          <w:tcPr>
            <w:tcW w:w="22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(1,382.5)</w:t>
            </w:r>
          </w:p>
        </w:tc>
      </w:tr>
      <w:tr>
        <w:trPr>
          <w:trHeight w:val="166"/>
        </w:trPr>
        <w:tc>
          <w:tcPr>
            <w:tcW w:w="9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purchase price</w:t>
            </w: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2,181.1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86" w:lineRule="exact"/>
        <w:rPr>
          <w:sz w:val="20"/>
          <w:szCs w:val="20"/>
          <w:color w:val="auto"/>
        </w:rPr>
      </w:pPr>
    </w:p>
    <w:p>
      <w:pPr>
        <w:ind w:left="680" w:right="920" w:firstLine="399"/>
        <w:spacing w:after="0" w:line="286" w:lineRule="auto"/>
        <w:rPr>
          <w:sz w:val="20"/>
          <w:szCs w:val="20"/>
          <w:color w:val="auto"/>
        </w:rPr>
      </w:pPr>
      <w:r>
        <w:rPr>
          <w:rFonts w:ascii="Times New Roman" w:cs="Times New Roman" w:eastAsia="Times New Roman" w:hAnsi="Times New Roman"/>
          <w:sz w:val="13"/>
          <w:szCs w:val="13"/>
          <w:color w:val="auto"/>
        </w:rPr>
        <w:t>Also, the merger triggered the performance criteria relating to FIS’s stock option grant made in March 2005 and these awards vested when the trading value of the Company’s stock remained above $31.27 for 45 days following the Merger. As a result, the Company recorded a charge of $24.5 million in the first nine months of 2006.</w:t>
      </w:r>
    </w:p>
    <w:p>
      <w:pPr>
        <w:spacing w:after="0" w:line="1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InterCept, Inc.</w:t>
      </w:r>
    </w:p>
    <w:p>
      <w:pPr>
        <w:spacing w:after="0" w:line="98" w:lineRule="exact"/>
        <w:rPr>
          <w:sz w:val="20"/>
          <w:szCs w:val="20"/>
          <w:color w:val="auto"/>
        </w:rPr>
      </w:pPr>
    </w:p>
    <w:p>
      <w:pPr>
        <w:jc w:val="both"/>
        <w:ind w:left="680" w:right="800" w:firstLine="399"/>
        <w:spacing w:after="0" w:line="261" w:lineRule="auto"/>
        <w:rPr>
          <w:sz w:val="20"/>
          <w:szCs w:val="20"/>
          <w:color w:val="auto"/>
        </w:rPr>
      </w:pPr>
      <w:r>
        <w:rPr>
          <w:rFonts w:ascii="Times New Roman" w:cs="Times New Roman" w:eastAsia="Times New Roman" w:hAnsi="Times New Roman"/>
          <w:sz w:val="13"/>
          <w:szCs w:val="13"/>
          <w:color w:val="auto"/>
        </w:rPr>
        <w:t>On November 8, 2004, the Company acquired all of the outstanding stock of InterCept, Inc. (“InterCept”) for $18.90 per share. The total purchase price was $419.4 million and was paid by $407.3 million of cash with the remaining purchase price relating to the issuance of Company options for vested InterCept options. InterCept provides both outsourced and in-house, fully integrated core banking solutions for community banks, including loan and deposit processing and general ledger and financial accounting operations. InterCept also operates significant item processing and check imaging operations, providing imaging for customer statements, clearing and settlement, reconciliation and automated exception processing in both outsourced and in-house relationships for customers.</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71"/>
        </w:trPr>
        <w:tc>
          <w:tcPr>
            <w:tcW w:w="92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The assets acquired and liabilities assumed in the InterCept acquisition were as follows (dollars in thousands):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98"/>
        </w:trPr>
        <w:tc>
          <w:tcPr>
            <w:tcW w:w="9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Tangible assets acquired at fair value</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83,533</w:t>
            </w:r>
          </w:p>
        </w:tc>
      </w:tr>
      <w:tr>
        <w:trPr>
          <w:trHeight w:val="157"/>
        </w:trPr>
        <w:tc>
          <w:tcPr>
            <w:tcW w:w="9200" w:type="dxa"/>
            <w:vAlign w:val="bottom"/>
          </w:tcPr>
          <w:p>
            <w:pPr>
              <w:spacing w:after="0"/>
              <w:rPr>
                <w:sz w:val="20"/>
                <w:szCs w:val="20"/>
                <w:color w:val="auto"/>
              </w:rPr>
            </w:pPr>
            <w:r>
              <w:rPr>
                <w:rFonts w:ascii="Times New Roman" w:cs="Times New Roman" w:eastAsia="Times New Roman" w:hAnsi="Times New Roman"/>
                <w:sz w:val="13"/>
                <w:szCs w:val="13"/>
                <w:color w:val="auto"/>
              </w:rPr>
              <w:t>Intangible assets acquired at fair value</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125,795</w:t>
            </w:r>
          </w:p>
        </w:tc>
      </w:tr>
      <w:tr>
        <w:trPr>
          <w:trHeight w:val="157"/>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267,079</w:t>
            </w:r>
          </w:p>
        </w:tc>
      </w:tr>
      <w:tr>
        <w:trPr>
          <w:trHeight w:val="157"/>
        </w:trPr>
        <w:tc>
          <w:tcPr>
            <w:tcW w:w="9200" w:type="dxa"/>
            <w:vAlign w:val="bottom"/>
          </w:tcPr>
          <w:p>
            <w:pPr>
              <w:spacing w:after="0"/>
              <w:rPr>
                <w:sz w:val="20"/>
                <w:szCs w:val="20"/>
                <w:color w:val="auto"/>
              </w:rPr>
            </w:pPr>
            <w:r>
              <w:rPr>
                <w:rFonts w:ascii="Times New Roman" w:cs="Times New Roman" w:eastAsia="Times New Roman" w:hAnsi="Times New Roman"/>
                <w:sz w:val="13"/>
                <w:szCs w:val="13"/>
                <w:color w:val="auto"/>
              </w:rPr>
              <w:t>Liabilities assumed at fair value</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(57,048)</w:t>
            </w:r>
          </w:p>
        </w:tc>
      </w:tr>
      <w:tr>
        <w:trPr>
          <w:trHeight w:val="20"/>
        </w:trPr>
        <w:tc>
          <w:tcPr>
            <w:tcW w:w="9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purchase price</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419,359</w:t>
            </w:r>
          </w:p>
        </w:tc>
      </w:tr>
      <w:tr>
        <w:trPr>
          <w:trHeight w:val="29"/>
        </w:trPr>
        <w:tc>
          <w:tcPr>
            <w:tcW w:w="9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Aurum Technology, Inc.</w:t>
      </w:r>
    </w:p>
    <w:p>
      <w:pPr>
        <w:spacing w:after="0" w:line="98" w:lineRule="exact"/>
        <w:rPr>
          <w:sz w:val="20"/>
          <w:szCs w:val="20"/>
          <w:color w:val="auto"/>
        </w:rPr>
      </w:pPr>
    </w:p>
    <w:p>
      <w:pPr>
        <w:ind w:left="680" w:right="960" w:firstLine="399"/>
        <w:spacing w:after="0" w:line="269" w:lineRule="auto"/>
        <w:rPr>
          <w:sz w:val="20"/>
          <w:szCs w:val="20"/>
          <w:color w:val="auto"/>
        </w:rPr>
      </w:pPr>
      <w:r>
        <w:rPr>
          <w:rFonts w:ascii="Times New Roman" w:cs="Times New Roman" w:eastAsia="Times New Roman" w:hAnsi="Times New Roman"/>
          <w:sz w:val="13"/>
          <w:szCs w:val="13"/>
          <w:color w:val="auto"/>
        </w:rPr>
        <w:t>On March 11, 2004, the Company acquired Aurum Technology, Inc. (“Aurum”) for $306.4 million, comprised of $185.0 million in cash and the issuance of 3,144,390 shares of the Company’s common stock valued using the average closing prices over the five day period beginning two days before and ending two days after the valuation date, which was $121.4 million. Aurum is a provider of outsourced and in-house information technology solutions for the community bank and credit union markets.</w:t>
      </w:r>
    </w:p>
    <w:p>
      <w:pPr>
        <w:spacing w:after="0" w:line="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assets acquired and liabilities assumed in the Aurum acquisition were as follows (dollars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Tangible assets acquired at fair value</w:t>
            </w:r>
          </w:p>
        </w:tc>
        <w:tc>
          <w:tcPr>
            <w:tcW w:w="5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64,301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Intangible assets acquired at fair value</w:t>
            </w:r>
          </w:p>
        </w:tc>
        <w:tc>
          <w:tcPr>
            <w:tcW w:w="5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44,803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5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255,399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Liabilities assumed at fair value</w:t>
            </w:r>
          </w:p>
        </w:tc>
        <w:tc>
          <w:tcPr>
            <w:tcW w:w="5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(58,134)</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purchase price</w:t>
            </w:r>
          </w:p>
        </w:tc>
        <w:tc>
          <w:tcPr>
            <w:tcW w:w="5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306,369</w:t>
            </w:r>
          </w:p>
        </w:tc>
        <w:tc>
          <w:tcPr>
            <w:tcW w:w="800" w:type="dxa"/>
            <w:vAlign w:val="bottom"/>
          </w:tcPr>
          <w:p>
            <w:pPr>
              <w:spacing w:after="0"/>
              <w:rPr>
                <w:sz w:val="14"/>
                <w:szCs w:val="14"/>
                <w:color w:val="auto"/>
              </w:rPr>
            </w:pPr>
          </w:p>
        </w:tc>
      </w:tr>
      <w:tr>
        <w:trPr>
          <w:trHeight w:val="463"/>
        </w:trPr>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720" w:type="dxa"/>
            <w:vAlign w:val="bottom"/>
          </w:tcPr>
          <w:p>
            <w:pPr>
              <w:jc w:val="right"/>
              <w:ind w:right="4074"/>
              <w:spacing w:after="0"/>
              <w:rPr>
                <w:sz w:val="20"/>
                <w:szCs w:val="20"/>
                <w:color w:val="auto"/>
              </w:rPr>
            </w:pPr>
            <w:r>
              <w:rPr>
                <w:rFonts w:ascii="Times New Roman" w:cs="Times New Roman" w:eastAsia="Times New Roman" w:hAnsi="Times New Roman"/>
                <w:sz w:val="13"/>
                <w:szCs w:val="13"/>
                <w:color w:val="auto"/>
              </w:rPr>
              <w:t>80</w:t>
            </w: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480" w:type="dxa"/>
            <w:vAlign w:val="bottom"/>
            <w:tcBorders>
              <w:bottom w:val="single" w:sz="8" w:color="808080"/>
            </w:tcBorders>
          </w:tcPr>
          <w:p>
            <w:pPr>
              <w:spacing w:after="0"/>
              <w:rPr>
                <w:sz w:val="14"/>
                <w:szCs w:val="14"/>
                <w:color w:val="auto"/>
              </w:rPr>
            </w:pPr>
          </w:p>
        </w:tc>
        <w:tc>
          <w:tcPr>
            <w:tcW w:w="57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83" w:name="page84"/>
    <w:bookmarkEnd w:id="83"/>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Sanchez Computer Associates, Inc.</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On April 14, 2004, the Company acquired Sanchez Computer Associates, Inc. (“Sanchez”) for $183.7 million, comprised of $88.1 million in cash and the issuance of</w:t>
      </w:r>
    </w:p>
    <w:p>
      <w:pPr>
        <w:spacing w:after="0" w:line="21" w:lineRule="exact"/>
        <w:rPr>
          <w:sz w:val="20"/>
          <w:szCs w:val="20"/>
          <w:color w:val="auto"/>
        </w:rPr>
      </w:pPr>
    </w:p>
    <w:p>
      <w:pPr>
        <w:ind w:left="680" w:right="880"/>
        <w:spacing w:after="0" w:line="256" w:lineRule="auto"/>
        <w:rPr>
          <w:sz w:val="20"/>
          <w:szCs w:val="20"/>
          <w:color w:val="auto"/>
        </w:rPr>
      </w:pPr>
      <w:r>
        <w:rPr>
          <w:rFonts w:ascii="Times New Roman" w:cs="Times New Roman" w:eastAsia="Times New Roman" w:hAnsi="Times New Roman"/>
          <w:sz w:val="13"/>
          <w:szCs w:val="13"/>
          <w:color w:val="auto"/>
        </w:rPr>
        <w:t>2,267,290 shares of the Company’s common stock valued using the average closing prices over the five day period beginning two days before and ending two days after the valuation date, which was approximately $88.1 million with the remaining purchase price of $7.5 million relating to the issuance of the Company’s stock options for vested Sanchez stock options. Sanchez develops and markets scalable and integrated software and services that provide banking, customer integration, outsourcing and wealth management solutions to financial institutions in several countries.</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71"/>
        </w:trPr>
        <w:tc>
          <w:tcPr>
            <w:tcW w:w="92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The assets acquired and liabilities assumed in the Sanchez acquisition were as follows (dollars in thousands):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98"/>
        </w:trPr>
        <w:tc>
          <w:tcPr>
            <w:tcW w:w="9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Tangible assets acquired at fair value</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57,993</w:t>
            </w:r>
          </w:p>
        </w:tc>
      </w:tr>
      <w:tr>
        <w:trPr>
          <w:trHeight w:val="157"/>
        </w:trPr>
        <w:tc>
          <w:tcPr>
            <w:tcW w:w="9200" w:type="dxa"/>
            <w:vAlign w:val="bottom"/>
          </w:tcPr>
          <w:p>
            <w:pPr>
              <w:spacing w:after="0"/>
              <w:rPr>
                <w:sz w:val="20"/>
                <w:szCs w:val="20"/>
                <w:color w:val="auto"/>
              </w:rPr>
            </w:pPr>
            <w:r>
              <w:rPr>
                <w:rFonts w:ascii="Times New Roman" w:cs="Times New Roman" w:eastAsia="Times New Roman" w:hAnsi="Times New Roman"/>
                <w:sz w:val="13"/>
                <w:szCs w:val="13"/>
                <w:color w:val="auto"/>
              </w:rPr>
              <w:t>Intangible assets acquired at fair value</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19,638</w:t>
            </w:r>
          </w:p>
        </w:tc>
      </w:tr>
      <w:tr>
        <w:trPr>
          <w:trHeight w:val="157"/>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127,630</w:t>
            </w:r>
          </w:p>
        </w:tc>
      </w:tr>
      <w:tr>
        <w:trPr>
          <w:trHeight w:val="157"/>
        </w:trPr>
        <w:tc>
          <w:tcPr>
            <w:tcW w:w="9200" w:type="dxa"/>
            <w:vAlign w:val="bottom"/>
          </w:tcPr>
          <w:p>
            <w:pPr>
              <w:spacing w:after="0"/>
              <w:rPr>
                <w:sz w:val="20"/>
                <w:szCs w:val="20"/>
                <w:color w:val="auto"/>
              </w:rPr>
            </w:pPr>
            <w:r>
              <w:rPr>
                <w:rFonts w:ascii="Times New Roman" w:cs="Times New Roman" w:eastAsia="Times New Roman" w:hAnsi="Times New Roman"/>
                <w:sz w:val="13"/>
                <w:szCs w:val="13"/>
                <w:color w:val="auto"/>
              </w:rPr>
              <w:t>Liabilities assumed at fair value</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(21,591)</w:t>
            </w:r>
          </w:p>
        </w:tc>
      </w:tr>
      <w:tr>
        <w:trPr>
          <w:trHeight w:val="20"/>
        </w:trPr>
        <w:tc>
          <w:tcPr>
            <w:tcW w:w="9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purchase price</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183,670</w:t>
            </w:r>
          </w:p>
        </w:tc>
      </w:tr>
      <w:tr>
        <w:trPr>
          <w:trHeight w:val="29"/>
        </w:trPr>
        <w:tc>
          <w:tcPr>
            <w:tcW w:w="9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Kordoba</w:t>
      </w:r>
    </w:p>
    <w:p>
      <w:pPr>
        <w:spacing w:after="0" w:line="98" w:lineRule="exact"/>
        <w:rPr>
          <w:sz w:val="20"/>
          <w:szCs w:val="20"/>
          <w:color w:val="auto"/>
        </w:rPr>
      </w:pPr>
    </w:p>
    <w:p>
      <w:pPr>
        <w:ind w:left="680" w:right="800" w:firstLine="399"/>
        <w:spacing w:after="0" w:line="263" w:lineRule="auto"/>
        <w:rPr>
          <w:sz w:val="20"/>
          <w:szCs w:val="20"/>
          <w:color w:val="auto"/>
        </w:rPr>
      </w:pPr>
      <w:r>
        <w:rPr>
          <w:rFonts w:ascii="Times New Roman" w:cs="Times New Roman" w:eastAsia="Times New Roman" w:hAnsi="Times New Roman"/>
          <w:sz w:val="13"/>
          <w:szCs w:val="13"/>
          <w:color w:val="auto"/>
        </w:rPr>
        <w:t>On September 30, 2004, the Company acquired a 74.9% interest in KORDOBA Gesellschaft fur Bankensoftware mbH &amp; Co. KG, Munich (“Kordoba”), a provider of core processing software and outsourcing solutions to the German banking market, from Siemens Business Services GmbH &amp; Co. OHG. The acquisition price was $123.6 million in cash. The Company recorded the Kordoba acquisition based on its proportional share of the fair value of the assets acquired and liabilities assumed on the purchase date. On September 30, 2005, the Company purchased the remaining 25.1% of Kordoba that it did not already own for $39.7 million.</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assets acquired and liabilities assumed in the Kordoba acquisition were as follows (dollars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Tangible assets acquired at fair value</w:t>
            </w:r>
          </w:p>
        </w:tc>
        <w:tc>
          <w:tcPr>
            <w:tcW w:w="58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156,977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Intangible assets acquired at fair value</w:t>
            </w:r>
          </w:p>
        </w:tc>
        <w:tc>
          <w:tcPr>
            <w:tcW w:w="5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35,372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5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105,664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Liabilities assumed at fair value</w:t>
            </w:r>
          </w:p>
        </w:tc>
        <w:tc>
          <w:tcPr>
            <w:tcW w:w="5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(134,767)</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purchase price</w:t>
            </w:r>
          </w:p>
        </w:tc>
        <w:tc>
          <w:tcPr>
            <w:tcW w:w="56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163,246</w:t>
            </w:r>
          </w:p>
        </w:tc>
        <w:tc>
          <w:tcPr>
            <w:tcW w:w="800" w:type="dxa"/>
            <w:vAlign w:val="bottom"/>
          </w:tcPr>
          <w:p>
            <w:pPr>
              <w:spacing w:after="0"/>
              <w:rPr>
                <w:sz w:val="14"/>
                <w:szCs w:val="14"/>
                <w:color w:val="auto"/>
              </w:rPr>
            </w:pPr>
          </w:p>
        </w:tc>
      </w:tr>
      <w:tr>
        <w:trPr>
          <w:trHeight w:val="463"/>
        </w:trPr>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600" w:type="dxa"/>
            <w:vAlign w:val="bottom"/>
          </w:tcPr>
          <w:p>
            <w:pPr>
              <w:jc w:val="right"/>
              <w:ind w:right="3954"/>
              <w:spacing w:after="0"/>
              <w:rPr>
                <w:sz w:val="20"/>
                <w:szCs w:val="20"/>
                <w:color w:val="auto"/>
              </w:rPr>
            </w:pPr>
            <w:r>
              <w:rPr>
                <w:rFonts w:ascii="Times New Roman" w:cs="Times New Roman" w:eastAsia="Times New Roman" w:hAnsi="Times New Roman"/>
                <w:sz w:val="13"/>
                <w:szCs w:val="13"/>
                <w:color w:val="auto"/>
              </w:rPr>
              <w:t>81</w:t>
            </w: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480" w:type="dxa"/>
            <w:vAlign w:val="bottom"/>
            <w:tcBorders>
              <w:bottom w:val="single" w:sz="8" w:color="808080"/>
            </w:tcBorders>
          </w:tcPr>
          <w:p>
            <w:pPr>
              <w:spacing w:after="0"/>
              <w:rPr>
                <w:sz w:val="14"/>
                <w:szCs w:val="14"/>
                <w:color w:val="auto"/>
              </w:rPr>
            </w:pPr>
          </w:p>
        </w:tc>
        <w:tc>
          <w:tcPr>
            <w:tcW w:w="56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84" w:name="page85"/>
    <w:bookmarkEnd w:id="84"/>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5" w:lineRule="exact"/>
        <w:rPr>
          <w:sz w:val="20"/>
          <w:szCs w:val="20"/>
          <w:color w:val="auto"/>
        </w:rPr>
      </w:pPr>
    </w:p>
    <w:p>
      <w:pPr>
        <w:ind w:left="1080" w:hanging="393"/>
        <w:spacing w:after="0"/>
        <w:tabs>
          <w:tab w:leader="none" w:pos="1080" w:val="left"/>
        </w:tabs>
        <w:numPr>
          <w:ilvl w:val="0"/>
          <w:numId w:val="3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Investments</w:t>
      </w:r>
    </w:p>
    <w:p>
      <w:pPr>
        <w:spacing w:after="0" w:line="176" w:lineRule="exact"/>
        <w:rPr>
          <w:rFonts w:ascii="Times New Roman" w:cs="Times New Roman" w:eastAsia="Times New Roman" w:hAnsi="Times New Roman"/>
          <w:sz w:val="13"/>
          <w:szCs w:val="13"/>
          <w:b w:val="1"/>
          <w:bCs w:val="1"/>
          <w:color w:val="auto"/>
        </w:rPr>
      </w:pPr>
    </w:p>
    <w:p>
      <w:pPr>
        <w:ind w:left="108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carrying amounts and fair values of the Company’s fixed maturity securities at December 31, 2006 and 2005 are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4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0"/>
                <w:szCs w:val="10"/>
                <w:b w:val="1"/>
                <w:bCs w:val="1"/>
                <w:color w:val="auto"/>
              </w:rPr>
              <w:t>December 31, 2006</w:t>
            </w: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4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gridSpan w:val="2"/>
          </w:tcPr>
          <w:p>
            <w:pPr>
              <w:jc w:val="center"/>
              <w:ind w:right="580"/>
              <w:spacing w:after="0" w:line="79" w:lineRule="exact"/>
              <w:rPr>
                <w:sz w:val="20"/>
                <w:szCs w:val="20"/>
                <w:color w:val="auto"/>
              </w:rPr>
            </w:pPr>
            <w:r>
              <w:rPr>
                <w:rFonts w:ascii="Times New Roman" w:cs="Times New Roman" w:eastAsia="Times New Roman" w:hAnsi="Times New Roman"/>
                <w:sz w:val="9"/>
                <w:szCs w:val="9"/>
                <w:b w:val="1"/>
                <w:bCs w:val="1"/>
                <w:color w:val="auto"/>
              </w:rPr>
              <w:t>Carrying</w:t>
            </w:r>
          </w:p>
        </w:tc>
        <w:tc>
          <w:tcPr>
            <w:tcW w:w="140" w:type="dxa"/>
            <w:vAlign w:val="bottom"/>
          </w:tcPr>
          <w:p>
            <w:pPr>
              <w:spacing w:after="0"/>
              <w:rPr>
                <w:sz w:val="6"/>
                <w:szCs w:val="6"/>
                <w:color w:val="auto"/>
              </w:rPr>
            </w:pPr>
          </w:p>
        </w:tc>
        <w:tc>
          <w:tcPr>
            <w:tcW w:w="820" w:type="dxa"/>
            <w:vAlign w:val="bottom"/>
            <w:gridSpan w:val="2"/>
          </w:tcPr>
          <w:p>
            <w:pPr>
              <w:jc w:val="center"/>
              <w:ind w:right="200"/>
              <w:spacing w:after="0" w:line="79" w:lineRule="exact"/>
              <w:rPr>
                <w:sz w:val="20"/>
                <w:szCs w:val="20"/>
                <w:color w:val="auto"/>
              </w:rPr>
            </w:pPr>
            <w:r>
              <w:rPr>
                <w:rFonts w:ascii="Times New Roman" w:cs="Times New Roman" w:eastAsia="Times New Roman" w:hAnsi="Times New Roman"/>
                <w:sz w:val="9"/>
                <w:szCs w:val="9"/>
                <w:b w:val="1"/>
                <w:bCs w:val="1"/>
                <w:color w:val="auto"/>
              </w:rPr>
              <w:t>Amortized</w:t>
            </w: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tcPr>
          <w:p>
            <w:pPr>
              <w:ind w:left="20"/>
              <w:spacing w:after="0" w:line="79" w:lineRule="exact"/>
              <w:rPr>
                <w:sz w:val="20"/>
                <w:szCs w:val="20"/>
                <w:color w:val="auto"/>
              </w:rPr>
            </w:pPr>
            <w:r>
              <w:rPr>
                <w:rFonts w:ascii="Times New Roman" w:cs="Times New Roman" w:eastAsia="Times New Roman" w:hAnsi="Times New Roman"/>
                <w:sz w:val="9"/>
                <w:szCs w:val="9"/>
                <w:b w:val="1"/>
                <w:bCs w:val="1"/>
                <w:color w:val="auto"/>
              </w:rPr>
              <w:t>Unrealized</w:t>
            </w:r>
          </w:p>
        </w:tc>
        <w:tc>
          <w:tcPr>
            <w:tcW w:w="100" w:type="dxa"/>
            <w:vAlign w:val="bottom"/>
          </w:tcPr>
          <w:p>
            <w:pPr>
              <w:spacing w:after="0"/>
              <w:rPr>
                <w:sz w:val="6"/>
                <w:szCs w:val="6"/>
                <w:color w:val="auto"/>
              </w:rPr>
            </w:pPr>
          </w:p>
        </w:tc>
        <w:tc>
          <w:tcPr>
            <w:tcW w:w="1000" w:type="dxa"/>
            <w:vAlign w:val="bottom"/>
            <w:gridSpan w:val="2"/>
          </w:tcPr>
          <w:p>
            <w:pPr>
              <w:jc w:val="center"/>
              <w:ind w:right="480"/>
              <w:spacing w:after="0" w:line="79" w:lineRule="exact"/>
              <w:rPr>
                <w:sz w:val="20"/>
                <w:szCs w:val="20"/>
                <w:color w:val="auto"/>
              </w:rPr>
            </w:pPr>
            <w:r>
              <w:rPr>
                <w:rFonts w:ascii="Times New Roman" w:cs="Times New Roman" w:eastAsia="Times New Roman" w:hAnsi="Times New Roman"/>
                <w:sz w:val="9"/>
                <w:szCs w:val="9"/>
                <w:b w:val="1"/>
                <w:bCs w:val="1"/>
                <w:color w:val="auto"/>
              </w:rPr>
              <w:t>Unrealized</w:t>
            </w:r>
          </w:p>
        </w:tc>
        <w:tc>
          <w:tcPr>
            <w:tcW w:w="120" w:type="dxa"/>
            <w:vAlign w:val="bottom"/>
          </w:tcPr>
          <w:p>
            <w:pPr>
              <w:spacing w:after="0"/>
              <w:rPr>
                <w:sz w:val="6"/>
                <w:szCs w:val="6"/>
                <w:color w:val="auto"/>
              </w:rPr>
            </w:pPr>
          </w:p>
        </w:tc>
        <w:tc>
          <w:tcPr>
            <w:tcW w:w="760" w:type="dxa"/>
            <w:vAlign w:val="bottom"/>
          </w:tcPr>
          <w:p>
            <w:pPr>
              <w:jc w:val="center"/>
              <w:ind w:right="58"/>
              <w:spacing w:after="0" w:line="79" w:lineRule="exact"/>
              <w:rPr>
                <w:sz w:val="20"/>
                <w:szCs w:val="20"/>
                <w:color w:val="auto"/>
              </w:rPr>
            </w:pPr>
            <w:r>
              <w:rPr>
                <w:rFonts w:ascii="Times New Roman" w:cs="Times New Roman" w:eastAsia="Times New Roman" w:hAnsi="Times New Roman"/>
                <w:sz w:val="9"/>
                <w:szCs w:val="9"/>
                <w:b w:val="1"/>
                <w:bCs w:val="1"/>
                <w:color w:val="auto"/>
              </w:rPr>
              <w:t>Fair</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4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58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140" w:type="dxa"/>
            <w:vAlign w:val="bottom"/>
          </w:tcPr>
          <w:p>
            <w:pPr>
              <w:spacing w:after="0"/>
              <w:rPr>
                <w:sz w:val="11"/>
                <w:szCs w:val="11"/>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Cost</w:t>
            </w: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9"/>
                <w:szCs w:val="9"/>
                <w:b w:val="1"/>
                <w:bCs w:val="1"/>
                <w:color w:val="auto"/>
                <w:w w:val="77"/>
              </w:rPr>
              <w:t>(Dollars</w:t>
            </w:r>
          </w:p>
        </w:tc>
        <w:tc>
          <w:tcPr>
            <w:tcW w:w="100" w:type="dxa"/>
            <w:vAlign w:val="bottom"/>
          </w:tcPr>
          <w:p>
            <w:pPr>
              <w:spacing w:after="0"/>
              <w:rPr>
                <w:sz w:val="11"/>
                <w:szCs w:val="11"/>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Gains</w:t>
            </w:r>
          </w:p>
        </w:tc>
        <w:tc>
          <w:tcPr>
            <w:tcW w:w="100" w:type="dxa"/>
            <w:vAlign w:val="bottom"/>
          </w:tcPr>
          <w:p>
            <w:pPr>
              <w:spacing w:after="0"/>
              <w:rPr>
                <w:sz w:val="11"/>
                <w:szCs w:val="11"/>
                <w:color w:val="auto"/>
              </w:rPr>
            </w:pPr>
          </w:p>
        </w:tc>
        <w:tc>
          <w:tcPr>
            <w:tcW w:w="100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12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0" w:type="dxa"/>
            <w:vAlign w:val="bottom"/>
          </w:tcPr>
          <w:p>
            <w:pPr>
              <w:spacing w:after="0"/>
              <w:rPr>
                <w:sz w:val="1"/>
                <w:szCs w:val="1"/>
                <w:color w:val="auto"/>
              </w:rPr>
            </w:pPr>
          </w:p>
        </w:tc>
      </w:tr>
      <w:tr>
        <w:trPr>
          <w:trHeight w:val="133"/>
        </w:trPr>
        <w:tc>
          <w:tcPr>
            <w:tcW w:w="4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7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w w:val="97"/>
              </w:rPr>
              <w:t>in thousands)</w:t>
            </w: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Fixed maturity investments</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(available for sale):</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 government and agencies</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1,054,679</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1,063,572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4,263</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(13,156)</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1,054,679</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States and political subdivisions</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1,162,076</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1,171,093</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1,648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(10,665)</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1,162,076</w:t>
            </w:r>
          </w:p>
        </w:tc>
        <w:tc>
          <w:tcPr>
            <w:tcW w:w="0" w:type="dxa"/>
            <w:vAlign w:val="bottom"/>
          </w:tcPr>
          <w:p>
            <w:pPr>
              <w:spacing w:after="0"/>
              <w:rPr>
                <w:sz w:val="1"/>
                <w:szCs w:val="1"/>
                <w:color w:val="auto"/>
              </w:rPr>
            </w:pPr>
          </w:p>
        </w:tc>
      </w:tr>
      <w:tr>
        <w:trPr>
          <w:trHeight w:val="157"/>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160" w:type="dxa"/>
            <w:vAlign w:val="bottom"/>
          </w:tcPr>
          <w:p>
            <w:pPr>
              <w:spacing w:after="0"/>
              <w:rPr>
                <w:sz w:val="13"/>
                <w:szCs w:val="13"/>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650,788</w:t>
            </w:r>
          </w:p>
        </w:tc>
        <w:tc>
          <w:tcPr>
            <w:tcW w:w="14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657,755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5,596</w:t>
            </w: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(12,563)</w:t>
            </w:r>
          </w:p>
        </w:tc>
        <w:tc>
          <w:tcPr>
            <w:tcW w:w="1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650,788</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Foreign government bonds</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34,397</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34,670</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(334)</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34,397</w:t>
            </w:r>
          </w:p>
        </w:tc>
        <w:tc>
          <w:tcPr>
            <w:tcW w:w="0" w:type="dxa"/>
            <w:vAlign w:val="bottom"/>
          </w:tcPr>
          <w:p>
            <w:pPr>
              <w:spacing w:after="0"/>
              <w:rPr>
                <w:sz w:val="1"/>
                <w:szCs w:val="1"/>
                <w:color w:val="auto"/>
              </w:rPr>
            </w:pPr>
          </w:p>
        </w:tc>
      </w:tr>
      <w:tr>
        <w:trPr>
          <w:trHeight w:val="157"/>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60" w:type="dxa"/>
            <w:vAlign w:val="bottom"/>
          </w:tcPr>
          <w:p>
            <w:pPr>
              <w:spacing w:after="0"/>
              <w:rPr>
                <w:sz w:val="13"/>
                <w:szCs w:val="13"/>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24</w:t>
            </w:r>
          </w:p>
        </w:tc>
        <w:tc>
          <w:tcPr>
            <w:tcW w:w="14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2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2,901,964</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2,927,113</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11,569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(36,718)</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2,901,964</w:t>
            </w:r>
          </w:p>
        </w:tc>
        <w:tc>
          <w:tcPr>
            <w:tcW w:w="0" w:type="dxa"/>
            <w:vAlign w:val="bottom"/>
          </w:tcPr>
          <w:p>
            <w:pPr>
              <w:spacing w:after="0"/>
              <w:rPr>
                <w:sz w:val="1"/>
                <w:szCs w:val="1"/>
                <w:color w:val="auto"/>
              </w:rPr>
            </w:pPr>
          </w:p>
        </w:tc>
      </w:tr>
      <w:tr>
        <w:trPr>
          <w:trHeight w:val="29"/>
        </w:trPr>
        <w:tc>
          <w:tcPr>
            <w:tcW w:w="4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gridSpan w:val="2"/>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4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0"/>
                <w:szCs w:val="10"/>
                <w:b w:val="1"/>
                <w:bCs w:val="1"/>
                <w:color w:val="auto"/>
              </w:rPr>
              <w:t>December 31, 2005</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4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gridSpan w:val="2"/>
          </w:tcPr>
          <w:p>
            <w:pPr>
              <w:jc w:val="center"/>
              <w:ind w:right="580"/>
              <w:spacing w:after="0" w:line="79" w:lineRule="exact"/>
              <w:rPr>
                <w:sz w:val="20"/>
                <w:szCs w:val="20"/>
                <w:color w:val="auto"/>
              </w:rPr>
            </w:pPr>
            <w:r>
              <w:rPr>
                <w:rFonts w:ascii="Times New Roman" w:cs="Times New Roman" w:eastAsia="Times New Roman" w:hAnsi="Times New Roman"/>
                <w:sz w:val="9"/>
                <w:szCs w:val="9"/>
                <w:b w:val="1"/>
                <w:bCs w:val="1"/>
                <w:color w:val="auto"/>
              </w:rPr>
              <w:t>Carrying</w:t>
            </w:r>
          </w:p>
        </w:tc>
        <w:tc>
          <w:tcPr>
            <w:tcW w:w="140" w:type="dxa"/>
            <w:vAlign w:val="bottom"/>
          </w:tcPr>
          <w:p>
            <w:pPr>
              <w:spacing w:after="0"/>
              <w:rPr>
                <w:sz w:val="6"/>
                <w:szCs w:val="6"/>
                <w:color w:val="auto"/>
              </w:rPr>
            </w:pPr>
          </w:p>
        </w:tc>
        <w:tc>
          <w:tcPr>
            <w:tcW w:w="820" w:type="dxa"/>
            <w:vAlign w:val="bottom"/>
            <w:gridSpan w:val="2"/>
          </w:tcPr>
          <w:p>
            <w:pPr>
              <w:jc w:val="center"/>
              <w:ind w:right="200"/>
              <w:spacing w:after="0" w:line="79" w:lineRule="exact"/>
              <w:rPr>
                <w:sz w:val="20"/>
                <w:szCs w:val="20"/>
                <w:color w:val="auto"/>
              </w:rPr>
            </w:pPr>
            <w:r>
              <w:rPr>
                <w:rFonts w:ascii="Times New Roman" w:cs="Times New Roman" w:eastAsia="Times New Roman" w:hAnsi="Times New Roman"/>
                <w:sz w:val="9"/>
                <w:szCs w:val="9"/>
                <w:b w:val="1"/>
                <w:bCs w:val="1"/>
                <w:color w:val="auto"/>
              </w:rPr>
              <w:t>Amortized</w:t>
            </w: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tcPr>
          <w:p>
            <w:pPr>
              <w:ind w:left="20"/>
              <w:spacing w:after="0" w:line="79" w:lineRule="exact"/>
              <w:rPr>
                <w:sz w:val="20"/>
                <w:szCs w:val="20"/>
                <w:color w:val="auto"/>
              </w:rPr>
            </w:pPr>
            <w:r>
              <w:rPr>
                <w:rFonts w:ascii="Times New Roman" w:cs="Times New Roman" w:eastAsia="Times New Roman" w:hAnsi="Times New Roman"/>
                <w:sz w:val="9"/>
                <w:szCs w:val="9"/>
                <w:b w:val="1"/>
                <w:bCs w:val="1"/>
                <w:color w:val="auto"/>
              </w:rPr>
              <w:t>Unrealized</w:t>
            </w:r>
          </w:p>
        </w:tc>
        <w:tc>
          <w:tcPr>
            <w:tcW w:w="100" w:type="dxa"/>
            <w:vAlign w:val="bottom"/>
          </w:tcPr>
          <w:p>
            <w:pPr>
              <w:spacing w:after="0"/>
              <w:rPr>
                <w:sz w:val="6"/>
                <w:szCs w:val="6"/>
                <w:color w:val="auto"/>
              </w:rPr>
            </w:pPr>
          </w:p>
        </w:tc>
        <w:tc>
          <w:tcPr>
            <w:tcW w:w="1000" w:type="dxa"/>
            <w:vAlign w:val="bottom"/>
            <w:gridSpan w:val="2"/>
          </w:tcPr>
          <w:p>
            <w:pPr>
              <w:jc w:val="center"/>
              <w:ind w:right="480"/>
              <w:spacing w:after="0" w:line="79" w:lineRule="exact"/>
              <w:rPr>
                <w:sz w:val="20"/>
                <w:szCs w:val="20"/>
                <w:color w:val="auto"/>
              </w:rPr>
            </w:pPr>
            <w:r>
              <w:rPr>
                <w:rFonts w:ascii="Times New Roman" w:cs="Times New Roman" w:eastAsia="Times New Roman" w:hAnsi="Times New Roman"/>
                <w:sz w:val="9"/>
                <w:szCs w:val="9"/>
                <w:b w:val="1"/>
                <w:bCs w:val="1"/>
                <w:color w:val="auto"/>
              </w:rPr>
              <w:t>Unrealized</w:t>
            </w:r>
          </w:p>
        </w:tc>
        <w:tc>
          <w:tcPr>
            <w:tcW w:w="120" w:type="dxa"/>
            <w:vAlign w:val="bottom"/>
          </w:tcPr>
          <w:p>
            <w:pPr>
              <w:spacing w:after="0"/>
              <w:rPr>
                <w:sz w:val="6"/>
                <w:szCs w:val="6"/>
                <w:color w:val="auto"/>
              </w:rPr>
            </w:pPr>
          </w:p>
        </w:tc>
        <w:tc>
          <w:tcPr>
            <w:tcW w:w="760" w:type="dxa"/>
            <w:vAlign w:val="bottom"/>
          </w:tcPr>
          <w:p>
            <w:pPr>
              <w:jc w:val="center"/>
              <w:ind w:right="58"/>
              <w:spacing w:after="0" w:line="79" w:lineRule="exact"/>
              <w:rPr>
                <w:sz w:val="20"/>
                <w:szCs w:val="20"/>
                <w:color w:val="auto"/>
              </w:rPr>
            </w:pPr>
            <w:r>
              <w:rPr>
                <w:rFonts w:ascii="Times New Roman" w:cs="Times New Roman" w:eastAsia="Times New Roman" w:hAnsi="Times New Roman"/>
                <w:sz w:val="9"/>
                <w:szCs w:val="9"/>
                <w:b w:val="1"/>
                <w:bCs w:val="1"/>
                <w:color w:val="auto"/>
              </w:rPr>
              <w:t>Gross Fair</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4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58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140" w:type="dxa"/>
            <w:vAlign w:val="bottom"/>
          </w:tcPr>
          <w:p>
            <w:pPr>
              <w:spacing w:after="0"/>
              <w:rPr>
                <w:sz w:val="11"/>
                <w:szCs w:val="11"/>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Cost</w:t>
            </w: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9"/>
                <w:szCs w:val="9"/>
                <w:b w:val="1"/>
                <w:bCs w:val="1"/>
                <w:color w:val="auto"/>
                <w:w w:val="77"/>
              </w:rPr>
              <w:t>(Dollars</w:t>
            </w:r>
          </w:p>
        </w:tc>
        <w:tc>
          <w:tcPr>
            <w:tcW w:w="100" w:type="dxa"/>
            <w:vAlign w:val="bottom"/>
          </w:tcPr>
          <w:p>
            <w:pPr>
              <w:spacing w:after="0"/>
              <w:rPr>
                <w:sz w:val="11"/>
                <w:szCs w:val="11"/>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Gains</w:t>
            </w:r>
          </w:p>
        </w:tc>
        <w:tc>
          <w:tcPr>
            <w:tcW w:w="100" w:type="dxa"/>
            <w:vAlign w:val="bottom"/>
          </w:tcPr>
          <w:p>
            <w:pPr>
              <w:spacing w:after="0"/>
              <w:rPr>
                <w:sz w:val="11"/>
                <w:szCs w:val="11"/>
                <w:color w:val="auto"/>
              </w:rPr>
            </w:pPr>
          </w:p>
        </w:tc>
        <w:tc>
          <w:tcPr>
            <w:tcW w:w="100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12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0" w:type="dxa"/>
            <w:vAlign w:val="bottom"/>
          </w:tcPr>
          <w:p>
            <w:pPr>
              <w:spacing w:after="0"/>
              <w:rPr>
                <w:sz w:val="1"/>
                <w:szCs w:val="1"/>
                <w:color w:val="auto"/>
              </w:rPr>
            </w:pPr>
          </w:p>
        </w:tc>
      </w:tr>
      <w:tr>
        <w:trPr>
          <w:trHeight w:val="98"/>
        </w:trPr>
        <w:tc>
          <w:tcPr>
            <w:tcW w:w="42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700" w:type="dxa"/>
            <w:vAlign w:val="bottom"/>
            <w:tcBorders>
              <w:top w:val="single" w:sz="8" w:color="auto"/>
            </w:tcBorders>
            <w:gridSpan w:val="2"/>
          </w:tcPr>
          <w:p>
            <w:pPr>
              <w:ind w:left="120"/>
              <w:spacing w:after="0" w:line="98" w:lineRule="exact"/>
              <w:rPr>
                <w:sz w:val="20"/>
                <w:szCs w:val="20"/>
                <w:color w:val="auto"/>
              </w:rPr>
            </w:pPr>
            <w:r>
              <w:rPr>
                <w:rFonts w:ascii="Times New Roman" w:cs="Times New Roman" w:eastAsia="Times New Roman" w:hAnsi="Times New Roman"/>
                <w:sz w:val="10"/>
                <w:szCs w:val="10"/>
                <w:b w:val="1"/>
                <w:bCs w:val="1"/>
                <w:color w:val="auto"/>
                <w:w w:val="97"/>
              </w:rPr>
              <w:t>in thousands)</w:t>
            </w:r>
          </w:p>
        </w:tc>
        <w:tc>
          <w:tcPr>
            <w:tcW w:w="3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42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Fixed maturity investments</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(available for sale):</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 government and agencies</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956,259</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974,366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199</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(18,306)</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956,259</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States and political subdivisions</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1,410,743</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1,421,098</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1,686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(12,041)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1,410,743</w:t>
            </w:r>
          </w:p>
        </w:tc>
        <w:tc>
          <w:tcPr>
            <w:tcW w:w="0" w:type="dxa"/>
            <w:vAlign w:val="bottom"/>
          </w:tcPr>
          <w:p>
            <w:pPr>
              <w:spacing w:after="0"/>
              <w:rPr>
                <w:sz w:val="1"/>
                <w:szCs w:val="1"/>
                <w:color w:val="auto"/>
              </w:rPr>
            </w:pPr>
          </w:p>
        </w:tc>
      </w:tr>
      <w:tr>
        <w:trPr>
          <w:trHeight w:val="157"/>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160" w:type="dxa"/>
            <w:vAlign w:val="bottom"/>
          </w:tcPr>
          <w:p>
            <w:pPr>
              <w:spacing w:after="0"/>
              <w:rPr>
                <w:sz w:val="13"/>
                <w:szCs w:val="13"/>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681,510</w:t>
            </w:r>
          </w:p>
        </w:tc>
        <w:tc>
          <w:tcPr>
            <w:tcW w:w="14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694,414</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527</w:t>
            </w: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(13,431)</w:t>
            </w:r>
          </w:p>
        </w:tc>
        <w:tc>
          <w:tcPr>
            <w:tcW w:w="1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681,510</w:t>
            </w:r>
          </w:p>
        </w:tc>
        <w:tc>
          <w:tcPr>
            <w:tcW w:w="0" w:type="dxa"/>
            <w:vAlign w:val="bottom"/>
          </w:tcPr>
          <w:p>
            <w:pPr>
              <w:spacing w:after="0"/>
              <w:rPr>
                <w:sz w:val="1"/>
                <w:szCs w:val="1"/>
                <w:color w:val="auto"/>
              </w:rPr>
            </w:pPr>
          </w:p>
        </w:tc>
      </w:tr>
      <w:tr>
        <w:trPr>
          <w:trHeight w:val="15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Foreign government bonds</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26,060</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26,389</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(336)</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26,060</w:t>
            </w:r>
          </w:p>
        </w:tc>
        <w:tc>
          <w:tcPr>
            <w:tcW w:w="0" w:type="dxa"/>
            <w:vAlign w:val="bottom"/>
          </w:tcPr>
          <w:p>
            <w:pPr>
              <w:spacing w:after="0"/>
              <w:rPr>
                <w:sz w:val="1"/>
                <w:szCs w:val="1"/>
                <w:color w:val="auto"/>
              </w:rPr>
            </w:pPr>
          </w:p>
        </w:tc>
      </w:tr>
      <w:tr>
        <w:trPr>
          <w:trHeight w:val="157"/>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60" w:type="dxa"/>
            <w:vAlign w:val="bottom"/>
          </w:tcPr>
          <w:p>
            <w:pPr>
              <w:spacing w:after="0"/>
              <w:rPr>
                <w:sz w:val="13"/>
                <w:szCs w:val="13"/>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45</w:t>
            </w:r>
          </w:p>
        </w:tc>
        <w:tc>
          <w:tcPr>
            <w:tcW w:w="14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2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3,074,617</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3,116,310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2,421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(44,114)</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3,074,617</w:t>
            </w:r>
          </w:p>
        </w:tc>
        <w:tc>
          <w:tcPr>
            <w:tcW w:w="0" w:type="dxa"/>
            <w:vAlign w:val="bottom"/>
          </w:tcPr>
          <w:p>
            <w:pPr>
              <w:spacing w:after="0"/>
              <w:rPr>
                <w:sz w:val="1"/>
                <w:szCs w:val="1"/>
                <w:color w:val="auto"/>
              </w:rPr>
            </w:pPr>
          </w:p>
        </w:tc>
      </w:tr>
      <w:tr>
        <w:trPr>
          <w:trHeight w:val="29"/>
        </w:trPr>
        <w:tc>
          <w:tcPr>
            <w:tcW w:w="4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560" w:firstLine="399"/>
        <w:spacing w:after="0" w:line="286" w:lineRule="auto"/>
        <w:rPr>
          <w:sz w:val="20"/>
          <w:szCs w:val="20"/>
          <w:color w:val="auto"/>
        </w:rPr>
      </w:pPr>
      <w:r>
        <w:rPr>
          <w:rFonts w:ascii="Times New Roman" w:cs="Times New Roman" w:eastAsia="Times New Roman" w:hAnsi="Times New Roman"/>
          <w:sz w:val="13"/>
          <w:szCs w:val="13"/>
          <w:color w:val="auto"/>
        </w:rPr>
        <w:t>The change in unrealized gains (losses) on fixed maturities for the years ended December 31, 2006, 2005, and 2004 was $16.5 million, $(44.4) million, and $(27.1) million, respectively.</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85" w:name="page86"/>
    <w:bookmarkEnd w:id="85"/>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7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presents certain information regarding contractual maturities of the Company’s fixed maturity securities at December 31, 2006:</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6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5"/>
          </w:tcPr>
          <w:p>
            <w:pPr>
              <w:jc w:val="right"/>
              <w:ind w:right="1080"/>
              <w:spacing w:after="0"/>
              <w:rPr>
                <w:sz w:val="20"/>
                <w:szCs w:val="20"/>
                <w:color w:val="auto"/>
              </w:rPr>
            </w:pPr>
            <w:r>
              <w:rPr>
                <w:rFonts w:ascii="Times New Roman" w:cs="Times New Roman" w:eastAsia="Times New Roman" w:hAnsi="Times New Roman"/>
                <w:sz w:val="10"/>
                <w:szCs w:val="10"/>
                <w:b w:val="1"/>
                <w:bCs w:val="1"/>
                <w:color w:val="auto"/>
              </w:rPr>
              <w:t>December 31, 2006</w:t>
            </w: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61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u w:val="single" w:color="auto"/>
                <w:color w:val="auto"/>
              </w:rPr>
              <w:t>M</w:t>
            </w:r>
            <w:r>
              <w:rPr>
                <w:rFonts w:ascii="Times New Roman" w:cs="Times New Roman" w:eastAsia="Times New Roman" w:hAnsi="Times New Roman"/>
                <w:sz w:val="10"/>
                <w:szCs w:val="10"/>
                <w:b w:val="1"/>
                <w:bCs w:val="1"/>
                <w:color w:val="auto"/>
              </w:rPr>
              <w:t>aturity</w:t>
            </w:r>
          </w:p>
        </w:tc>
        <w:tc>
          <w:tcPr>
            <w:tcW w:w="120" w:type="dxa"/>
            <w:vAlign w:val="bottom"/>
          </w:tcPr>
          <w:p>
            <w:pPr>
              <w:spacing w:after="0"/>
              <w:rPr>
                <w:sz w:val="7"/>
                <w:szCs w:val="7"/>
                <w:color w:val="auto"/>
              </w:rPr>
            </w:pPr>
          </w:p>
        </w:tc>
        <w:tc>
          <w:tcPr>
            <w:tcW w:w="1160" w:type="dxa"/>
            <w:vAlign w:val="bottom"/>
            <w:gridSpan w:val="2"/>
          </w:tcPr>
          <w:p>
            <w:pPr>
              <w:jc w:val="center"/>
              <w:ind w:right="520"/>
              <w:spacing w:after="0" w:line="89"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800" w:type="dxa"/>
            <w:vAlign w:val="bottom"/>
            <w:gridSpan w:val="2"/>
          </w:tcPr>
          <w:p>
            <w:pPr>
              <w:jc w:val="right"/>
              <w:ind w:right="448"/>
              <w:spacing w:after="0" w:line="89" w:lineRule="exact"/>
              <w:rPr>
                <w:sz w:val="20"/>
                <w:szCs w:val="20"/>
                <w:color w:val="auto"/>
              </w:rPr>
            </w:pPr>
            <w:r>
              <w:rPr>
                <w:rFonts w:ascii="Times New Roman" w:cs="Times New Roman" w:eastAsia="Times New Roman" w:hAnsi="Times New Roman"/>
                <w:sz w:val="10"/>
                <w:szCs w:val="10"/>
                <w:b w:val="1"/>
                <w:bCs w:val="1"/>
                <w:color w:val="auto"/>
              </w:rPr>
              <w:t>% of</w:t>
            </w: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ind w:left="80"/>
              <w:spacing w:after="0" w:line="89" w:lineRule="exact"/>
              <w:rPr>
                <w:sz w:val="20"/>
                <w:szCs w:val="20"/>
                <w:color w:val="auto"/>
              </w:rPr>
            </w:pPr>
            <w:r>
              <w:rPr>
                <w:rFonts w:ascii="Times New Roman" w:cs="Times New Roman" w:eastAsia="Times New Roman" w:hAnsi="Times New Roman"/>
                <w:sz w:val="10"/>
                <w:szCs w:val="10"/>
                <w:b w:val="1"/>
                <w:bCs w:val="1"/>
                <w:color w:val="auto"/>
              </w:rPr>
              <w:t>%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610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0"/>
                <w:szCs w:val="10"/>
                <w:b w:val="1"/>
                <w:bCs w:val="1"/>
                <w:color w:val="auto"/>
              </w:rPr>
              <w:t>Cost</w:t>
            </w:r>
          </w:p>
        </w:tc>
        <w:tc>
          <w:tcPr>
            <w:tcW w:w="400" w:type="dxa"/>
            <w:vAlign w:val="bottom"/>
          </w:tcPr>
          <w:p>
            <w:pPr>
              <w:spacing w:after="0"/>
              <w:rPr>
                <w:sz w:val="11"/>
                <w:szCs w:val="11"/>
                <w:color w:val="auto"/>
              </w:rPr>
            </w:pPr>
          </w:p>
        </w:tc>
        <w:tc>
          <w:tcPr>
            <w:tcW w:w="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0"/>
                <w:szCs w:val="10"/>
                <w:b w:val="1"/>
                <w:bCs w:val="1"/>
                <w:color w:val="auto"/>
              </w:rPr>
              <w:t>Total</w:t>
            </w: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400" w:type="dxa"/>
            <w:vAlign w:val="bottom"/>
          </w:tcPr>
          <w:p>
            <w:pPr>
              <w:spacing w:after="0"/>
              <w:rPr>
                <w:sz w:val="11"/>
                <w:szCs w:val="11"/>
                <w:color w:val="auto"/>
              </w:rPr>
            </w:pP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(Dollars</w:t>
            </w:r>
          </w:p>
        </w:tc>
        <w:tc>
          <w:tcPr>
            <w:tcW w:w="1300" w:type="dxa"/>
            <w:vAlign w:val="bottom"/>
            <w:gridSpan w:val="3"/>
          </w:tcPr>
          <w:p>
            <w:pPr>
              <w:jc w:val="right"/>
              <w:ind w:right="536"/>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One year or less</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448,409</w:t>
            </w:r>
          </w:p>
        </w:tc>
        <w:tc>
          <w:tcPr>
            <w:tcW w:w="8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3"/>
                <w:szCs w:val="13"/>
                <w:color w:val="auto"/>
              </w:rPr>
              <w:t>15.3%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445,391</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After one year through five years</w:t>
            </w:r>
          </w:p>
        </w:tc>
        <w:tc>
          <w:tcPr>
            <w:tcW w:w="12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1,176,741</w:t>
            </w:r>
          </w:p>
        </w:tc>
        <w:tc>
          <w:tcPr>
            <w:tcW w:w="80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40.2</w:t>
            </w: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1,161,353</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40.0</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After five years through ten years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980,315</w:t>
            </w:r>
          </w:p>
        </w:tc>
        <w:tc>
          <w:tcPr>
            <w:tcW w:w="8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33.5</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972,565</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33.5</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After ten years</w:t>
            </w:r>
          </w:p>
        </w:tc>
        <w:tc>
          <w:tcPr>
            <w:tcW w:w="12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321,625</w:t>
            </w:r>
          </w:p>
        </w:tc>
        <w:tc>
          <w:tcPr>
            <w:tcW w:w="80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11.0</w:t>
            </w: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322,631</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23</w:t>
            </w:r>
          </w:p>
        </w:tc>
        <w:tc>
          <w:tcPr>
            <w:tcW w:w="8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24</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2,927,113</w:t>
            </w:r>
          </w:p>
        </w:tc>
        <w:tc>
          <w:tcPr>
            <w:tcW w:w="400" w:type="dxa"/>
            <w:vAlign w:val="bottom"/>
            <w:vMerge w:val="continue"/>
          </w:tcPr>
          <w:p>
            <w:pPr>
              <w:spacing w:after="0"/>
              <w:rPr>
                <w:sz w:val="13"/>
                <w:szCs w:val="13"/>
                <w:color w:val="auto"/>
              </w:rPr>
            </w:pPr>
          </w:p>
        </w:tc>
        <w:tc>
          <w:tcPr>
            <w:tcW w:w="800" w:type="dxa"/>
            <w:vAlign w:val="bottom"/>
            <w:gridSpan w:val="2"/>
          </w:tcPr>
          <w:p>
            <w:pPr>
              <w:jc w:val="right"/>
              <w:ind w:right="248"/>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2,901,964</w:t>
            </w:r>
          </w:p>
        </w:tc>
        <w:tc>
          <w:tcPr>
            <w:tcW w:w="400" w:type="dxa"/>
            <w:vAlign w:val="bottom"/>
            <w:vMerge w:val="continue"/>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Subject to call</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402,515</w:t>
            </w:r>
          </w:p>
        </w:tc>
        <w:tc>
          <w:tcPr>
            <w:tcW w:w="8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3"/>
                <w:szCs w:val="13"/>
                <w:color w:val="auto"/>
              </w:rPr>
              <w:t>13.8%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402,635</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520" w:firstLine="399"/>
        <w:spacing w:after="0" w:line="286" w:lineRule="auto"/>
        <w:rPr>
          <w:sz w:val="20"/>
          <w:szCs w:val="20"/>
          <w:color w:val="auto"/>
        </w:rPr>
      </w:pPr>
      <w:r>
        <w:rPr>
          <w:rFonts w:ascii="Times New Roman" w:cs="Times New Roman" w:eastAsia="Times New Roman" w:hAnsi="Times New Roman"/>
          <w:sz w:val="13"/>
          <w:szCs w:val="13"/>
          <w:color w:val="auto"/>
        </w:rPr>
        <w:t>Fixed maturity securities valued at approximately $115.5 million and $109.7 million were on deposit with various governmental authorities at December 31, 2006 and 2005, respectively, as required by law.</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Expected maturities may differ from contractual maturities because certain borrowers have the right to call or prepay obligations with or without call or prepayment penalties.</w:t>
      </w:r>
    </w:p>
    <w:p>
      <w:pPr>
        <w:spacing w:after="0" w:line="96" w:lineRule="exact"/>
        <w:rPr>
          <w:sz w:val="20"/>
          <w:szCs w:val="20"/>
          <w:color w:val="auto"/>
        </w:rPr>
      </w:pPr>
    </w:p>
    <w:p>
      <w:pPr>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Equity securities at December 31, 2006 and 2005 consisted of investments in various industry groups at a cost basis of $216.7 million and $222.5 million, respectively, and fair value of $207.3 million and $210.2 million, respectively. There were no significant investments in banks, trust and insurance companies at December 31, 2006 or 2005.</w:t>
      </w:r>
    </w:p>
    <w:p>
      <w:pPr>
        <w:spacing w:after="0" w:line="47" w:lineRule="exact"/>
        <w:rPr>
          <w:sz w:val="20"/>
          <w:szCs w:val="20"/>
          <w:color w:val="auto"/>
        </w:rPr>
      </w:pPr>
    </w:p>
    <w:p>
      <w:pPr>
        <w:ind w:left="680" w:right="180" w:firstLine="399"/>
        <w:spacing w:after="0" w:line="269" w:lineRule="auto"/>
        <w:rPr>
          <w:sz w:val="20"/>
          <w:szCs w:val="20"/>
          <w:color w:val="auto"/>
        </w:rPr>
      </w:pPr>
      <w:r>
        <w:rPr>
          <w:rFonts w:ascii="Times New Roman" w:cs="Times New Roman" w:eastAsia="Times New Roman" w:hAnsi="Times New Roman"/>
          <w:sz w:val="13"/>
          <w:szCs w:val="13"/>
          <w:color w:val="auto"/>
        </w:rPr>
        <w:t>The carrying value of the Company’s investment in equity securities is fair value. As of December 31, 2006, gross unrealized gains and gross unrealized losses on equity securities were $4.4 million and $13.7 million, respectively. Gross unrealized gains and gross unrealized losses on equity securities were $7.7 million and $20.0 million, respectively, as of December 31, 2005.</w:t>
      </w:r>
    </w:p>
    <w:p>
      <w:pPr>
        <w:spacing w:after="0" w:line="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change in unrealized gains (losses) on equity securities for the years ended December 31, 2006, 2005 and 2004 was $3.0 million, $(19.0) million, and $(6.0) million, respectively.</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Interest and investment income consists of the following:</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7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8"/>
                <w:szCs w:val="8"/>
                <w:color w:val="auto"/>
              </w:rPr>
            </w:pPr>
          </w:p>
        </w:tc>
      </w:tr>
      <w:tr>
        <w:trPr>
          <w:trHeight w:val="133"/>
        </w:trPr>
        <w:tc>
          <w:tcPr>
            <w:tcW w:w="7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36,371</w:t>
            </w:r>
          </w:p>
        </w:tc>
        <w:tc>
          <w:tcPr>
            <w:tcW w:w="50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18,344</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3,262</w:t>
            </w:r>
          </w:p>
        </w:tc>
      </w:tr>
      <w:tr>
        <w:trPr>
          <w:trHeight w:val="157"/>
        </w:trPr>
        <w:tc>
          <w:tcPr>
            <w:tcW w:w="7100" w:type="dxa"/>
            <w:vAlign w:val="bottom"/>
          </w:tcPr>
          <w:p>
            <w:pPr>
              <w:spacing w:after="0"/>
              <w:rPr>
                <w:sz w:val="20"/>
                <w:szCs w:val="20"/>
                <w:color w:val="auto"/>
              </w:rPr>
            </w:pPr>
            <w:r>
              <w:rPr>
                <w:rFonts w:ascii="Times New Roman" w:cs="Times New Roman" w:eastAsia="Times New Roman" w:hAnsi="Times New Roman"/>
                <w:sz w:val="13"/>
                <w:szCs w:val="13"/>
                <w:color w:val="auto"/>
              </w:rPr>
              <w:t>Fixed maturity securities</w:t>
            </w:r>
          </w:p>
        </w:tc>
        <w:tc>
          <w:tcPr>
            <w:tcW w:w="160" w:type="dxa"/>
            <w:vAlign w:val="bottom"/>
          </w:tcPr>
          <w:p>
            <w:pPr>
              <w:spacing w:after="0"/>
              <w:rPr>
                <w:sz w:val="13"/>
                <w:szCs w:val="13"/>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112,523</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86,348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58,960</w:t>
            </w:r>
          </w:p>
        </w:tc>
      </w:tr>
      <w:tr>
        <w:trPr>
          <w:trHeight w:val="15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securities</w:t>
            </w: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8,725</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2,445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474</w:t>
            </w:r>
          </w:p>
        </w:tc>
      </w:tr>
      <w:tr>
        <w:trPr>
          <w:trHeight w:val="157"/>
        </w:trPr>
        <w:tc>
          <w:tcPr>
            <w:tcW w:w="7100" w:type="dxa"/>
            <w:vAlign w:val="bottom"/>
          </w:tcPr>
          <w:p>
            <w:pPr>
              <w:spacing w:after="0"/>
              <w:rPr>
                <w:sz w:val="20"/>
                <w:szCs w:val="20"/>
                <w:color w:val="auto"/>
              </w:rPr>
            </w:pPr>
            <w:r>
              <w:rPr>
                <w:rFonts w:ascii="Times New Roman" w:cs="Times New Roman" w:eastAsia="Times New Roman" w:hAnsi="Times New Roman"/>
                <w:sz w:val="13"/>
                <w:szCs w:val="13"/>
                <w:color w:val="auto"/>
              </w:rPr>
              <w:t>Short-term investments</w:t>
            </w:r>
          </w:p>
        </w:tc>
        <w:tc>
          <w:tcPr>
            <w:tcW w:w="160" w:type="dxa"/>
            <w:vAlign w:val="bottom"/>
          </w:tcPr>
          <w:p>
            <w:pPr>
              <w:spacing w:after="0"/>
              <w:rPr>
                <w:sz w:val="13"/>
                <w:szCs w:val="13"/>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29,141</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37,859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6,735</w:t>
            </w:r>
          </w:p>
        </w:tc>
      </w:tr>
      <w:tr>
        <w:trPr>
          <w:trHeight w:val="15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1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21,549</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1,261</w:t>
            </w:r>
          </w:p>
        </w:tc>
      </w:tr>
      <w:tr>
        <w:trPr>
          <w:trHeight w:val="166"/>
        </w:trPr>
        <w:tc>
          <w:tcPr>
            <w:tcW w:w="7100" w:type="dxa"/>
            <w:vAlign w:val="bottom"/>
          </w:tcPr>
          <w:p>
            <w:pPr>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208,309</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144,966</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70,692</w:t>
            </w:r>
          </w:p>
        </w:tc>
        <w:tc>
          <w:tcPr>
            <w:tcW w:w="100" w:type="dxa"/>
            <w:vAlign w:val="bottom"/>
          </w:tcPr>
          <w:p>
            <w:pPr>
              <w:spacing w:after="0"/>
              <w:rPr>
                <w:sz w:val="14"/>
                <w:szCs w:val="14"/>
                <w:color w:val="auto"/>
              </w:rPr>
            </w:pPr>
          </w:p>
        </w:tc>
      </w:tr>
    </w:tbl>
    <w:p>
      <w:pPr>
        <w:spacing w:after="0" w:line="86" w:lineRule="exact"/>
        <w:rPr>
          <w:sz w:val="20"/>
          <w:szCs w:val="20"/>
          <w:color w:val="auto"/>
        </w:rPr>
      </w:pPr>
    </w:p>
    <w:p>
      <w:pPr>
        <w:ind w:left="680" w:right="180" w:firstLine="399"/>
        <w:spacing w:after="0" w:line="263" w:lineRule="auto"/>
        <w:rPr>
          <w:sz w:val="20"/>
          <w:szCs w:val="20"/>
          <w:color w:val="auto"/>
        </w:rPr>
      </w:pPr>
      <w:r>
        <w:rPr>
          <w:rFonts w:ascii="Times New Roman" w:cs="Times New Roman" w:eastAsia="Times New Roman" w:hAnsi="Times New Roman"/>
          <w:sz w:val="13"/>
          <w:szCs w:val="13"/>
          <w:color w:val="auto"/>
        </w:rPr>
        <w:t>During the second quarter of 2005, the Company began lending fixed maturity and equity securities to financial institutions in short-term security lending transactions. The Company’s security lending policy requires that the cash received as collateral be 102% or more of the fair value of the loaned securities. These short-term security lending arrangements increase investment income with minimal risk. At December 31, 2006 and 2005, the Company had short-term security loans outstanding with values of $305.3 million and $138.7 million, respectively,</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86" w:name="page87"/>
    <w:bookmarkEnd w:id="86"/>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included in accounts payable and accrued liabilities and the Company held cash in the same amounts as collateral for the loaned securities.</w:t>
      </w:r>
    </w:p>
    <w:p>
      <w:pPr>
        <w:spacing w:after="0" w:line="96" w:lineRule="exact"/>
        <w:rPr>
          <w:sz w:val="20"/>
          <w:szCs w:val="20"/>
          <w:color w:val="auto"/>
        </w:rPr>
      </w:pPr>
    </w:p>
    <w:p>
      <w:pPr>
        <w:ind w:left="680" w:right="1260" w:firstLine="399"/>
        <w:spacing w:after="0" w:line="286" w:lineRule="auto"/>
        <w:rPr>
          <w:sz w:val="20"/>
          <w:szCs w:val="20"/>
          <w:color w:val="auto"/>
        </w:rPr>
      </w:pPr>
      <w:r>
        <w:rPr>
          <w:rFonts w:ascii="Times New Roman" w:cs="Times New Roman" w:eastAsia="Times New Roman" w:hAnsi="Times New Roman"/>
          <w:sz w:val="13"/>
          <w:szCs w:val="13"/>
          <w:color w:val="auto"/>
        </w:rPr>
        <w:t>Net realized gains amounted to $18.6 million, $359.3 million, and $37.0 million for the years ended December 31, 2006, 2005 and 2004, respectively. Included in 2005 was a $318.2 million gain on the sale of a minority interest in FIS. Included in 2004 were gains related to the Company’s investment in Covansys warrants of $16.2 million</w:t>
      </w:r>
    </w:p>
    <w:p>
      <w:pPr>
        <w:spacing w:after="0" w:line="47" w:lineRule="exact"/>
        <w:rPr>
          <w:sz w:val="20"/>
          <w:szCs w:val="20"/>
          <w:color w:val="auto"/>
        </w:rPr>
      </w:pPr>
    </w:p>
    <w:p>
      <w:pPr>
        <w:jc w:val="both"/>
        <w:ind w:left="680" w:right="800" w:firstLine="399"/>
        <w:spacing w:after="0" w:line="269" w:lineRule="auto"/>
        <w:rPr>
          <w:sz w:val="20"/>
          <w:szCs w:val="20"/>
          <w:color w:val="auto"/>
        </w:rPr>
      </w:pPr>
      <w:r>
        <w:rPr>
          <w:rFonts w:ascii="Times New Roman" w:cs="Times New Roman" w:eastAsia="Times New Roman" w:hAnsi="Times New Roman"/>
          <w:sz w:val="13"/>
          <w:szCs w:val="13"/>
          <w:color w:val="auto"/>
        </w:rPr>
        <w:t>During the years ended December 31, 2006, 2005 and 2004, gross realized gains on sales of fixed maturity securities considered available for sale were $1.2 million, $4.9 million, and $8.9 million, respectively; gross realized losses were $1.2 million, $1.4 million, and $0.2 million, respectively. Gross proceeds from the sale of fixed maturity securities considered available for sale amounted to $2,476.9 million, $2,539.3 million, and $2,305.8 million during the years ended December 31, 2006, 2005 and 2004, respectively.</w:t>
      </w:r>
    </w:p>
    <w:p>
      <w:pPr>
        <w:spacing w:after="0" w:line="58" w:lineRule="exact"/>
        <w:rPr>
          <w:sz w:val="20"/>
          <w:szCs w:val="20"/>
          <w:color w:val="auto"/>
        </w:rPr>
      </w:pPr>
    </w:p>
    <w:p>
      <w:pPr>
        <w:ind w:left="680" w:right="1080" w:firstLine="399"/>
        <w:spacing w:after="0" w:line="269" w:lineRule="auto"/>
        <w:rPr>
          <w:sz w:val="20"/>
          <w:szCs w:val="20"/>
          <w:color w:val="auto"/>
        </w:rPr>
      </w:pPr>
      <w:r>
        <w:rPr>
          <w:rFonts w:ascii="Times New Roman" w:cs="Times New Roman" w:eastAsia="Times New Roman" w:hAnsi="Times New Roman"/>
          <w:sz w:val="13"/>
          <w:szCs w:val="13"/>
          <w:color w:val="auto"/>
        </w:rPr>
        <w:t>During the years ended December 31, 2006, 2005 and 2004, gross realized gains on sales of equity securities considered available for sale were $49.3 million, $57.1 million, and $65.8 million, respectively; and gross realized losses were $29.4 million, $30.5 million, and $52.3 million, respectively. Gross proceeds from the sale of equity securities amounted to $807.3 million, $648.5 million, and $723.9 million during the years ended December 31, 2006, 2005 and 2004, respectively.</w:t>
      </w:r>
    </w:p>
    <w:p>
      <w:pPr>
        <w:spacing w:after="0" w:line="58" w:lineRule="exact"/>
        <w:rPr>
          <w:sz w:val="20"/>
          <w:szCs w:val="20"/>
          <w:color w:val="auto"/>
        </w:rPr>
      </w:pPr>
    </w:p>
    <w:p>
      <w:pPr>
        <w:ind w:left="680" w:right="860" w:firstLine="399"/>
        <w:spacing w:after="0" w:line="286" w:lineRule="auto"/>
        <w:rPr>
          <w:sz w:val="20"/>
          <w:szCs w:val="20"/>
          <w:color w:val="auto"/>
        </w:rPr>
      </w:pPr>
      <w:r>
        <w:rPr>
          <w:rFonts w:ascii="Times New Roman" w:cs="Times New Roman" w:eastAsia="Times New Roman" w:hAnsi="Times New Roman"/>
          <w:sz w:val="13"/>
          <w:szCs w:val="13"/>
          <w:color w:val="auto"/>
        </w:rPr>
        <w:t>Net unrealized losses on investment securities and the fair value of the related securities, aggregated by investment category and length of time that individual securities have been in a continuous unrealized loss position at December 31, 2006 and 2005 were as follows:</w:t>
      </w:r>
    </w:p>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b w:val="1"/>
          <w:bCs w:val="1"/>
          <w:i w:val="1"/>
          <w:iCs w:val="1"/>
          <w:color w:val="auto"/>
        </w:rPr>
        <w:t>2006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gridSpan w:val="5"/>
          </w:tcPr>
          <w:p>
            <w:pPr>
              <w:jc w:val="right"/>
              <w:ind w:right="822"/>
              <w:spacing w:after="0"/>
              <w:rPr>
                <w:sz w:val="20"/>
                <w:szCs w:val="20"/>
                <w:color w:val="auto"/>
              </w:rPr>
            </w:pPr>
            <w:r>
              <w:rPr>
                <w:rFonts w:ascii="Times New Roman" w:cs="Times New Roman" w:eastAsia="Times New Roman" w:hAnsi="Times New Roman"/>
                <w:sz w:val="10"/>
                <w:szCs w:val="10"/>
                <w:b w:val="1"/>
                <w:bCs w:val="1"/>
                <w:color w:val="auto"/>
              </w:rPr>
              <w:t>Less than 12 Months</w:t>
            </w:r>
          </w:p>
        </w:tc>
        <w:tc>
          <w:tcPr>
            <w:tcW w:w="140" w:type="dxa"/>
            <w:vAlign w:val="bottom"/>
          </w:tcPr>
          <w:p>
            <w:pPr>
              <w:spacing w:after="0"/>
              <w:rPr>
                <w:sz w:val="11"/>
                <w:szCs w:val="11"/>
                <w:color w:val="auto"/>
              </w:rPr>
            </w:pPr>
          </w:p>
        </w:tc>
        <w:tc>
          <w:tcPr>
            <w:tcW w:w="2220" w:type="dxa"/>
            <w:vAlign w:val="bottom"/>
            <w:gridSpan w:val="5"/>
          </w:tcPr>
          <w:p>
            <w:pPr>
              <w:jc w:val="right"/>
              <w:ind w:right="862"/>
              <w:spacing w:after="0"/>
              <w:rPr>
                <w:sz w:val="20"/>
                <w:szCs w:val="20"/>
                <w:color w:val="auto"/>
              </w:rPr>
            </w:pPr>
            <w:r>
              <w:rPr>
                <w:rFonts w:ascii="Times New Roman" w:cs="Times New Roman" w:eastAsia="Times New Roman" w:hAnsi="Times New Roman"/>
                <w:sz w:val="10"/>
                <w:szCs w:val="10"/>
                <w:b w:val="1"/>
                <w:bCs w:val="1"/>
                <w:color w:val="auto"/>
              </w:rPr>
              <w:t>12 Months or Longer</w:t>
            </w:r>
          </w:p>
        </w:tc>
        <w:tc>
          <w:tcPr>
            <w:tcW w:w="140" w:type="dxa"/>
            <w:vAlign w:val="bottom"/>
          </w:tcPr>
          <w:p>
            <w:pPr>
              <w:spacing w:after="0"/>
              <w:rPr>
                <w:sz w:val="11"/>
                <w:szCs w:val="1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680" w:type="dxa"/>
            <w:vAlign w:val="bottom"/>
          </w:tcPr>
          <w:p>
            <w:pPr>
              <w:spacing w:after="0"/>
              <w:rPr>
                <w:sz w:val="6"/>
                <w:szCs w:val="6"/>
                <w:color w:val="auto"/>
              </w:rPr>
            </w:pPr>
          </w:p>
        </w:tc>
        <w:tc>
          <w:tcPr>
            <w:tcW w:w="3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jc w:val="right"/>
              <w:ind w:right="58"/>
              <w:spacing w:after="0" w:line="79" w:lineRule="exact"/>
              <w:rPr>
                <w:sz w:val="20"/>
                <w:szCs w:val="20"/>
                <w:color w:val="auto"/>
              </w:rPr>
            </w:pPr>
            <w:r>
              <w:rPr>
                <w:rFonts w:ascii="Times New Roman" w:cs="Times New Roman" w:eastAsia="Times New Roman" w:hAnsi="Times New Roman"/>
                <w:sz w:val="9"/>
                <w:szCs w:val="9"/>
                <w:b w:val="1"/>
                <w:bCs w:val="1"/>
                <w:color w:val="auto"/>
              </w:rPr>
              <w:t>Unrealized</w:t>
            </w:r>
          </w:p>
        </w:tc>
        <w:tc>
          <w:tcPr>
            <w:tcW w:w="4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jc w:val="right"/>
              <w:ind w:right="38"/>
              <w:spacing w:after="0" w:line="79" w:lineRule="exact"/>
              <w:rPr>
                <w:sz w:val="20"/>
                <w:szCs w:val="20"/>
                <w:color w:val="auto"/>
              </w:rPr>
            </w:pPr>
            <w:r>
              <w:rPr>
                <w:rFonts w:ascii="Times New Roman" w:cs="Times New Roman" w:eastAsia="Times New Roman" w:hAnsi="Times New Roman"/>
                <w:sz w:val="9"/>
                <w:szCs w:val="9"/>
                <w:b w:val="1"/>
                <w:bCs w:val="1"/>
                <w:color w:val="auto"/>
              </w:rPr>
              <w:t>Unrealized</w:t>
            </w:r>
          </w:p>
        </w:tc>
        <w:tc>
          <w:tcPr>
            <w:tcW w:w="3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gridSpan w:val="2"/>
            <w:vMerge w:val="restart"/>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jc w:val="right"/>
              <w:ind w:right="38"/>
              <w:spacing w:after="0" w:line="79" w:lineRule="exact"/>
              <w:rPr>
                <w:sz w:val="20"/>
                <w:szCs w:val="20"/>
                <w:color w:val="auto"/>
              </w:rPr>
            </w:pPr>
            <w:r>
              <w:rPr>
                <w:rFonts w:ascii="Times New Roman" w:cs="Times New Roman" w:eastAsia="Times New Roman" w:hAnsi="Times New Roman"/>
                <w:sz w:val="9"/>
                <w:szCs w:val="9"/>
                <w:b w:val="1"/>
                <w:bCs w:val="1"/>
                <w:color w:val="auto"/>
              </w:rPr>
              <w:t>Unrealized</w:t>
            </w: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542"/>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34"/>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 government and agencies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29,400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3"/>
                <w:szCs w:val="13"/>
                <w:color w:val="auto"/>
              </w:rPr>
              <w:t>(178)</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798,510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3"/>
                <w:szCs w:val="13"/>
                <w:color w:val="auto"/>
              </w:rPr>
              <w:t>(12,978)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827,910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States and political subdivisions</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167,192</w:t>
            </w:r>
          </w:p>
        </w:tc>
        <w:tc>
          <w:tcPr>
            <w:tcW w:w="100" w:type="dxa"/>
            <w:vAlign w:val="bottom"/>
          </w:tcPr>
          <w:p>
            <w:pPr>
              <w:spacing w:after="0"/>
              <w:rPr>
                <w:sz w:val="13"/>
                <w:szCs w:val="13"/>
                <w:color w:val="auto"/>
              </w:rPr>
            </w:pPr>
          </w:p>
        </w:tc>
        <w:tc>
          <w:tcPr>
            <w:tcW w:w="1020" w:type="dxa"/>
            <w:vAlign w:val="bottom"/>
            <w:gridSpan w:val="2"/>
          </w:tcPr>
          <w:p>
            <w:pPr>
              <w:jc w:val="right"/>
              <w:ind w:right="322"/>
              <w:spacing w:after="0"/>
              <w:rPr>
                <w:sz w:val="20"/>
                <w:szCs w:val="20"/>
                <w:color w:val="auto"/>
              </w:rPr>
            </w:pPr>
            <w:r>
              <w:rPr>
                <w:rFonts w:ascii="Times New Roman" w:cs="Times New Roman" w:eastAsia="Times New Roman" w:hAnsi="Times New Roman"/>
                <w:sz w:val="13"/>
                <w:szCs w:val="13"/>
                <w:color w:val="auto"/>
              </w:rPr>
              <w:t>(786)</w:t>
            </w:r>
          </w:p>
        </w:tc>
        <w:tc>
          <w:tcPr>
            <w:tcW w:w="140" w:type="dxa"/>
            <w:vAlign w:val="bottom"/>
          </w:tcPr>
          <w:p>
            <w:pPr>
              <w:spacing w:after="0"/>
              <w:rPr>
                <w:sz w:val="13"/>
                <w:szCs w:val="13"/>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715,813</w:t>
            </w:r>
          </w:p>
        </w:tc>
        <w:tc>
          <w:tcPr>
            <w:tcW w:w="100" w:type="dxa"/>
            <w:vAlign w:val="bottom"/>
          </w:tcPr>
          <w:p>
            <w:pPr>
              <w:spacing w:after="0"/>
              <w:rPr>
                <w:sz w:val="13"/>
                <w:szCs w:val="13"/>
                <w:color w:val="auto"/>
              </w:rPr>
            </w:pPr>
          </w:p>
        </w:tc>
        <w:tc>
          <w:tcPr>
            <w:tcW w:w="980" w:type="dxa"/>
            <w:vAlign w:val="bottom"/>
            <w:gridSpan w:val="2"/>
          </w:tcPr>
          <w:p>
            <w:pPr>
              <w:jc w:val="right"/>
              <w:ind w:right="302"/>
              <w:spacing w:after="0"/>
              <w:rPr>
                <w:sz w:val="20"/>
                <w:szCs w:val="20"/>
                <w:color w:val="auto"/>
              </w:rPr>
            </w:pPr>
            <w:r>
              <w:rPr>
                <w:rFonts w:ascii="Times New Roman" w:cs="Times New Roman" w:eastAsia="Times New Roman" w:hAnsi="Times New Roman"/>
                <w:sz w:val="13"/>
                <w:szCs w:val="13"/>
                <w:color w:val="auto"/>
              </w:rPr>
              <w:t>(9,879)</w:t>
            </w: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883,005</w:t>
            </w:r>
          </w:p>
        </w:tc>
        <w:tc>
          <w:tcPr>
            <w:tcW w:w="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(10,665)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debt securities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148,152</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3"/>
                <w:szCs w:val="13"/>
                <w:color w:val="auto"/>
              </w:rPr>
              <w:t>(868)</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442,080</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3"/>
                <w:szCs w:val="13"/>
                <w:color w:val="auto"/>
              </w:rPr>
              <w:t>(11,695)</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590,232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Foreign securities</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6,341</w:t>
            </w:r>
          </w:p>
        </w:tc>
        <w:tc>
          <w:tcPr>
            <w:tcW w:w="100" w:type="dxa"/>
            <w:vAlign w:val="bottom"/>
          </w:tcPr>
          <w:p>
            <w:pPr>
              <w:spacing w:after="0"/>
              <w:rPr>
                <w:sz w:val="13"/>
                <w:szCs w:val="13"/>
                <w:color w:val="auto"/>
              </w:rPr>
            </w:pPr>
          </w:p>
        </w:tc>
        <w:tc>
          <w:tcPr>
            <w:tcW w:w="1020" w:type="dxa"/>
            <w:vAlign w:val="bottom"/>
            <w:gridSpan w:val="2"/>
          </w:tcPr>
          <w:p>
            <w:pPr>
              <w:jc w:val="right"/>
              <w:ind w:right="322"/>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tcPr>
          <w:p>
            <w:pPr>
              <w:spacing w:after="0"/>
              <w:rPr>
                <w:sz w:val="13"/>
                <w:szCs w:val="13"/>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23,564</w:t>
            </w:r>
          </w:p>
        </w:tc>
        <w:tc>
          <w:tcPr>
            <w:tcW w:w="100" w:type="dxa"/>
            <w:vAlign w:val="bottom"/>
          </w:tcPr>
          <w:p>
            <w:pPr>
              <w:spacing w:after="0"/>
              <w:rPr>
                <w:sz w:val="13"/>
                <w:szCs w:val="13"/>
                <w:color w:val="auto"/>
              </w:rPr>
            </w:pPr>
          </w:p>
        </w:tc>
        <w:tc>
          <w:tcPr>
            <w:tcW w:w="980" w:type="dxa"/>
            <w:vAlign w:val="bottom"/>
            <w:gridSpan w:val="2"/>
          </w:tcPr>
          <w:p>
            <w:pPr>
              <w:jc w:val="right"/>
              <w:ind w:right="302"/>
              <w:spacing w:after="0"/>
              <w:rPr>
                <w:sz w:val="20"/>
                <w:szCs w:val="20"/>
                <w:color w:val="auto"/>
              </w:rPr>
            </w:pPr>
            <w:r>
              <w:rPr>
                <w:rFonts w:ascii="Times New Roman" w:cs="Times New Roman" w:eastAsia="Times New Roman" w:hAnsi="Times New Roman"/>
                <w:sz w:val="13"/>
                <w:szCs w:val="13"/>
                <w:color w:val="auto"/>
              </w:rPr>
              <w:t>(323)</w:t>
            </w: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29,905</w:t>
            </w:r>
          </w:p>
        </w:tc>
        <w:tc>
          <w:tcPr>
            <w:tcW w:w="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securities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146,464</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3"/>
                <w:szCs w:val="13"/>
                <w:color w:val="auto"/>
              </w:rPr>
              <w:t>(12,657)</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12,521</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3"/>
                <w:szCs w:val="13"/>
                <w:color w:val="auto"/>
              </w:rPr>
              <w:t>(1,091)</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158,985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temporarily impaired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497,549</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(14,500</w:t>
            </w:r>
          </w:p>
        </w:tc>
        <w:tc>
          <w:tcPr>
            <w:tcW w:w="400" w:type="dxa"/>
            <w:vAlign w:val="bottom"/>
          </w:tcPr>
          <w:p>
            <w:pPr>
              <w:jc w:val="right"/>
              <w:ind w:right="32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1,992,488</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(35,966</w:t>
            </w:r>
          </w:p>
        </w:tc>
        <w:tc>
          <w:tcPr>
            <w:tcW w:w="380" w:type="dxa"/>
            <w:vAlign w:val="bottom"/>
          </w:tcPr>
          <w:p>
            <w:pPr>
              <w:jc w:val="right"/>
              <w:ind w:right="30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2,490,037</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(50,466</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84</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87" w:name="page88"/>
    <w:bookmarkEnd w:id="87"/>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b w:val="1"/>
          <w:bCs w:val="1"/>
          <w:i w:val="1"/>
          <w:iCs w:val="1"/>
          <w:color w:val="auto"/>
        </w:rPr>
        <w:t>2005</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3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80" w:type="dxa"/>
            <w:vAlign w:val="bottom"/>
            <w:gridSpan w:val="6"/>
          </w:tcPr>
          <w:p>
            <w:pPr>
              <w:jc w:val="right"/>
              <w:ind w:right="902"/>
              <w:spacing w:after="0"/>
              <w:rPr>
                <w:sz w:val="20"/>
                <w:szCs w:val="20"/>
                <w:color w:val="auto"/>
              </w:rPr>
            </w:pPr>
            <w:r>
              <w:rPr>
                <w:rFonts w:ascii="Times New Roman" w:cs="Times New Roman" w:eastAsia="Times New Roman" w:hAnsi="Times New Roman"/>
                <w:sz w:val="10"/>
                <w:szCs w:val="10"/>
                <w:b w:val="1"/>
                <w:bCs w:val="1"/>
                <w:color w:val="auto"/>
              </w:rPr>
              <w:t>Less than 12 Months</w:t>
            </w:r>
          </w:p>
        </w:tc>
        <w:tc>
          <w:tcPr>
            <w:tcW w:w="100" w:type="dxa"/>
            <w:vAlign w:val="bottom"/>
          </w:tcPr>
          <w:p>
            <w:pPr>
              <w:spacing w:after="0"/>
              <w:rPr>
                <w:sz w:val="11"/>
                <w:szCs w:val="11"/>
                <w:color w:val="auto"/>
              </w:rPr>
            </w:pPr>
          </w:p>
        </w:tc>
        <w:tc>
          <w:tcPr>
            <w:tcW w:w="2060" w:type="dxa"/>
            <w:vAlign w:val="bottom"/>
            <w:gridSpan w:val="5"/>
          </w:tcPr>
          <w:p>
            <w:pPr>
              <w:jc w:val="right"/>
              <w:ind w:right="762"/>
              <w:spacing w:after="0"/>
              <w:rPr>
                <w:sz w:val="20"/>
                <w:szCs w:val="20"/>
                <w:color w:val="auto"/>
              </w:rPr>
            </w:pPr>
            <w:r>
              <w:rPr>
                <w:rFonts w:ascii="Times New Roman" w:cs="Times New Roman" w:eastAsia="Times New Roman" w:hAnsi="Times New Roman"/>
                <w:sz w:val="10"/>
                <w:szCs w:val="10"/>
                <w:b w:val="1"/>
                <w:bCs w:val="1"/>
                <w:color w:val="auto"/>
              </w:rPr>
              <w:t>12 Months or Longer</w:t>
            </w:r>
          </w:p>
        </w:tc>
        <w:tc>
          <w:tcPr>
            <w:tcW w:w="140" w:type="dxa"/>
            <w:vAlign w:val="bottom"/>
          </w:tcPr>
          <w:p>
            <w:pPr>
              <w:spacing w:after="0"/>
              <w:rPr>
                <w:sz w:val="11"/>
                <w:szCs w:val="1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3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jc w:val="right"/>
              <w:ind w:right="38"/>
              <w:spacing w:after="0" w:line="79" w:lineRule="exact"/>
              <w:rPr>
                <w:sz w:val="20"/>
                <w:szCs w:val="20"/>
                <w:color w:val="auto"/>
              </w:rPr>
            </w:pPr>
            <w:r>
              <w:rPr>
                <w:rFonts w:ascii="Times New Roman" w:cs="Times New Roman" w:eastAsia="Times New Roman" w:hAnsi="Times New Roman"/>
                <w:sz w:val="9"/>
                <w:szCs w:val="9"/>
                <w:b w:val="1"/>
                <w:bCs w:val="1"/>
                <w:color w:val="auto"/>
              </w:rPr>
              <w:t>Unrealized</w:t>
            </w: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jc w:val="right"/>
              <w:ind w:right="38"/>
              <w:spacing w:after="0" w:line="79" w:lineRule="exact"/>
              <w:rPr>
                <w:sz w:val="20"/>
                <w:szCs w:val="20"/>
                <w:color w:val="auto"/>
              </w:rPr>
            </w:pPr>
            <w:r>
              <w:rPr>
                <w:rFonts w:ascii="Times New Roman" w:cs="Times New Roman" w:eastAsia="Times New Roman" w:hAnsi="Times New Roman"/>
                <w:sz w:val="9"/>
                <w:szCs w:val="9"/>
                <w:b w:val="1"/>
                <w:bCs w:val="1"/>
                <w:color w:val="auto"/>
              </w:rPr>
              <w:t>Unrealized</w:t>
            </w:r>
          </w:p>
        </w:tc>
        <w:tc>
          <w:tcPr>
            <w:tcW w:w="3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gridSpan w:val="2"/>
            <w:vMerge w:val="restart"/>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jc w:val="right"/>
              <w:ind w:right="38"/>
              <w:spacing w:after="0" w:line="79" w:lineRule="exact"/>
              <w:rPr>
                <w:sz w:val="20"/>
                <w:szCs w:val="20"/>
                <w:color w:val="auto"/>
              </w:rPr>
            </w:pPr>
            <w:r>
              <w:rPr>
                <w:rFonts w:ascii="Times New Roman" w:cs="Times New Roman" w:eastAsia="Times New Roman" w:hAnsi="Times New Roman"/>
                <w:sz w:val="9"/>
                <w:szCs w:val="9"/>
                <w:b w:val="1"/>
                <w:bCs w:val="1"/>
                <w:color w:val="auto"/>
              </w:rPr>
              <w:t>Unrealized</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542"/>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34"/>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0" w:type="dxa"/>
            <w:vAlign w:val="bottom"/>
          </w:tcPr>
          <w:p>
            <w:pPr>
              <w:spacing w:after="0"/>
              <w:rPr>
                <w:sz w:val="1"/>
                <w:szCs w:val="1"/>
                <w:color w:val="auto"/>
              </w:rPr>
            </w:pPr>
          </w:p>
        </w:tc>
      </w:tr>
      <w:tr>
        <w:trPr>
          <w:trHeight w:val="29"/>
        </w:trPr>
        <w:tc>
          <w:tcPr>
            <w:tcW w:w="33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 government and agencies</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408,001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3"/>
                <w:szCs w:val="13"/>
                <w:color w:val="auto"/>
              </w:rPr>
              <w:t>(7,759)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528,054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3"/>
                <w:szCs w:val="13"/>
                <w:color w:val="auto"/>
              </w:rPr>
              <w:t>(10,547)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936,055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(18,306)</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States and political subdivisions</w:t>
            </w:r>
          </w:p>
        </w:tc>
        <w:tc>
          <w:tcPr>
            <w:tcW w:w="16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666,472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322"/>
              <w:spacing w:after="0"/>
              <w:rPr>
                <w:sz w:val="20"/>
                <w:szCs w:val="20"/>
                <w:color w:val="auto"/>
              </w:rPr>
            </w:pPr>
            <w:r>
              <w:rPr>
                <w:rFonts w:ascii="Times New Roman" w:cs="Times New Roman" w:eastAsia="Times New Roman" w:hAnsi="Times New Roman"/>
                <w:sz w:val="13"/>
                <w:szCs w:val="13"/>
                <w:color w:val="auto"/>
              </w:rPr>
              <w:t>(7,758)</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181,420</w:t>
            </w:r>
          </w:p>
        </w:tc>
        <w:tc>
          <w:tcPr>
            <w:tcW w:w="100" w:type="dxa"/>
            <w:vAlign w:val="bottom"/>
          </w:tcPr>
          <w:p>
            <w:pPr>
              <w:spacing w:after="0"/>
              <w:rPr>
                <w:sz w:val="13"/>
                <w:szCs w:val="13"/>
                <w:color w:val="auto"/>
              </w:rPr>
            </w:pPr>
          </w:p>
        </w:tc>
        <w:tc>
          <w:tcPr>
            <w:tcW w:w="980" w:type="dxa"/>
            <w:vAlign w:val="bottom"/>
            <w:gridSpan w:val="2"/>
          </w:tcPr>
          <w:p>
            <w:pPr>
              <w:jc w:val="right"/>
              <w:ind w:right="302"/>
              <w:spacing w:after="0"/>
              <w:rPr>
                <w:sz w:val="20"/>
                <w:szCs w:val="20"/>
                <w:color w:val="auto"/>
              </w:rPr>
            </w:pPr>
            <w:r>
              <w:rPr>
                <w:rFonts w:ascii="Times New Roman" w:cs="Times New Roman" w:eastAsia="Times New Roman" w:hAnsi="Times New Roman"/>
                <w:sz w:val="13"/>
                <w:szCs w:val="13"/>
                <w:color w:val="auto"/>
              </w:rPr>
              <w:t>(4,283)</w:t>
            </w: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847,892</w:t>
            </w:r>
          </w:p>
        </w:tc>
        <w:tc>
          <w:tcPr>
            <w:tcW w:w="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(12,041)</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debt securities</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340,239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3"/>
                <w:szCs w:val="13"/>
                <w:color w:val="auto"/>
              </w:rPr>
              <w:t>(7,300)</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258,694</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3"/>
                <w:szCs w:val="13"/>
                <w:color w:val="auto"/>
              </w:rPr>
              <w:t>(6,131)</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598,933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(13,431)</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Foreign securities</w:t>
            </w:r>
          </w:p>
        </w:tc>
        <w:tc>
          <w:tcPr>
            <w:tcW w:w="16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24,686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322"/>
              <w:spacing w:after="0"/>
              <w:rPr>
                <w:sz w:val="20"/>
                <w:szCs w:val="20"/>
                <w:color w:val="auto"/>
              </w:rPr>
            </w:pPr>
            <w:r>
              <w:rPr>
                <w:rFonts w:ascii="Times New Roman" w:cs="Times New Roman" w:eastAsia="Times New Roman" w:hAnsi="Times New Roman"/>
                <w:sz w:val="13"/>
                <w:szCs w:val="13"/>
                <w:color w:val="auto"/>
              </w:rPr>
              <w:t>(336)</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342"/>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24,686</w:t>
            </w:r>
          </w:p>
        </w:tc>
        <w:tc>
          <w:tcPr>
            <w:tcW w:w="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securities</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102,016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3"/>
                <w:szCs w:val="13"/>
                <w:color w:val="auto"/>
              </w:rPr>
              <w:t>(19,232)</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7,307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3"/>
                <w:szCs w:val="13"/>
                <w:color w:val="auto"/>
              </w:rPr>
              <w:t>(803)</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109,323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(20,035)</w:t>
            </w:r>
          </w:p>
        </w:tc>
        <w:tc>
          <w:tcPr>
            <w:tcW w:w="0" w:type="dxa"/>
            <w:vAlign w:val="bottom"/>
          </w:tcPr>
          <w:p>
            <w:pPr>
              <w:spacing w:after="0"/>
              <w:rPr>
                <w:sz w:val="1"/>
                <w:szCs w:val="1"/>
                <w:color w:val="auto"/>
              </w:rPr>
            </w:pPr>
          </w:p>
        </w:tc>
      </w:tr>
      <w:tr>
        <w:trPr>
          <w:trHeight w:val="166"/>
        </w:trPr>
        <w:tc>
          <w:tcPr>
            <w:tcW w:w="3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temporarily impaired securities</w:t>
            </w: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1,541,414</w:t>
            </w:r>
          </w:p>
        </w:tc>
        <w:tc>
          <w:tcPr>
            <w:tcW w:w="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(42,385</w:t>
            </w:r>
          </w:p>
        </w:tc>
        <w:tc>
          <w:tcPr>
            <w:tcW w:w="400" w:type="dxa"/>
            <w:vAlign w:val="bottom"/>
          </w:tcPr>
          <w:p>
            <w:pPr>
              <w:jc w:val="right"/>
              <w:ind w:right="3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975,475</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(21,764</w:t>
            </w:r>
          </w:p>
        </w:tc>
        <w:tc>
          <w:tcPr>
            <w:tcW w:w="380" w:type="dxa"/>
            <w:vAlign w:val="bottom"/>
          </w:tcPr>
          <w:p>
            <w:pPr>
              <w:jc w:val="right"/>
              <w:ind w:right="30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2,516,889</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(64,149</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80" w:right="100" w:firstLine="399"/>
        <w:spacing w:after="0" w:line="261" w:lineRule="auto"/>
        <w:rPr>
          <w:sz w:val="20"/>
          <w:szCs w:val="20"/>
          <w:color w:val="auto"/>
        </w:rPr>
      </w:pPr>
      <w:r>
        <w:rPr>
          <w:rFonts w:ascii="Times New Roman" w:cs="Times New Roman" w:eastAsia="Times New Roman" w:hAnsi="Times New Roman"/>
          <w:sz w:val="13"/>
          <w:szCs w:val="13"/>
          <w:color w:val="auto"/>
        </w:rPr>
        <w:t>A substantial portion of the Company’s unrealized losses greater than twelve months relate to its holdings of debt securities. Unrealized losses relating to U.S. government, state and political subdivision and fixed maturity corporate holdings were primarily caused by interest rate increases. Since the decline in fair value of these investments is attributable to changes in interest rates and not credit quality, and the Company has the intent and ability to hold these securities, the Company does not consider these investments other-than-temporarily impaired. The unrealized losses relating to equity securities were caused by market changes that the Company considers to be temporary. During 2006 and 2005, the Company incurred impairment charges relating to investments that it determined to be other than temporarily impaired, which resulted in charges of $9.1 million and $8.3 million, respectively.</w:t>
      </w:r>
    </w:p>
    <w:p>
      <w:pPr>
        <w:spacing w:after="0" w:line="139" w:lineRule="exact"/>
        <w:rPr>
          <w:sz w:val="20"/>
          <w:szCs w:val="20"/>
          <w:color w:val="auto"/>
        </w:rPr>
      </w:pPr>
    </w:p>
    <w:p>
      <w:pPr>
        <w:ind w:left="1080" w:hanging="393"/>
        <w:spacing w:after="0"/>
        <w:tabs>
          <w:tab w:leader="none" w:pos="1080" w:val="left"/>
        </w:tabs>
        <w:numPr>
          <w:ilvl w:val="0"/>
          <w:numId w:val="3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Property and Equipment</w:t>
      </w:r>
    </w:p>
    <w:p>
      <w:pPr>
        <w:spacing w:after="0" w:line="98" w:lineRule="exact"/>
        <w:rPr>
          <w:rFonts w:ascii="Times New Roman" w:cs="Times New Roman" w:eastAsia="Times New Roman" w:hAnsi="Times New Roman"/>
          <w:sz w:val="13"/>
          <w:szCs w:val="13"/>
          <w:b w:val="1"/>
          <w:bCs w:val="1"/>
          <w:color w:val="auto"/>
        </w:rPr>
      </w:pPr>
    </w:p>
    <w:p>
      <w:pPr>
        <w:ind w:left="108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Property and equipment consists of the following:</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9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79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8"/>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3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16"/>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8"/>
                <w:szCs w:val="8"/>
                <w:color w:val="auto"/>
              </w:rPr>
            </w:pPr>
          </w:p>
        </w:tc>
      </w:tr>
      <w:tr>
        <w:trPr>
          <w:trHeight w:val="133"/>
        </w:trPr>
        <w:tc>
          <w:tcPr>
            <w:tcW w:w="7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(Dollars</w:t>
            </w:r>
          </w:p>
        </w:tc>
        <w:tc>
          <w:tcPr>
            <w:tcW w:w="1180" w:type="dxa"/>
            <w:vAlign w:val="bottom"/>
            <w:gridSpan w:val="3"/>
          </w:tcPr>
          <w:p>
            <w:pPr>
              <w:jc w:val="right"/>
              <w:ind w:right="436"/>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0" w:type="dxa"/>
            <w:vAlign w:val="bottom"/>
          </w:tcPr>
          <w:p>
            <w:pPr>
              <w:spacing w:after="0"/>
              <w:rPr>
                <w:sz w:val="11"/>
                <w:szCs w:val="11"/>
                <w:color w:val="auto"/>
              </w:rPr>
            </w:pPr>
          </w:p>
        </w:tc>
      </w:tr>
      <w:tr>
        <w:trPr>
          <w:trHeight w:val="161"/>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Land</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3"/>
                <w:szCs w:val="13"/>
                <w:color w:val="auto"/>
              </w:rPr>
              <w:t>90,711</w:t>
            </w: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11,465</w:t>
            </w:r>
          </w:p>
        </w:tc>
      </w:tr>
      <w:tr>
        <w:trPr>
          <w:trHeight w:val="157"/>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Buildings</w:t>
            </w:r>
          </w:p>
        </w:tc>
        <w:tc>
          <w:tcPr>
            <w:tcW w:w="180" w:type="dxa"/>
            <w:vAlign w:val="bottom"/>
          </w:tcPr>
          <w:p>
            <w:pPr>
              <w:spacing w:after="0"/>
              <w:rPr>
                <w:sz w:val="13"/>
                <w:szCs w:val="13"/>
                <w:color w:val="auto"/>
              </w:rPr>
            </w:pPr>
          </w:p>
        </w:tc>
        <w:tc>
          <w:tcPr>
            <w:tcW w:w="1000" w:type="dxa"/>
            <w:vAlign w:val="bottom"/>
            <w:gridSpan w:val="2"/>
          </w:tcPr>
          <w:p>
            <w:pPr>
              <w:jc w:val="right"/>
              <w:ind w:right="328"/>
              <w:spacing w:after="0"/>
              <w:rPr>
                <w:sz w:val="20"/>
                <w:szCs w:val="20"/>
                <w:color w:val="auto"/>
              </w:rPr>
            </w:pPr>
            <w:r>
              <w:rPr>
                <w:rFonts w:ascii="Times New Roman" w:cs="Times New Roman" w:eastAsia="Times New Roman" w:hAnsi="Times New Roman"/>
                <w:sz w:val="13"/>
                <w:szCs w:val="13"/>
                <w:color w:val="auto"/>
              </w:rPr>
              <w:t>40,821</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110,006</w:t>
            </w:r>
          </w:p>
        </w:tc>
      </w:tr>
      <w:tr>
        <w:trPr>
          <w:trHeight w:val="15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Leasehold improvements</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3"/>
                <w:szCs w:val="13"/>
                <w:color w:val="auto"/>
              </w:rPr>
              <w:t>75,650</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101,325</w:t>
            </w:r>
          </w:p>
        </w:tc>
      </w:tr>
      <w:tr>
        <w:trPr>
          <w:trHeight w:val="157"/>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Furniture, fixtures and equipment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408,115</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643,371</w:t>
            </w:r>
          </w:p>
        </w:tc>
      </w:tr>
      <w:tr>
        <w:trPr>
          <w:trHeight w:val="20"/>
        </w:trPr>
        <w:tc>
          <w:tcPr>
            <w:tcW w:w="7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615,297</w:t>
            </w: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866,167</w:t>
            </w: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Accumulated depreciation and amortization</w:t>
            </w:r>
          </w:p>
        </w:tc>
        <w:tc>
          <w:tcPr>
            <w:tcW w:w="180" w:type="dxa"/>
            <w:vAlign w:val="bottom"/>
          </w:tcPr>
          <w:p>
            <w:pPr>
              <w:spacing w:after="0"/>
              <w:rPr>
                <w:sz w:val="13"/>
                <w:szCs w:val="13"/>
                <w:color w:val="auto"/>
              </w:rPr>
            </w:pPr>
          </w:p>
        </w:tc>
        <w:tc>
          <w:tcPr>
            <w:tcW w:w="1000" w:type="dxa"/>
            <w:vAlign w:val="bottom"/>
            <w:gridSpan w:val="2"/>
          </w:tcPr>
          <w:p>
            <w:pPr>
              <w:jc w:val="right"/>
              <w:ind w:right="288"/>
              <w:spacing w:after="0"/>
              <w:rPr>
                <w:sz w:val="20"/>
                <w:szCs w:val="20"/>
                <w:color w:val="auto"/>
              </w:rPr>
            </w:pPr>
            <w:r>
              <w:rPr>
                <w:rFonts w:ascii="Times New Roman" w:cs="Times New Roman" w:eastAsia="Times New Roman" w:hAnsi="Times New Roman"/>
                <w:sz w:val="13"/>
                <w:szCs w:val="13"/>
                <w:color w:val="auto"/>
              </w:rPr>
              <w:t>(360,947)</w:t>
            </w:r>
          </w:p>
        </w:tc>
        <w:tc>
          <w:tcPr>
            <w:tcW w:w="2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(491,015)</w:t>
            </w:r>
          </w:p>
        </w:tc>
      </w:tr>
      <w:tr>
        <w:trPr>
          <w:trHeight w:val="20"/>
        </w:trPr>
        <w:tc>
          <w:tcPr>
            <w:tcW w:w="7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254,350</w:t>
            </w: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375,152</w:t>
            </w:r>
          </w:p>
        </w:tc>
      </w:tr>
      <w:tr>
        <w:trPr>
          <w:trHeight w:val="29"/>
        </w:trPr>
        <w:tc>
          <w:tcPr>
            <w:tcW w:w="7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jc w:val="both"/>
        <w:ind w:left="680" w:right="100" w:firstLine="399"/>
        <w:spacing w:after="0" w:line="269" w:lineRule="auto"/>
        <w:rPr>
          <w:sz w:val="20"/>
          <w:szCs w:val="20"/>
          <w:color w:val="auto"/>
        </w:rPr>
      </w:pPr>
      <w:r>
        <w:rPr>
          <w:rFonts w:ascii="Times New Roman" w:cs="Times New Roman" w:eastAsia="Times New Roman" w:hAnsi="Times New Roman"/>
          <w:sz w:val="13"/>
          <w:szCs w:val="13"/>
          <w:color w:val="auto"/>
        </w:rPr>
        <w:t>Property and equipment at December 31, 2006 does not include any property and equipment of FIS. Property and equipment at December 31, 2005 includes property and equipment of FIS of $215.0 million, net of accumulated depreciation, which is made up of $9.2 million of land, $99.2 million of buildings, $36.4 million of leasehold improvements, $278.1 million of furniture, fixtures, and equipment, and $(207.8) million in accumulated depreciation. See “Old FNF Asset Contribution and Stock Distribution” in Note A.</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88" w:name="page89"/>
    <w:bookmarkEnd w:id="88"/>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75" w:lineRule="exact"/>
        <w:rPr>
          <w:sz w:val="20"/>
          <w:szCs w:val="20"/>
          <w:color w:val="auto"/>
        </w:rPr>
      </w:pPr>
    </w:p>
    <w:p>
      <w:pPr>
        <w:ind w:left="1080" w:hanging="393"/>
        <w:spacing w:after="0"/>
        <w:tabs>
          <w:tab w:leader="none" w:pos="1080" w:val="left"/>
        </w:tabs>
        <w:numPr>
          <w:ilvl w:val="0"/>
          <w:numId w:val="3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Goodwill</w:t>
      </w:r>
    </w:p>
    <w:p>
      <w:pPr>
        <w:spacing w:after="0" w:line="98" w:lineRule="exact"/>
        <w:rPr>
          <w:rFonts w:ascii="Times New Roman" w:cs="Times New Roman" w:eastAsia="Times New Roman" w:hAnsi="Times New Roman"/>
          <w:sz w:val="13"/>
          <w:szCs w:val="13"/>
          <w:b w:val="1"/>
          <w:bCs w:val="1"/>
          <w:color w:val="auto"/>
        </w:rPr>
      </w:pPr>
    </w:p>
    <w:p>
      <w:pPr>
        <w:ind w:left="108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Goodwill consists of the following:</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Fidelity National</w:t>
            </w:r>
          </w:p>
        </w:tc>
        <w:tc>
          <w:tcPr>
            <w:tcW w:w="180" w:type="dxa"/>
            <w:vAlign w:val="bottom"/>
          </w:tcPr>
          <w:p>
            <w:pPr>
              <w:spacing w:after="0"/>
              <w:rPr>
                <w:sz w:val="10"/>
                <w:szCs w:val="10"/>
                <w:color w:val="auto"/>
              </w:rPr>
            </w:pPr>
          </w:p>
        </w:tc>
        <w:tc>
          <w:tcPr>
            <w:tcW w:w="1520" w:type="dxa"/>
            <w:vAlign w:val="bottom"/>
            <w:gridSpan w:val="2"/>
          </w:tcPr>
          <w:p>
            <w:pPr>
              <w:jc w:val="center"/>
              <w:ind w:right="560"/>
              <w:spacing w:after="0"/>
              <w:rPr>
                <w:sz w:val="20"/>
                <w:szCs w:val="20"/>
                <w:color w:val="auto"/>
              </w:rPr>
            </w:pPr>
            <w:r>
              <w:rPr>
                <w:rFonts w:ascii="Times New Roman" w:cs="Times New Roman" w:eastAsia="Times New Roman" w:hAnsi="Times New Roman"/>
                <w:sz w:val="10"/>
                <w:szCs w:val="10"/>
                <w:b w:val="1"/>
                <w:bCs w:val="1"/>
                <w:color w:val="auto"/>
              </w:rPr>
              <w:t>Fidelity National</w:t>
            </w:r>
          </w:p>
        </w:tc>
        <w:tc>
          <w:tcPr>
            <w:tcW w:w="100" w:type="dxa"/>
            <w:vAlign w:val="bottom"/>
          </w:tcPr>
          <w:p>
            <w:pPr>
              <w:spacing w:after="0"/>
              <w:rPr>
                <w:sz w:val="10"/>
                <w:szCs w:val="10"/>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Specialty</w:t>
            </w:r>
          </w:p>
        </w:tc>
        <w:tc>
          <w:tcPr>
            <w:tcW w:w="108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Corporate</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gridSpan w:val="2"/>
          </w:tcPr>
          <w:p>
            <w:pPr>
              <w:jc w:val="center"/>
              <w:ind w:right="540"/>
              <w:spacing w:after="0" w:line="108" w:lineRule="exact"/>
              <w:rPr>
                <w:sz w:val="20"/>
                <w:szCs w:val="20"/>
                <w:color w:val="auto"/>
              </w:rPr>
            </w:pPr>
            <w:r>
              <w:rPr>
                <w:rFonts w:ascii="Times New Roman" w:cs="Times New Roman" w:eastAsia="Times New Roman" w:hAnsi="Times New Roman"/>
                <w:sz w:val="10"/>
                <w:szCs w:val="10"/>
                <w:b w:val="1"/>
                <w:bCs w:val="1"/>
                <w:color w:val="auto"/>
              </w:rPr>
              <w:t>Information</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8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restart"/>
          </w:tcPr>
          <w:p>
            <w:pPr>
              <w:jc w:val="right"/>
              <w:ind w:right="317"/>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0"/>
                <w:szCs w:val="10"/>
                <w:b w:val="1"/>
                <w:bCs w:val="1"/>
                <w:color w:val="auto"/>
              </w:rPr>
              <w:t>Title Group, Inc.</w:t>
            </w: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Services, Inc.</w:t>
            </w: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0"/>
                <w:szCs w:val="10"/>
                <w:b w:val="1"/>
                <w:bCs w:val="1"/>
                <w:color w:val="auto"/>
              </w:rPr>
              <w:t>Insurance</w:t>
            </w:r>
          </w:p>
        </w:tc>
        <w:tc>
          <w:tcPr>
            <w:tcW w:w="400" w:type="dxa"/>
            <w:vAlign w:val="bottom"/>
          </w:tcPr>
          <w:p>
            <w:pPr>
              <w:spacing w:after="0"/>
              <w:rPr>
                <w:sz w:val="11"/>
                <w:szCs w:val="11"/>
                <w:color w:val="auto"/>
              </w:rPr>
            </w:pPr>
          </w:p>
        </w:tc>
        <w:tc>
          <w:tcPr>
            <w:tcW w:w="680" w:type="dxa"/>
            <w:vAlign w:val="bottom"/>
            <w:tcBorders>
              <w:bottom w:val="single" w:sz="8" w:color="auto"/>
            </w:tcBorders>
            <w:gridSpan w:val="3"/>
          </w:tcPr>
          <w:p>
            <w:pPr>
              <w:jc w:val="right"/>
              <w:ind w:right="57"/>
              <w:spacing w:after="0"/>
              <w:rPr>
                <w:sz w:val="20"/>
                <w:szCs w:val="20"/>
                <w:color w:val="auto"/>
              </w:rPr>
            </w:pPr>
            <w:r>
              <w:rPr>
                <w:rFonts w:ascii="Times New Roman" w:cs="Times New Roman" w:eastAsia="Times New Roman" w:hAnsi="Times New Roman"/>
                <w:sz w:val="10"/>
                <w:szCs w:val="10"/>
                <w:b w:val="1"/>
                <w:bCs w:val="1"/>
                <w:color w:val="auto"/>
              </w:rPr>
              <w:t>and Other</w:t>
            </w:r>
          </w:p>
        </w:tc>
        <w:tc>
          <w:tcPr>
            <w:tcW w:w="400" w:type="dxa"/>
            <w:vAlign w:val="bottom"/>
            <w:gridSpan w:val="2"/>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20" w:type="dxa"/>
            <w:vAlign w:val="bottom"/>
            <w:gridSpan w:val="5"/>
          </w:tcPr>
          <w:p>
            <w:pPr>
              <w:ind w:left="900"/>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December 31, 2004</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959,600</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1,757,757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22,669</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3"/>
                <w:szCs w:val="13"/>
                <w:color w:val="auto"/>
              </w:rPr>
              <w:t>58,223</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2,798,249</w:t>
            </w:r>
          </w:p>
        </w:tc>
        <w:tc>
          <w:tcPr>
            <w:tcW w:w="0" w:type="dxa"/>
            <w:vAlign w:val="bottom"/>
          </w:tcPr>
          <w:p>
            <w:pPr>
              <w:spacing w:after="0"/>
              <w:rPr>
                <w:sz w:val="1"/>
                <w:szCs w:val="1"/>
                <w:color w:val="auto"/>
              </w:rPr>
            </w:pPr>
          </w:p>
        </w:tc>
      </w:tr>
      <w:tr>
        <w:trPr>
          <w:trHeight w:val="157"/>
        </w:trPr>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Goodwill acquired during the year</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91,926</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29,956</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1,173</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w w:val="98"/>
              </w:rPr>
              <w:t>(47,443)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75,612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December 31, 2005</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1,051,526</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1,787,713</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23,842</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3"/>
                <w:szCs w:val="13"/>
                <w:color w:val="auto"/>
              </w:rPr>
              <w:t>10,780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2,873,861</w:t>
            </w:r>
          </w:p>
        </w:tc>
        <w:tc>
          <w:tcPr>
            <w:tcW w:w="0" w:type="dxa"/>
            <w:vAlign w:val="bottom"/>
          </w:tcPr>
          <w:p>
            <w:pPr>
              <w:spacing w:after="0"/>
              <w:rPr>
                <w:sz w:val="1"/>
                <w:szCs w:val="1"/>
                <w:color w:val="auto"/>
              </w:rPr>
            </w:pPr>
          </w:p>
        </w:tc>
      </w:tr>
      <w:tr>
        <w:trPr>
          <w:trHeight w:val="157"/>
        </w:trPr>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Goodwill acquired during the year</w:t>
            </w:r>
          </w:p>
        </w:tc>
        <w:tc>
          <w:tcPr>
            <w:tcW w:w="180" w:type="dxa"/>
            <w:vAlign w:val="bottom"/>
          </w:tcPr>
          <w:p>
            <w:pPr>
              <w:spacing w:after="0"/>
              <w:rPr>
                <w:sz w:val="13"/>
                <w:szCs w:val="13"/>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36,287</w:t>
            </w:r>
          </w:p>
        </w:tc>
        <w:tc>
          <w:tcPr>
            <w:tcW w:w="180" w:type="dxa"/>
            <w:vAlign w:val="bottom"/>
          </w:tcPr>
          <w:p>
            <w:pPr>
              <w:spacing w:after="0"/>
              <w:rPr>
                <w:sz w:val="13"/>
                <w:szCs w:val="13"/>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1,926,583</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48"/>
              <w:spacing w:after="0"/>
              <w:rPr>
                <w:sz w:val="20"/>
                <w:szCs w:val="20"/>
                <w:color w:val="auto"/>
              </w:rPr>
            </w:pPr>
            <w:r>
              <w:rPr>
                <w:rFonts w:ascii="Times New Roman" w:cs="Times New Roman" w:eastAsia="Times New Roman" w:hAnsi="Times New Roman"/>
                <w:sz w:val="13"/>
                <w:szCs w:val="13"/>
                <w:color w:val="auto"/>
              </w:rPr>
              <w:t>31,863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1,994,733</w:t>
            </w:r>
          </w:p>
        </w:tc>
        <w:tc>
          <w:tcPr>
            <w:tcW w:w="0" w:type="dxa"/>
            <w:vAlign w:val="bottom"/>
          </w:tcPr>
          <w:p>
            <w:pPr>
              <w:spacing w:after="0"/>
              <w:rPr>
                <w:sz w:val="1"/>
                <w:szCs w:val="1"/>
                <w:color w:val="auto"/>
              </w:rPr>
            </w:pPr>
          </w:p>
        </w:tc>
      </w:tr>
      <w:tr>
        <w:trPr>
          <w:trHeight w:val="157"/>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Distribution of FIS</w:t>
            </w:r>
          </w:p>
        </w:tc>
        <w:tc>
          <w:tcPr>
            <w:tcW w:w="1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(3,714,296)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(3,714,296)</w:t>
            </w:r>
          </w:p>
        </w:tc>
        <w:tc>
          <w:tcPr>
            <w:tcW w:w="0" w:type="dxa"/>
            <w:vAlign w:val="bottom"/>
          </w:tcPr>
          <w:p>
            <w:pPr>
              <w:spacing w:after="0"/>
              <w:rPr>
                <w:sz w:val="1"/>
                <w:szCs w:val="1"/>
                <w:color w:val="auto"/>
              </w:rPr>
            </w:pPr>
          </w:p>
        </w:tc>
      </w:tr>
      <w:tr>
        <w:trPr>
          <w:trHeight w:val="166"/>
        </w:trPr>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December 31, 2006</w:t>
            </w: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1,087,813</w:t>
            </w:r>
          </w:p>
        </w:tc>
        <w:tc>
          <w:tcPr>
            <w:tcW w:w="4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23,842</w:t>
            </w:r>
          </w:p>
        </w:tc>
        <w:tc>
          <w:tcPr>
            <w:tcW w:w="4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42,643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1,154,298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w:t>
            </w:r>
          </w:p>
        </w:tc>
        <w:tc>
          <w:tcPr>
            <w:tcW w:w="3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Intangible Assets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00" w:type="dxa"/>
            <w:vAlign w:val="bottom"/>
          </w:tcPr>
          <w:p>
            <w:pPr>
              <w:spacing w:after="0"/>
              <w:rPr>
                <w:sz w:val="21"/>
                <w:szCs w:val="21"/>
                <w:color w:val="auto"/>
              </w:rPr>
            </w:pPr>
          </w:p>
        </w:tc>
        <w:tc>
          <w:tcPr>
            <w:tcW w:w="30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intangible assets consist of the following:</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4"/>
          </w:tcPr>
          <w:p>
            <w:pPr>
              <w:jc w:val="center"/>
              <w:ind w:left="68"/>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17"/>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7"/>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Customer relationships and contracts</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147,351</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936,208</w:t>
            </w:r>
          </w:p>
        </w:tc>
        <w:tc>
          <w:tcPr>
            <w:tcW w:w="0" w:type="dxa"/>
            <w:vAlign w:val="bottom"/>
          </w:tcPr>
          <w:p>
            <w:pPr>
              <w:spacing w:after="0"/>
              <w:rPr>
                <w:sz w:val="1"/>
                <w:szCs w:val="1"/>
                <w:color w:val="auto"/>
              </w:rPr>
            </w:pPr>
          </w:p>
        </w:tc>
      </w:tr>
      <w:tr>
        <w:trPr>
          <w:trHeight w:val="157"/>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w w:val="94"/>
              </w:rPr>
              <w:t>Other</w:t>
            </w:r>
          </w:p>
        </w:tc>
        <w:tc>
          <w:tcPr>
            <w:tcW w:w="3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28,030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55,108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13"/>
                <w:szCs w:val="13"/>
                <w:color w:val="auto"/>
              </w:rPr>
            </w:pPr>
          </w:p>
        </w:tc>
        <w:tc>
          <w:tcPr>
            <w:tcW w:w="3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175,381</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991,316</w:t>
            </w:r>
          </w:p>
        </w:tc>
        <w:tc>
          <w:tcPr>
            <w:tcW w:w="0" w:type="dxa"/>
            <w:vAlign w:val="bottom"/>
          </w:tcPr>
          <w:p>
            <w:pPr>
              <w:spacing w:after="0"/>
              <w:rPr>
                <w:sz w:val="1"/>
                <w:szCs w:val="1"/>
                <w:color w:val="auto"/>
              </w:rPr>
            </w:pPr>
          </w:p>
        </w:tc>
      </w:tr>
      <w:tr>
        <w:trPr>
          <w:trHeight w:val="157"/>
        </w:trPr>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Accumulated amortization</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(79,594)</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(349,896)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13"/>
                <w:szCs w:val="13"/>
                <w:color w:val="auto"/>
              </w:rPr>
            </w:pPr>
          </w:p>
        </w:tc>
        <w:tc>
          <w:tcPr>
            <w:tcW w:w="3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95,787</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641,420</w:t>
            </w:r>
          </w:p>
        </w:tc>
        <w:tc>
          <w:tcPr>
            <w:tcW w:w="0" w:type="dxa"/>
            <w:vAlign w:val="bottom"/>
          </w:tcPr>
          <w:p>
            <w:pPr>
              <w:spacing w:after="0"/>
              <w:rPr>
                <w:sz w:val="1"/>
                <w:szCs w:val="1"/>
                <w:color w:val="auto"/>
              </w:rPr>
            </w:pPr>
          </w:p>
        </w:tc>
      </w:tr>
      <w:tr>
        <w:trPr>
          <w:trHeight w:val="29"/>
        </w:trPr>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260" w:firstLine="399"/>
        <w:spacing w:after="0" w:line="269" w:lineRule="auto"/>
        <w:rPr>
          <w:sz w:val="20"/>
          <w:szCs w:val="20"/>
          <w:color w:val="auto"/>
        </w:rPr>
      </w:pPr>
      <w:r>
        <w:rPr>
          <w:rFonts w:ascii="Times New Roman" w:cs="Times New Roman" w:eastAsia="Times New Roman" w:hAnsi="Times New Roman"/>
          <w:sz w:val="13"/>
          <w:szCs w:val="13"/>
          <w:color w:val="auto"/>
        </w:rPr>
        <w:t>Other intangible assets at December 31, 2006 does not include any intangible assets of FIS. Other intangible assets at December 31, 2005 includes FIS other intangible assets of $536.1 million, net of accumulated amortization, which is made up of $783.7 million in customer relationships and contracts, $45.1 million in other, and $(292.7) million in accumulated amortization. See “Old FNF Asset Contribution and Stock Distribution” in Note A.</w:t>
      </w:r>
    </w:p>
    <w:p>
      <w:pPr>
        <w:spacing w:after="0" w:line="58" w:lineRule="exact"/>
        <w:rPr>
          <w:sz w:val="20"/>
          <w:szCs w:val="20"/>
          <w:color w:val="auto"/>
        </w:rPr>
      </w:pPr>
    </w:p>
    <w:p>
      <w:pPr>
        <w:jc w:val="both"/>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Amortization expense for amortizable intangible assets which consist primarily of customer relationships was $162.0 million, $145.7 million, and $124.1 million for the years ended December 31, 2006, 2005 and 2004, respectively. Other represents non-amortizable intangible assets such as trademarks and licenses. Estimated amortization expense for the next five years for assets owned at December 31, 2006, is $21.3 million in 2007, $16.5 million in 2008, $11.9 million in 2009, $9.5 million in 2010 and $6.7 million in 2011.</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89" w:name="page90"/>
    <w:bookmarkEnd w:id="89"/>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75" w:lineRule="exact"/>
        <w:rPr>
          <w:sz w:val="20"/>
          <w:szCs w:val="20"/>
          <w:color w:val="auto"/>
        </w:rPr>
      </w:pPr>
    </w:p>
    <w:p>
      <w:pPr>
        <w:ind w:left="1080" w:hanging="393"/>
        <w:spacing w:after="0"/>
        <w:tabs>
          <w:tab w:leader="none" w:pos="1080" w:val="left"/>
        </w:tabs>
        <w:numPr>
          <w:ilvl w:val="0"/>
          <w:numId w:val="3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Accounts Payable and Accrued Liabilities</w:t>
      </w:r>
    </w:p>
    <w:p>
      <w:pPr>
        <w:spacing w:after="0" w:line="98" w:lineRule="exact"/>
        <w:rPr>
          <w:rFonts w:ascii="Times New Roman" w:cs="Times New Roman" w:eastAsia="Times New Roman" w:hAnsi="Times New Roman"/>
          <w:sz w:val="13"/>
          <w:szCs w:val="13"/>
          <w:b w:val="1"/>
          <w:bCs w:val="1"/>
          <w:color w:val="auto"/>
        </w:rPr>
      </w:pPr>
    </w:p>
    <w:p>
      <w:pPr>
        <w:ind w:left="108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Accounts payable and accrued liabilities consist of the following:</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9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4"/>
          </w:tcPr>
          <w:p>
            <w:pPr>
              <w:jc w:val="right"/>
              <w:ind w:right="5"/>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7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8"/>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76"/>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8"/>
                <w:szCs w:val="8"/>
                <w:color w:val="auto"/>
              </w:rPr>
            </w:pPr>
          </w:p>
        </w:tc>
      </w:tr>
      <w:tr>
        <w:trPr>
          <w:trHeight w:val="133"/>
        </w:trPr>
        <w:tc>
          <w:tcPr>
            <w:tcW w:w="7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6"/>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(Dollars in thousands)</w:t>
            </w:r>
          </w:p>
        </w:tc>
      </w:tr>
      <w:tr>
        <w:trPr>
          <w:trHeight w:val="161"/>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Salaries and incentives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164,281</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320,378</w:t>
            </w:r>
          </w:p>
        </w:tc>
      </w:tr>
      <w:tr>
        <w:trPr>
          <w:trHeight w:val="157"/>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Accrued benefits</w:t>
            </w:r>
          </w:p>
        </w:tc>
        <w:tc>
          <w:tcPr>
            <w:tcW w:w="16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215,943</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294,239</w:t>
            </w:r>
          </w:p>
        </w:tc>
      </w:tr>
      <w:tr>
        <w:trPr>
          <w:trHeight w:val="15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Security loans</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316,019</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143,412</w:t>
            </w:r>
          </w:p>
        </w:tc>
      </w:tr>
      <w:tr>
        <w:trPr>
          <w:trHeight w:val="157"/>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Trade accounts payable</w:t>
            </w:r>
          </w:p>
        </w:tc>
        <w:tc>
          <w:tcPr>
            <w:tcW w:w="160" w:type="dxa"/>
            <w:vAlign w:val="bottom"/>
          </w:tcPr>
          <w:p>
            <w:pPr>
              <w:spacing w:after="0"/>
              <w:rPr>
                <w:sz w:val="13"/>
                <w:szCs w:val="13"/>
                <w:color w:val="auto"/>
              </w:rPr>
            </w:pPr>
          </w:p>
        </w:tc>
        <w:tc>
          <w:tcPr>
            <w:tcW w:w="9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44,959</w:t>
            </w:r>
          </w:p>
        </w:tc>
        <w:tc>
          <w:tcPr>
            <w:tcW w:w="2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84,581</w:t>
            </w:r>
          </w:p>
        </w:tc>
      </w:tr>
      <w:tr>
        <w:trPr>
          <w:trHeight w:val="15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recording fees and transfer taxes</w:t>
            </w:r>
          </w:p>
        </w:tc>
        <w:tc>
          <w:tcPr>
            <w:tcW w:w="16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38,699</w:t>
            </w:r>
          </w:p>
        </w:tc>
        <w:tc>
          <w:tcPr>
            <w:tcW w:w="2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46,180</w:t>
            </w:r>
          </w:p>
        </w:tc>
      </w:tr>
      <w:tr>
        <w:trPr>
          <w:trHeight w:val="157"/>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Accrued premium taxes</w:t>
            </w:r>
          </w:p>
        </w:tc>
        <w:tc>
          <w:tcPr>
            <w:tcW w:w="160" w:type="dxa"/>
            <w:vAlign w:val="bottom"/>
          </w:tcPr>
          <w:p>
            <w:pPr>
              <w:spacing w:after="0"/>
              <w:rPr>
                <w:sz w:val="13"/>
                <w:szCs w:val="13"/>
                <w:color w:val="auto"/>
              </w:rPr>
            </w:pPr>
          </w:p>
        </w:tc>
        <w:tc>
          <w:tcPr>
            <w:tcW w:w="9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27,950</w:t>
            </w:r>
          </w:p>
        </w:tc>
        <w:tc>
          <w:tcPr>
            <w:tcW w:w="2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36,122</w:t>
            </w:r>
          </w:p>
        </w:tc>
      </w:tr>
      <w:tr>
        <w:trPr>
          <w:trHeight w:val="15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accrued liabilities</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129,836</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316,948</w:t>
            </w:r>
          </w:p>
        </w:tc>
      </w:tr>
      <w:tr>
        <w:trPr>
          <w:trHeight w:val="166"/>
        </w:trPr>
        <w:tc>
          <w:tcPr>
            <w:tcW w:w="79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937,687</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1,241,860</w:t>
            </w:r>
          </w:p>
        </w:tc>
        <w:tc>
          <w:tcPr>
            <w:tcW w:w="100" w:type="dxa"/>
            <w:vAlign w:val="bottom"/>
          </w:tcPr>
          <w:p>
            <w:pPr>
              <w:spacing w:after="0"/>
              <w:rPr>
                <w:sz w:val="14"/>
                <w:szCs w:val="14"/>
                <w:color w:val="auto"/>
              </w:rPr>
            </w:pPr>
          </w:p>
        </w:tc>
      </w:tr>
    </w:tbl>
    <w:p>
      <w:pPr>
        <w:spacing w:after="0" w:line="86" w:lineRule="exact"/>
        <w:rPr>
          <w:sz w:val="20"/>
          <w:szCs w:val="20"/>
          <w:color w:val="auto"/>
        </w:rPr>
      </w:pPr>
    </w:p>
    <w:p>
      <w:pPr>
        <w:ind w:left="680" w:right="360" w:firstLine="399"/>
        <w:spacing w:after="0" w:line="269" w:lineRule="auto"/>
        <w:rPr>
          <w:sz w:val="20"/>
          <w:szCs w:val="20"/>
          <w:color w:val="auto"/>
        </w:rPr>
      </w:pPr>
      <w:r>
        <w:rPr>
          <w:rFonts w:ascii="Times New Roman" w:cs="Times New Roman" w:eastAsia="Times New Roman" w:hAnsi="Times New Roman"/>
          <w:sz w:val="13"/>
          <w:szCs w:val="13"/>
          <w:color w:val="auto"/>
        </w:rPr>
        <w:t>Accounts payable and accrued liabilities at December 31, 2006 does not include any accounts payable and accrued liabilities of FIS. Accounts payable and accrued liabilities at December 31, 2005 includes accounts payable and other liabilities of FIS of $371.4 million, made up of $117.4 million of salaries and incentives, $46.5 million of accrued benefits, $43.6 million of trade accounts payable, and $163.9 million in other accrued liabilities. See “Old FNF Asset Contribution and Stock Distribution” in Note A.</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H.</w:t>
            </w:r>
          </w:p>
        </w:tc>
        <w:tc>
          <w:tcPr>
            <w:tcW w:w="7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Notes Payable</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6"/>
        </w:trPr>
        <w:tc>
          <w:tcPr>
            <w:tcW w:w="400" w:type="dxa"/>
            <w:vAlign w:val="bottom"/>
          </w:tcPr>
          <w:p>
            <w:pPr>
              <w:spacing w:after="0"/>
              <w:rPr>
                <w:sz w:val="21"/>
                <w:szCs w:val="21"/>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3"/>
                <w:szCs w:val="13"/>
                <w:color w:val="auto"/>
              </w:rPr>
              <w:t>Notes payable consist of the following:</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7"/>
        </w:trPr>
        <w:tc>
          <w:tcPr>
            <w:tcW w:w="40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7"/>
        </w:trPr>
        <w:tc>
          <w:tcPr>
            <w:tcW w:w="40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0"/>
                <w:szCs w:val="10"/>
                <w:b w:val="1"/>
                <w:bCs w:val="1"/>
                <w:color w:val="auto"/>
              </w:rPr>
              <w:t>2006</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11"/>
                <w:szCs w:val="11"/>
                <w:color w:val="auto"/>
              </w:rPr>
            </w:pPr>
          </w:p>
        </w:tc>
      </w:tr>
      <w:tr>
        <w:trPr>
          <w:trHeight w:val="29"/>
        </w:trPr>
        <w:tc>
          <w:tcPr>
            <w:tcW w:w="4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Unsecured notes, net of discount, interest payable semi-annually at 7.30%, due August 2011</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240,881</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249,437</w:t>
            </w:r>
          </w:p>
        </w:tc>
      </w:tr>
      <w:tr>
        <w:trPr>
          <w:trHeight w:val="157"/>
        </w:trPr>
        <w:tc>
          <w:tcPr>
            <w:tcW w:w="7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Unsecured notes net of discount, interest payable semi-annually at 5.25%, due March 2013</w:t>
            </w:r>
          </w:p>
        </w:tc>
        <w:tc>
          <w:tcPr>
            <w:tcW w:w="120" w:type="dxa"/>
            <w:vAlign w:val="bottom"/>
          </w:tcPr>
          <w:p>
            <w:pPr>
              <w:spacing w:after="0"/>
              <w:rPr>
                <w:sz w:val="13"/>
                <w:szCs w:val="13"/>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248,849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248,651</w:t>
            </w:r>
          </w:p>
        </w:tc>
      </w:tr>
      <w:tr>
        <w:trPr>
          <w:trHeight w:val="144"/>
        </w:trPr>
        <w:tc>
          <w:tcPr>
            <w:tcW w:w="75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Syndicated credit agreement, unsecured, interest due monthly at LIBOR plus 0.36%, unused portion of $800 million at December 31,</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0"/>
        </w:trPr>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2"/>
              </w:rPr>
              <w:t>2006</w:t>
            </w:r>
          </w:p>
        </w:tc>
        <w:tc>
          <w:tcPr>
            <w:tcW w:w="7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FNT Syndicated credit agreement, unsecured, at LIBOR plus 0.5%, repaid and terminated October 24, 2006</w:t>
            </w:r>
          </w:p>
        </w:tc>
        <w:tc>
          <w:tcPr>
            <w:tcW w:w="120" w:type="dxa"/>
            <w:vAlign w:val="bottom"/>
          </w:tcPr>
          <w:p>
            <w:pPr>
              <w:spacing w:after="0"/>
              <w:rPr>
                <w:sz w:val="13"/>
                <w:szCs w:val="13"/>
                <w:color w:val="auto"/>
              </w:rPr>
            </w:pPr>
          </w:p>
        </w:tc>
        <w:tc>
          <w:tcPr>
            <w:tcW w:w="128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100,000</w:t>
            </w:r>
          </w:p>
        </w:tc>
      </w:tr>
      <w:tr>
        <w:trPr>
          <w:trHeight w:val="157"/>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FIS Term Loan A Facility, secured, interest payable at LIBOR plus 1.50%, 0.25% quarterly principal amortization, due March, 2011</w:t>
            </w:r>
          </w:p>
        </w:tc>
        <w:tc>
          <w:tcPr>
            <w:tcW w:w="12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794,000</w:t>
            </w:r>
          </w:p>
        </w:tc>
      </w:tr>
      <w:tr>
        <w:trPr>
          <w:trHeight w:val="157"/>
        </w:trPr>
        <w:tc>
          <w:tcPr>
            <w:tcW w:w="7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FIS Term Loan B Facility, secured, interest payable at LIBOR plus 1.75%, 0.25% quarterly principal amortization, due March, 2013</w:t>
            </w:r>
          </w:p>
        </w:tc>
        <w:tc>
          <w:tcPr>
            <w:tcW w:w="120" w:type="dxa"/>
            <w:vAlign w:val="bottom"/>
          </w:tcPr>
          <w:p>
            <w:pPr>
              <w:spacing w:after="0"/>
              <w:rPr>
                <w:sz w:val="13"/>
                <w:szCs w:val="13"/>
                <w:color w:val="auto"/>
              </w:rPr>
            </w:pPr>
          </w:p>
        </w:tc>
        <w:tc>
          <w:tcPr>
            <w:tcW w:w="128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1,760,000</w:t>
            </w:r>
          </w:p>
        </w:tc>
      </w:tr>
      <w:tr>
        <w:trPr>
          <w:trHeight w:val="157"/>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promissory notes with various interest rates and maturities</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1,437</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64,931</w:t>
            </w:r>
          </w:p>
        </w:tc>
      </w:tr>
      <w:tr>
        <w:trPr>
          <w:trHeight w:val="166"/>
        </w:trPr>
        <w:tc>
          <w:tcPr>
            <w:tcW w:w="40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491,167</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3,217,019</w:t>
            </w:r>
          </w:p>
        </w:tc>
        <w:tc>
          <w:tcPr>
            <w:tcW w:w="100" w:type="dxa"/>
            <w:vAlign w:val="bottom"/>
          </w:tcPr>
          <w:p>
            <w:pPr>
              <w:spacing w:after="0"/>
              <w:rPr>
                <w:sz w:val="14"/>
                <w:szCs w:val="14"/>
                <w:color w:val="auto"/>
              </w:rPr>
            </w:pPr>
          </w:p>
        </w:tc>
      </w:tr>
    </w:tbl>
    <w:p>
      <w:pPr>
        <w:spacing w:after="0" w:line="86"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color w:val="auto"/>
        </w:rPr>
        <w:t>The carrying value of the Company’s notes payable was approximately $6.9 million lower than its estimated fair value at December 31, 2006. At December 31, 2005, the carrying value of the Company’s outstanding notes payable was approximately $22.5 million lower than its estimated fair value. The fair value of the Company’s unsecured notes payable is based on established market prices for the securities on December 31, 2006 and 2005. The fair value of the Company’s remaining fixed rate and variable rate notes payable is estimated using discounted cash flow analyses based on current market interest rates and comparison of interest rates being paid to the Company’s current incremental borrowing rates for similar types of borrowing arrangements.</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0" w:name="page91"/>
    <w:bookmarkEnd w:id="90"/>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77" w:lineRule="exact"/>
        <w:rPr>
          <w:sz w:val="20"/>
          <w:szCs w:val="20"/>
          <w:color w:val="auto"/>
        </w:rPr>
      </w:pPr>
    </w:p>
    <w:p>
      <w:pPr>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On October 17, 2005, the Company entered into a Credit Agreement with Bank of America, N.A. as Administrative Agent and Swing Line Lender, and the other financial institutions party thereto (the “FNT Credit Agreement”). The FNT Credit Agreement was repaid and terminated on October 24, 2006.</w:t>
      </w:r>
    </w:p>
    <w:p>
      <w:pPr>
        <w:spacing w:after="0" w:line="47" w:lineRule="exact"/>
        <w:rPr>
          <w:sz w:val="20"/>
          <w:szCs w:val="20"/>
          <w:color w:val="auto"/>
        </w:rPr>
      </w:pPr>
    </w:p>
    <w:p>
      <w:pPr>
        <w:ind w:left="680" w:right="20" w:firstLine="399"/>
        <w:spacing w:after="0" w:line="257" w:lineRule="auto"/>
        <w:rPr>
          <w:sz w:val="20"/>
          <w:szCs w:val="20"/>
          <w:color w:val="auto"/>
        </w:rPr>
      </w:pPr>
      <w:r>
        <w:rPr>
          <w:rFonts w:ascii="Times New Roman" w:cs="Times New Roman" w:eastAsia="Times New Roman" w:hAnsi="Times New Roman"/>
          <w:sz w:val="13"/>
          <w:szCs w:val="13"/>
          <w:color w:val="auto"/>
        </w:rPr>
        <w:t>Effective October 24, 2006, the Company entered into a new credit agreement (the “New Credit Agreement”) with Bank of America, N.A. as Administrative Agent and Swing Line Lender, and other financial institutions party thereto. The New Credit Agreement provides for an $800 million unsecured revolving credit facility maturing on the fifth anniversary of the closing date. The Company has the option to increase the size of the credit facility by an additional $300 million, subject to certain requirements. Amounts under the revolving credit facility may be borrowed, repaid and reborrowed by the borrower thereunder from time to time until the maturity of the revolving credit facility. Voluntary prepayment of the revolving credit facility under the New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 (b) Bank of America’s “prime rate” or (ii) a rate per annum equal to LIBOR plus a margin of between 0.23%-0.675%, depending on the Company’s then current senior unsecured long-term debt rating from the rating agencies. In addition, the Company will pay a commitment fee between 0.07%-0.175% on the entire facility, also depending on the Company’s senior unsecured long-term debt rating.</w:t>
      </w:r>
    </w:p>
    <w:p>
      <w:pPr>
        <w:spacing w:after="0" w:line="66"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The New Credit Agreement contains affirmative, negative and financial covenants customary for financings of this type, including, among other things, limits on the creation of liens, sales of assets, the incurrence of indebtedness, restricted payments, transactions with affiliates, and certain amendments. The New Credit Agreement requires the Company to maintain certain financial ratios and levels of capitalization. The New Credit Agreement also includes customary events of default for facilities of this type (with customary grace periods, as applicable) and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New Credit Agreement shall automatically become immediately due and payable, and the lenders’ commitments will automatically terminate.</w:t>
      </w:r>
    </w:p>
    <w:p>
      <w:pPr>
        <w:spacing w:after="0" w:line="64"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On August 20, 2001, Old FNF completed a public offering of $250.0 million aggregate principal amount of 7.3% notes due August 15, 2011. The notes were priced at 99.597% of par to yield 7.358% annual interest. As such, the Company recorded a discount of $1.0 million, which is netted against the $250.0 million aggregate principal amount of notes. The discount is amortized to interest expense over 10 years, the term of the notes. The Company received net proceeds of $247.0 million, after expenses, which were used to pay down a portion of the amount outstanding under a prior credit agreement. Interest is payable semiannually.</w:t>
      </w:r>
    </w:p>
    <w:p>
      <w:pPr>
        <w:spacing w:after="0" w:line="62" w:lineRule="exact"/>
        <w:rPr>
          <w:sz w:val="20"/>
          <w:szCs w:val="20"/>
          <w:color w:val="auto"/>
        </w:rPr>
      </w:pPr>
    </w:p>
    <w:p>
      <w:pPr>
        <w:ind w:left="680" w:right="340" w:firstLine="399"/>
        <w:spacing w:after="0" w:line="263" w:lineRule="auto"/>
        <w:rPr>
          <w:sz w:val="20"/>
          <w:szCs w:val="20"/>
          <w:color w:val="auto"/>
        </w:rPr>
      </w:pPr>
      <w:r>
        <w:rPr>
          <w:rFonts w:ascii="Times New Roman" w:cs="Times New Roman" w:eastAsia="Times New Roman" w:hAnsi="Times New Roman"/>
          <w:sz w:val="13"/>
          <w:szCs w:val="13"/>
          <w:color w:val="auto"/>
        </w:rPr>
        <w:t>On March 11, 2003, Old FNF issued $250.0 million aggregate principal amount of 5.25% notes, which are unsecured. The notes were priced at 99.247% of par to yield 5.433% annual interest. As such, the Company recorded a discount of $1.9 million, which is netted against the $250.0 million aggregate principal amount of notes. The discount is amortized to interest expense over 10 years, the term of the notes. The Company received net proceeds of approximately $246.2 million, after expenses, which was used to pay a portion of the $1,069.6 million purchase price for FIS. Interest is payable semiannually and the notes are due in March 2013.</w:t>
      </w:r>
    </w:p>
    <w:p>
      <w:pPr>
        <w:spacing w:after="0" w:line="62" w:lineRule="exact"/>
        <w:rPr>
          <w:sz w:val="20"/>
          <w:szCs w:val="20"/>
          <w:color w:val="auto"/>
        </w:rPr>
      </w:pPr>
    </w:p>
    <w:p>
      <w:pPr>
        <w:ind w:left="680" w:right="300" w:firstLine="399"/>
        <w:spacing w:after="0" w:line="286" w:lineRule="auto"/>
        <w:rPr>
          <w:sz w:val="20"/>
          <w:szCs w:val="20"/>
          <w:color w:val="auto"/>
        </w:rPr>
      </w:pPr>
      <w:r>
        <w:rPr>
          <w:rFonts w:ascii="Times New Roman" w:cs="Times New Roman" w:eastAsia="Times New Roman" w:hAnsi="Times New Roman"/>
          <w:sz w:val="13"/>
          <w:szCs w:val="13"/>
          <w:color w:val="auto"/>
        </w:rPr>
        <w:t>On January 17, 2006, $241.3 million aggregate principal amount of the Old FNF 7.30% notes due 2011 and the entire $250.0 million aggregate principal amount of the Old FNF 5.25% notes due 2013 were validly exchanged for FNF notes. The remaining principal amount of $8.7 million of the Old FNF 7.30% notes has been validly redeemed and cancelled.</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Company’s notes payable at December 31, 2005 included the long-term debt of FIS which is no longer an obligation of FNF.</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49"/>
        </w:trPr>
        <w:tc>
          <w:tcPr>
            <w:tcW w:w="3500" w:type="dxa"/>
            <w:vAlign w:val="bottom"/>
            <w:gridSpan w:val="3"/>
          </w:tcPr>
          <w:p>
            <w:pPr>
              <w:spacing w:after="0"/>
              <w:rPr>
                <w:rFonts w:ascii="Times New Roman" w:cs="Times New Roman" w:eastAsia="Times New Roman" w:hAnsi="Times New Roman"/>
                <w:sz w:val="13"/>
                <w:szCs w:val="13"/>
                <w:b w:val="1"/>
                <w:bCs w:val="1"/>
                <w:color w:val="0000EE"/>
              </w:rPr>
            </w:pPr>
            <w:hyperlink w:anchor="page3">
              <w:r>
                <w:rPr>
                  <w:rFonts w:ascii="Times New Roman" w:cs="Times New Roman" w:eastAsia="Times New Roman" w:hAnsi="Times New Roman"/>
                  <w:sz w:val="13"/>
                  <w:szCs w:val="13"/>
                  <w:b w:val="1"/>
                  <w:bCs w:val="1"/>
                  <w:color w:val="0000EE"/>
                </w:rPr>
                <w:t>Table of Contents</w:t>
              </w:r>
            </w:hyperlink>
          </w:p>
        </w:tc>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3"/>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4380" w:type="dxa"/>
            <w:vAlign w:val="bottom"/>
            <w:gridSpan w:val="2"/>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3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NOTES TO CONSOLIDATED FINANCIAL STATEMENTS — (Continued)</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Principal maturities of notes payable at December 31, 2006, are as follows (dollars in thousands):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8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680" w:type="dxa"/>
            <w:vAlign w:val="bottom"/>
            <w:vMerge w:val="continue"/>
          </w:tcPr>
          <w:p>
            <w:pPr>
              <w:spacing w:after="0"/>
              <w:rPr>
                <w:sz w:val="13"/>
                <w:szCs w:val="13"/>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2007</w:t>
            </w:r>
          </w:p>
        </w:tc>
        <w:tc>
          <w:tcPr>
            <w:tcW w:w="252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1,437</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2008</w:t>
            </w:r>
          </w:p>
        </w:tc>
        <w:tc>
          <w:tcPr>
            <w:tcW w:w="25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2009</w:t>
            </w:r>
          </w:p>
        </w:tc>
        <w:tc>
          <w:tcPr>
            <w:tcW w:w="252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2010</w:t>
            </w:r>
          </w:p>
        </w:tc>
        <w:tc>
          <w:tcPr>
            <w:tcW w:w="25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2011</w:t>
            </w:r>
          </w:p>
        </w:tc>
        <w:tc>
          <w:tcPr>
            <w:tcW w:w="252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240,881</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Thereafter</w:t>
            </w:r>
          </w:p>
        </w:tc>
        <w:tc>
          <w:tcPr>
            <w:tcW w:w="4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248,849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4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491,167</w:t>
            </w:r>
          </w:p>
        </w:tc>
        <w:tc>
          <w:tcPr>
            <w:tcW w:w="0" w:type="dxa"/>
            <w:vAlign w:val="bottom"/>
          </w:tcPr>
          <w:p>
            <w:pPr>
              <w:spacing w:after="0"/>
              <w:rPr>
                <w:sz w:val="1"/>
                <w:szCs w:val="1"/>
                <w:color w:val="auto"/>
              </w:rPr>
            </w:pPr>
          </w:p>
        </w:tc>
      </w:tr>
      <w:tr>
        <w:trPr>
          <w:trHeight w:val="335"/>
        </w:trPr>
        <w:tc>
          <w:tcPr>
            <w:tcW w:w="68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   Income Taxes</w:t>
            </w:r>
          </w:p>
        </w:tc>
        <w:tc>
          <w:tcPr>
            <w:tcW w:w="4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 tax expense consists of the following:</w:t>
            </w:r>
          </w:p>
        </w:tc>
        <w:tc>
          <w:tcPr>
            <w:tcW w:w="4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98"/>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center"/>
              <w:ind w:right="78"/>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2005</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4"/>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w:t>
            </w:r>
          </w:p>
        </w:tc>
        <w:tc>
          <w:tcPr>
            <w:tcW w:w="438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331,327</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492,633</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427,623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Deferred</w:t>
            </w:r>
          </w:p>
        </w:tc>
        <w:tc>
          <w:tcPr>
            <w:tcW w:w="4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19,544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80,758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10,491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350,871</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573,391</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438,114</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800" w:firstLine="399"/>
        <w:spacing w:after="0" w:line="286" w:lineRule="auto"/>
        <w:rPr>
          <w:sz w:val="20"/>
          <w:szCs w:val="20"/>
          <w:color w:val="auto"/>
        </w:rPr>
      </w:pPr>
      <w:r>
        <w:rPr>
          <w:rFonts w:ascii="Times New Roman" w:cs="Times New Roman" w:eastAsia="Times New Roman" w:hAnsi="Times New Roman"/>
          <w:sz w:val="13"/>
          <w:szCs w:val="13"/>
          <w:color w:val="auto"/>
        </w:rPr>
        <w:t>The aggregate amounts above include income tax expense attributable to FIS operations of $118.4 million, $111.1 million, and $116.5 million for the years ended December 31, 2006, 2005, and 2004, respectively.</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Total income tax expense for the years ended December 31 was allocated as follows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0"/>
                <w:szCs w:val="10"/>
                <w:b w:val="1"/>
                <w:bCs w:val="1"/>
                <w:color w:val="auto"/>
              </w:rPr>
              <w:t>2006</w:t>
            </w: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9"/>
        </w:trPr>
        <w:tc>
          <w:tcPr>
            <w:tcW w:w="6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Statement of earnings</w:t>
            </w:r>
          </w:p>
        </w:tc>
        <w:tc>
          <w:tcPr>
            <w:tcW w:w="26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350,871</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573,391</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438,114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25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unrealized foreign currency translation gains</w:t>
            </w:r>
          </w:p>
        </w:tc>
        <w:tc>
          <w:tcPr>
            <w:tcW w:w="2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(62)</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(547)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Minimum pension liability adjustment</w:t>
            </w:r>
          </w:p>
        </w:tc>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3,956</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(1,966)</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(6,909)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Unrealized gains on investment securities:</w:t>
            </w:r>
          </w:p>
        </w:tc>
        <w:tc>
          <w:tcPr>
            <w:tcW w:w="2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Unrealized holding gains (losses) arising during the year</w:t>
            </w:r>
          </w:p>
        </w:tc>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15,190</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(12,876)</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5,720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Reclassification adjustment for realized (gains) losses included net earnings</w:t>
            </w:r>
          </w:p>
        </w:tc>
        <w:tc>
          <w:tcPr>
            <w:tcW w:w="2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(7,940)</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11,103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(17,770)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Total income tax expense (benefit) allocated to other comprehensive income</w:t>
            </w:r>
          </w:p>
        </w:tc>
        <w:tc>
          <w:tcPr>
            <w:tcW w:w="25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11,144</w:t>
            </w: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(4,286)</w:t>
            </w: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(18,218)</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paid-in capital (exercise of stock options)</w:t>
            </w:r>
          </w:p>
        </w:tc>
        <w:tc>
          <w:tcPr>
            <w:tcW w:w="2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(81,776)</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(34,844)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(36,085)</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Total income taxes</w:t>
            </w:r>
          </w:p>
        </w:tc>
        <w:tc>
          <w:tcPr>
            <w:tcW w:w="25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280,239</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534,261</w:t>
            </w: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383,811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63"/>
        </w:trPr>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520" w:type="dxa"/>
            <w:vAlign w:val="bottom"/>
          </w:tcPr>
          <w:p>
            <w:pPr>
              <w:jc w:val="right"/>
              <w:ind w:right="1874"/>
              <w:spacing w:after="0"/>
              <w:rPr>
                <w:sz w:val="20"/>
                <w:szCs w:val="20"/>
                <w:color w:val="auto"/>
              </w:rPr>
            </w:pPr>
            <w:r>
              <w:rPr>
                <w:rFonts w:ascii="Times New Roman" w:cs="Times New Roman" w:eastAsia="Times New Roman" w:hAnsi="Times New Roman"/>
                <w:sz w:val="13"/>
                <w:szCs w:val="13"/>
                <w:color w:val="auto"/>
              </w:rPr>
              <w:t>89</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4480" w:type="dxa"/>
            <w:vAlign w:val="bottom"/>
            <w:tcBorders>
              <w:bottom w:val="single" w:sz="8" w:color="808080"/>
            </w:tcBorders>
          </w:tcPr>
          <w:p>
            <w:pPr>
              <w:spacing w:after="0"/>
              <w:rPr>
                <w:sz w:val="14"/>
                <w:szCs w:val="14"/>
                <w:color w:val="auto"/>
              </w:rPr>
            </w:pPr>
          </w:p>
        </w:tc>
        <w:tc>
          <w:tcPr>
            <w:tcW w:w="25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92" w:name="page93"/>
    <w:bookmarkEnd w:id="92"/>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 reconciliation of the federal statutory rate to the Company’s effective tax rate is as follows:</w:t>
      </w:r>
    </w:p>
    <w:p>
      <w:pPr>
        <w:spacing w:after="0" w:line="100"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0"/>
          <w:szCs w:val="10"/>
          <w:b w:val="1"/>
          <w:bCs w:val="1"/>
          <w:color w:val="auto"/>
        </w:rPr>
        <w:t>Year Ended</w:t>
      </w:r>
    </w:p>
    <w:p>
      <w:pPr>
        <w:spacing w:after="0" w:line="5"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0"/>
          <w:szCs w:val="10"/>
          <w:b w:val="1"/>
          <w:bCs w:val="1"/>
          <w:color w:val="auto"/>
        </w:rPr>
        <w:t>December 31,</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7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3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1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gridSpan w:val="2"/>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Federal statutory rate</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35.0%</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Federal benefit of state taxes</w:t>
            </w:r>
          </w:p>
        </w:tc>
        <w:tc>
          <w:tcPr>
            <w:tcW w:w="140" w:type="dxa"/>
            <w:vAlign w:val="bottom"/>
          </w:tcPr>
          <w:p>
            <w:pPr>
              <w:spacing w:after="0"/>
              <w:rPr>
                <w:sz w:val="13"/>
                <w:szCs w:val="13"/>
                <w:color w:val="auto"/>
              </w:rPr>
            </w:pPr>
          </w:p>
        </w:tc>
        <w:tc>
          <w:tcPr>
            <w:tcW w:w="660" w:type="dxa"/>
            <w:vAlign w:val="bottom"/>
            <w:gridSpan w:val="2"/>
          </w:tcPr>
          <w:p>
            <w:pPr>
              <w:jc w:val="right"/>
              <w:ind w:right="219"/>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(1.6)</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Non-taxable gain on sale of minority interest in FIS</w:t>
            </w: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(6.9)</w:t>
            </w:r>
          </w:p>
        </w:tc>
        <w:tc>
          <w:tcPr>
            <w:tcW w:w="2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Deductible dividends paid to FNF 401(k) plan</w:t>
            </w:r>
          </w:p>
        </w:tc>
        <w:tc>
          <w:tcPr>
            <w:tcW w:w="140" w:type="dxa"/>
            <w:vAlign w:val="bottom"/>
          </w:tcPr>
          <w:p>
            <w:pPr>
              <w:spacing w:after="0"/>
              <w:rPr>
                <w:sz w:val="13"/>
                <w:szCs w:val="13"/>
                <w:color w:val="auto"/>
              </w:rPr>
            </w:pPr>
          </w:p>
        </w:tc>
        <w:tc>
          <w:tcPr>
            <w:tcW w:w="660" w:type="dxa"/>
            <w:vAlign w:val="bottom"/>
            <w:gridSpan w:val="2"/>
          </w:tcPr>
          <w:p>
            <w:pPr>
              <w:jc w:val="right"/>
              <w:ind w:right="219"/>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w:t>
            </w:r>
          </w:p>
        </w:tc>
        <w:tc>
          <w:tcPr>
            <w:tcW w:w="24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 exempt interest income</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Tax gain related to distribution of FNT</w:t>
            </w:r>
          </w:p>
        </w:tc>
        <w:tc>
          <w:tcPr>
            <w:tcW w:w="140" w:type="dxa"/>
            <w:vAlign w:val="bottom"/>
          </w:tcPr>
          <w:p>
            <w:pPr>
              <w:spacing w:after="0"/>
              <w:rPr>
                <w:sz w:val="13"/>
                <w:szCs w:val="13"/>
                <w:color w:val="auto"/>
              </w:rPr>
            </w:pPr>
          </w:p>
        </w:tc>
        <w:tc>
          <w:tcPr>
            <w:tcW w:w="740" w:type="dxa"/>
            <w:vAlign w:val="bottom"/>
            <w:gridSpan w:val="3"/>
          </w:tcPr>
          <w:p>
            <w:pPr>
              <w:jc w:val="right"/>
              <w:ind w:right="348"/>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5.9</w:t>
            </w:r>
          </w:p>
        </w:tc>
        <w:tc>
          <w:tcPr>
            <w:tcW w:w="24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State income taxes</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4.5</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Non-deductible expenses</w:t>
            </w:r>
          </w:p>
        </w:tc>
        <w:tc>
          <w:tcPr>
            <w:tcW w:w="1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3"/>
                <w:szCs w:val="13"/>
                <w:color w:val="auto"/>
              </w:rPr>
              <w:t>37.2%</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35.6%</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800" w:type="dxa"/>
            <w:vAlign w:val="bottom"/>
          </w:tcPr>
          <w:p>
            <w:pPr>
              <w:spacing w:after="0"/>
              <w:rPr>
                <w:sz w:val="14"/>
                <w:szCs w:val="14"/>
                <w:color w:val="auto"/>
              </w:rPr>
            </w:pPr>
          </w:p>
        </w:tc>
      </w:tr>
      <w:tr>
        <w:trPr>
          <w:trHeight w:val="256"/>
        </w:trPr>
        <w:tc>
          <w:tcPr>
            <w:tcW w:w="680" w:type="dxa"/>
            <w:vAlign w:val="bottom"/>
          </w:tcPr>
          <w:p>
            <w:pPr>
              <w:spacing w:after="0"/>
              <w:rPr>
                <w:sz w:val="22"/>
                <w:szCs w:val="22"/>
                <w:color w:val="auto"/>
              </w:rPr>
            </w:pPr>
          </w:p>
        </w:tc>
        <w:tc>
          <w:tcPr>
            <w:tcW w:w="7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The significant components of deferred tax assets and liabilities at December 31, 2006 and 2005 consist of the following:</w:t>
            </w:r>
          </w:p>
        </w:tc>
        <w:tc>
          <w:tcPr>
            <w:tcW w:w="14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06"/>
        </w:trPr>
        <w:tc>
          <w:tcPr>
            <w:tcW w:w="68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98"/>
        </w:trPr>
        <w:tc>
          <w:tcPr>
            <w:tcW w:w="680" w:type="dxa"/>
            <w:vAlign w:val="bottom"/>
          </w:tcPr>
          <w:p>
            <w:pPr>
              <w:spacing w:after="0"/>
              <w:rPr>
                <w:sz w:val="8"/>
                <w:szCs w:val="8"/>
                <w:color w:val="auto"/>
              </w:rPr>
            </w:pPr>
          </w:p>
        </w:tc>
        <w:tc>
          <w:tcPr>
            <w:tcW w:w="7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jc w:val="right"/>
              <w:ind w:right="239"/>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jc w:val="right"/>
              <w:ind w:right="194"/>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3"/>
        </w:trPr>
        <w:tc>
          <w:tcPr>
            <w:tcW w:w="68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86"/>
              </w:rPr>
              <w:t>(Dollars</w:t>
            </w:r>
          </w:p>
        </w:tc>
        <w:tc>
          <w:tcPr>
            <w:tcW w:w="1160" w:type="dxa"/>
            <w:vAlign w:val="bottom"/>
            <w:gridSpan w:val="5"/>
          </w:tcPr>
          <w:p>
            <w:pPr>
              <w:jc w:val="right"/>
              <w:ind w:right="414"/>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1"/>
        </w:trPr>
        <w:tc>
          <w:tcPr>
            <w:tcW w:w="680" w:type="dxa"/>
            <w:vAlign w:val="bottom"/>
          </w:tcPr>
          <w:p>
            <w:pPr>
              <w:spacing w:after="0"/>
              <w:rPr>
                <w:sz w:val="14"/>
                <w:szCs w:val="14"/>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Assets:</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Employee benefit accruals</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58,504</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80,603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operating loss carryforward</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43,490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revenue</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87,129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Pension</w:t>
            </w: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12,937</w:t>
            </w:r>
          </w:p>
        </w:tc>
        <w:tc>
          <w:tcPr>
            <w:tcW w:w="3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20,637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liabilities</w:t>
            </w:r>
          </w:p>
        </w:tc>
        <w:tc>
          <w:tcPr>
            <w:tcW w:w="140" w:type="dxa"/>
            <w:vAlign w:val="bottom"/>
          </w:tcPr>
          <w:p>
            <w:pPr>
              <w:spacing w:after="0"/>
              <w:rPr>
                <w:sz w:val="13"/>
                <w:szCs w:val="13"/>
                <w:color w:val="auto"/>
              </w:rPr>
            </w:pPr>
          </w:p>
        </w:tc>
        <w:tc>
          <w:tcPr>
            <w:tcW w:w="74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9,120</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19,763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State income taxes</w:t>
            </w: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10,661</w:t>
            </w:r>
          </w:p>
        </w:tc>
        <w:tc>
          <w:tcPr>
            <w:tcW w:w="3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23,121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Foreign tax credit</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11,052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7,507</w:t>
            </w:r>
          </w:p>
        </w:tc>
        <w:tc>
          <w:tcPr>
            <w:tcW w:w="3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20,901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 securities</w:t>
            </w:r>
          </w:p>
        </w:tc>
        <w:tc>
          <w:tcPr>
            <w:tcW w:w="14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5,907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13,736</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104,636</w:t>
            </w:r>
          </w:p>
        </w:tc>
        <w:tc>
          <w:tcPr>
            <w:tcW w:w="8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320,432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Less: Valuation allowance</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(9,548)</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deferred tax assets</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104,636</w:t>
            </w:r>
          </w:p>
        </w:tc>
        <w:tc>
          <w:tcPr>
            <w:tcW w:w="8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310,884</w:t>
            </w:r>
          </w:p>
        </w:tc>
        <w:tc>
          <w:tcPr>
            <w:tcW w:w="800" w:type="dxa"/>
            <w:vAlign w:val="bottom"/>
          </w:tcPr>
          <w:p>
            <w:pPr>
              <w:spacing w:after="0"/>
              <w:rPr>
                <w:sz w:val="13"/>
                <w:szCs w:val="13"/>
                <w:color w:val="auto"/>
              </w:rPr>
            </w:pPr>
          </w:p>
        </w:tc>
      </w:tr>
      <w:tr>
        <w:trPr>
          <w:trHeight w:val="452"/>
        </w:trPr>
        <w:tc>
          <w:tcPr>
            <w:tcW w:w="680" w:type="dxa"/>
            <w:vAlign w:val="bottom"/>
          </w:tcPr>
          <w:p>
            <w:pPr>
              <w:spacing w:after="0"/>
              <w:rPr>
                <w:sz w:val="24"/>
                <w:szCs w:val="24"/>
                <w:color w:val="auto"/>
              </w:rPr>
            </w:pPr>
          </w:p>
        </w:tc>
        <w:tc>
          <w:tcPr>
            <w:tcW w:w="7900" w:type="dxa"/>
            <w:vAlign w:val="bottom"/>
          </w:tcPr>
          <w:p>
            <w:pPr>
              <w:ind w:left="4940"/>
              <w:spacing w:after="0"/>
              <w:rPr>
                <w:sz w:val="20"/>
                <w:szCs w:val="20"/>
                <w:color w:val="auto"/>
              </w:rPr>
            </w:pPr>
            <w:r>
              <w:rPr>
                <w:rFonts w:ascii="Times New Roman" w:cs="Times New Roman" w:eastAsia="Times New Roman" w:hAnsi="Times New Roman"/>
                <w:sz w:val="13"/>
                <w:szCs w:val="13"/>
                <w:color w:val="auto"/>
              </w:rPr>
              <w:t>90</w:t>
            </w: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79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93" w:name="page94"/>
    <w:bookmarkEnd w:id="93"/>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71"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9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79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8"/>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3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16"/>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8"/>
                <w:szCs w:val="8"/>
                <w:color w:val="auto"/>
              </w:rPr>
            </w:pPr>
          </w:p>
        </w:tc>
      </w:tr>
      <w:tr>
        <w:trPr>
          <w:trHeight w:val="133"/>
        </w:trPr>
        <w:tc>
          <w:tcPr>
            <w:tcW w:w="7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(Dollars</w:t>
            </w:r>
          </w:p>
        </w:tc>
        <w:tc>
          <w:tcPr>
            <w:tcW w:w="1180" w:type="dxa"/>
            <w:vAlign w:val="bottom"/>
            <w:gridSpan w:val="3"/>
          </w:tcPr>
          <w:p>
            <w:pPr>
              <w:jc w:val="right"/>
              <w:ind w:right="436"/>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0" w:type="dxa"/>
            <w:vAlign w:val="bottom"/>
          </w:tcPr>
          <w:p>
            <w:pPr>
              <w:spacing w:after="0"/>
              <w:rPr>
                <w:sz w:val="11"/>
                <w:szCs w:val="11"/>
                <w:color w:val="auto"/>
              </w:rPr>
            </w:pPr>
          </w:p>
        </w:tc>
      </w:tr>
      <w:tr>
        <w:trPr>
          <w:trHeight w:val="161"/>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Liabilities:</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Amortization of goodwill and intangible assets</w:t>
            </w:r>
          </w:p>
        </w:tc>
        <w:tc>
          <w:tcPr>
            <w:tcW w:w="180" w:type="dxa"/>
            <w:vAlign w:val="bottom"/>
          </w:tcPr>
          <w:p>
            <w:pPr>
              <w:spacing w:after="0"/>
              <w:rPr>
                <w:sz w:val="13"/>
                <w:szCs w:val="13"/>
                <w:color w:val="auto"/>
              </w:rPr>
            </w:pPr>
          </w:p>
        </w:tc>
        <w:tc>
          <w:tcPr>
            <w:tcW w:w="1000" w:type="dxa"/>
            <w:vAlign w:val="bottom"/>
            <w:gridSpan w:val="2"/>
          </w:tcPr>
          <w:p>
            <w:pPr>
              <w:jc w:val="right"/>
              <w:ind w:right="288"/>
              <w:spacing w:after="0"/>
              <w:rPr>
                <w:sz w:val="20"/>
                <w:szCs w:val="20"/>
                <w:color w:val="auto"/>
              </w:rPr>
            </w:pPr>
            <w:r>
              <w:rPr>
                <w:rFonts w:ascii="Times New Roman" w:cs="Times New Roman" w:eastAsia="Times New Roman" w:hAnsi="Times New Roman"/>
                <w:sz w:val="13"/>
                <w:szCs w:val="13"/>
                <w:color w:val="auto"/>
              </w:rPr>
              <w:t>(25,640)</w:t>
            </w:r>
          </w:p>
        </w:tc>
        <w:tc>
          <w:tcPr>
            <w:tcW w:w="2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(152,014)</w:t>
            </w: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Title plant</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3"/>
                <w:szCs w:val="13"/>
                <w:color w:val="auto"/>
              </w:rPr>
              <w:t>(60,118)</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(60,933)</w:t>
            </w: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80" w:type="dxa"/>
            <w:vAlign w:val="bottom"/>
          </w:tcPr>
          <w:p>
            <w:pPr>
              <w:spacing w:after="0"/>
              <w:rPr>
                <w:sz w:val="13"/>
                <w:szCs w:val="13"/>
                <w:color w:val="auto"/>
              </w:rPr>
            </w:pPr>
          </w:p>
        </w:tc>
        <w:tc>
          <w:tcPr>
            <w:tcW w:w="1000" w:type="dxa"/>
            <w:vAlign w:val="bottom"/>
            <w:gridSpan w:val="2"/>
          </w:tcPr>
          <w:p>
            <w:pPr>
              <w:jc w:val="right"/>
              <w:ind w:right="288"/>
              <w:spacing w:after="0"/>
              <w:rPr>
                <w:sz w:val="20"/>
                <w:szCs w:val="20"/>
                <w:color w:val="auto"/>
              </w:rPr>
            </w:pPr>
            <w:r>
              <w:rPr>
                <w:rFonts w:ascii="Times New Roman" w:cs="Times New Roman" w:eastAsia="Times New Roman" w:hAnsi="Times New Roman"/>
                <w:sz w:val="13"/>
                <w:szCs w:val="13"/>
                <w:color w:val="auto"/>
              </w:rPr>
              <w:t>(7,065)</w:t>
            </w:r>
          </w:p>
        </w:tc>
        <w:tc>
          <w:tcPr>
            <w:tcW w:w="2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(61,292)</w:t>
            </w: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charges</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(54,790)</w:t>
            </w: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w:t>
            </w:r>
          </w:p>
        </w:tc>
        <w:tc>
          <w:tcPr>
            <w:tcW w:w="180" w:type="dxa"/>
            <w:vAlign w:val="bottom"/>
          </w:tcPr>
          <w:p>
            <w:pPr>
              <w:spacing w:after="0"/>
              <w:rPr>
                <w:sz w:val="13"/>
                <w:szCs w:val="13"/>
                <w:color w:val="auto"/>
              </w:rPr>
            </w:pPr>
          </w:p>
        </w:tc>
        <w:tc>
          <w:tcPr>
            <w:tcW w:w="1000" w:type="dxa"/>
            <w:vAlign w:val="bottom"/>
            <w:gridSpan w:val="2"/>
          </w:tcPr>
          <w:p>
            <w:pPr>
              <w:jc w:val="right"/>
              <w:ind w:right="288"/>
              <w:spacing w:after="0"/>
              <w:rPr>
                <w:sz w:val="20"/>
                <w:szCs w:val="20"/>
                <w:color w:val="auto"/>
              </w:rPr>
            </w:pPr>
            <w:r>
              <w:rPr>
                <w:rFonts w:ascii="Times New Roman" w:cs="Times New Roman" w:eastAsia="Times New Roman" w:hAnsi="Times New Roman"/>
                <w:sz w:val="13"/>
                <w:szCs w:val="13"/>
                <w:color w:val="auto"/>
              </w:rPr>
              <w:t>(13,660)</w:t>
            </w:r>
          </w:p>
        </w:tc>
        <w:tc>
          <w:tcPr>
            <w:tcW w:w="2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(53,632)</w:t>
            </w: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Insurance reserve discounting</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3"/>
                <w:szCs w:val="13"/>
                <w:color w:val="auto"/>
              </w:rPr>
              <w:t>(28,340)</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(49,138)</w:t>
            </w: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Lease accounting</w:t>
            </w:r>
          </w:p>
        </w:tc>
        <w:tc>
          <w:tcPr>
            <w:tcW w:w="180" w:type="dxa"/>
            <w:vAlign w:val="bottom"/>
          </w:tcPr>
          <w:p>
            <w:pPr>
              <w:spacing w:after="0"/>
              <w:rPr>
                <w:sz w:val="13"/>
                <w:szCs w:val="13"/>
                <w:color w:val="auto"/>
              </w:rPr>
            </w:pPr>
          </w:p>
        </w:tc>
        <w:tc>
          <w:tcPr>
            <w:tcW w:w="1000" w:type="dxa"/>
            <w:vAlign w:val="bottom"/>
            <w:gridSpan w:val="2"/>
          </w:tcPr>
          <w:p>
            <w:pPr>
              <w:jc w:val="right"/>
              <w:ind w:right="288"/>
              <w:spacing w:after="0"/>
              <w:rPr>
                <w:sz w:val="20"/>
                <w:szCs w:val="20"/>
                <w:color w:val="auto"/>
              </w:rPr>
            </w:pPr>
            <w:r>
              <w:rPr>
                <w:rFonts w:ascii="Times New Roman" w:cs="Times New Roman" w:eastAsia="Times New Roman" w:hAnsi="Times New Roman"/>
                <w:sz w:val="13"/>
                <w:szCs w:val="13"/>
                <w:color w:val="auto"/>
              </w:rPr>
              <w:t>(1,522)</w:t>
            </w:r>
          </w:p>
        </w:tc>
        <w:tc>
          <w:tcPr>
            <w:tcW w:w="2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(4,623)</w:t>
            </w: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Bad debts</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3"/>
                <w:szCs w:val="13"/>
                <w:color w:val="auto"/>
              </w:rPr>
              <w:t>(11,944)</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(5,308)</w:t>
            </w:r>
          </w:p>
        </w:tc>
      </w:tr>
      <w:tr>
        <w:trPr>
          <w:trHeight w:val="157"/>
        </w:trPr>
        <w:tc>
          <w:tcPr>
            <w:tcW w:w="7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(148,289)</w:t>
            </w:r>
          </w:p>
        </w:tc>
        <w:tc>
          <w:tcPr>
            <w:tcW w:w="3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(441,730)</w:t>
            </w:r>
          </w:p>
        </w:tc>
        <w:tc>
          <w:tcPr>
            <w:tcW w:w="100" w:type="dxa"/>
            <w:vAlign w:val="bottom"/>
          </w:tcPr>
          <w:p>
            <w:pPr>
              <w:spacing w:after="0"/>
              <w:rPr>
                <w:sz w:val="13"/>
                <w:szCs w:val="13"/>
                <w:color w:val="auto"/>
              </w:rPr>
            </w:pPr>
          </w:p>
        </w:tc>
      </w:tr>
      <w:tr>
        <w:trPr>
          <w:trHeight w:val="157"/>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deferred tax liability</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3"/>
                <w:szCs w:val="13"/>
                <w:color w:val="auto"/>
              </w:rPr>
              <w:t>(43,653)</w:t>
            </w: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(130,846)</w:t>
            </w:r>
          </w:p>
        </w:tc>
      </w:tr>
      <w:tr>
        <w:trPr>
          <w:trHeight w:val="29"/>
        </w:trPr>
        <w:tc>
          <w:tcPr>
            <w:tcW w:w="7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680" w:right="440" w:firstLine="399"/>
        <w:spacing w:after="0" w:line="286" w:lineRule="auto"/>
        <w:rPr>
          <w:sz w:val="20"/>
          <w:szCs w:val="20"/>
          <w:color w:val="auto"/>
        </w:rPr>
      </w:pPr>
      <w:r>
        <w:rPr>
          <w:rFonts w:ascii="Times New Roman" w:cs="Times New Roman" w:eastAsia="Times New Roman" w:hAnsi="Times New Roman"/>
          <w:sz w:val="13"/>
          <w:szCs w:val="13"/>
          <w:color w:val="auto"/>
        </w:rPr>
        <w:t>Management believes that based on its historical pattern of taxable income, the Company will produce sufficient income in the future to realize its deferred tax assets. The net deferred tax liability at December 31, 2005 includes a net liability of $72.7 million attributable to the operations of FIS.</w:t>
      </w:r>
    </w:p>
    <w:p>
      <w:pPr>
        <w:spacing w:after="0" w:line="47" w:lineRule="exact"/>
        <w:rPr>
          <w:sz w:val="20"/>
          <w:szCs w:val="20"/>
          <w:color w:val="auto"/>
        </w:rPr>
      </w:pPr>
    </w:p>
    <w:p>
      <w:pPr>
        <w:ind w:left="680" w:right="300" w:firstLine="399"/>
        <w:spacing w:after="0" w:line="286" w:lineRule="auto"/>
        <w:rPr>
          <w:sz w:val="20"/>
          <w:szCs w:val="20"/>
          <w:color w:val="auto"/>
        </w:rPr>
      </w:pPr>
      <w:r>
        <w:rPr>
          <w:rFonts w:ascii="Times New Roman" w:cs="Times New Roman" w:eastAsia="Times New Roman" w:hAnsi="Times New Roman"/>
          <w:sz w:val="13"/>
          <w:szCs w:val="13"/>
          <w:color w:val="auto"/>
        </w:rPr>
        <w:t>Tax benefits of $81.8 million, $34.8 million, and $36.1 million associated with the exercise of employee stock options and the vesting of restricted stock grants were allocated to stockholders’ equity for the years ended December 31, 2006, 2005 and 2004, respectively.</w:t>
      </w:r>
    </w:p>
    <w:p>
      <w:pPr>
        <w:spacing w:after="0" w:line="47" w:lineRule="exact"/>
        <w:rPr>
          <w:sz w:val="20"/>
          <w:szCs w:val="20"/>
          <w:color w:val="auto"/>
        </w:rPr>
      </w:pPr>
    </w:p>
    <w:p>
      <w:pPr>
        <w:jc w:val="both"/>
        <w:ind w:left="680" w:right="160" w:firstLine="399"/>
        <w:spacing w:after="0" w:line="263" w:lineRule="auto"/>
        <w:rPr>
          <w:sz w:val="20"/>
          <w:szCs w:val="20"/>
          <w:color w:val="auto"/>
        </w:rPr>
      </w:pPr>
      <w:r>
        <w:rPr>
          <w:rFonts w:ascii="Times New Roman" w:cs="Times New Roman" w:eastAsia="Times New Roman" w:hAnsi="Times New Roman"/>
          <w:sz w:val="13"/>
          <w:szCs w:val="13"/>
          <w:color w:val="auto"/>
        </w:rPr>
        <w:t>The Internal Revenue Service selected the Company to participate in a new pilot program (Compliance Assurance Program or CAP) that is a real-time audit for 2005 and future tax years. In November 2006, the Internal Revenue Service completed its examination of the Company’s tax returns for years 2002 through 2005, resulting in no significant adjustments to the Company’s previously filed tax positions; any additional payments or refunds for prior year returns did not adversely affect the Company’s financial position or results of operations. Currently, the only year that the Company has open for IRS audit is 2006. The implementation of FIN 48 will have no material impact on the financial statements.</w:t>
      </w:r>
    </w:p>
    <w:p>
      <w:pPr>
        <w:spacing w:after="0" w:line="1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4" w:name="page95"/>
    <w:bookmarkEnd w:id="94"/>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75"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J.</w:t>
            </w:r>
          </w:p>
        </w:tc>
        <w:tc>
          <w:tcPr>
            <w:tcW w:w="62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Summary of Reserve for Claim Losses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46"/>
        </w:trPr>
        <w:tc>
          <w:tcPr>
            <w:tcW w:w="120" w:type="dxa"/>
            <w:vAlign w:val="bottom"/>
          </w:tcPr>
          <w:p>
            <w:pPr>
              <w:spacing w:after="0"/>
              <w:rPr>
                <w:sz w:val="21"/>
                <w:szCs w:val="21"/>
                <w:color w:val="auto"/>
              </w:rPr>
            </w:pPr>
          </w:p>
        </w:tc>
        <w:tc>
          <w:tcPr>
            <w:tcW w:w="62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A summary of the reserve for claim losses for title and specialty insurance follows: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6"/>
        </w:trPr>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98"/>
        </w:trPr>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6"/>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6"/>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6"/>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20" w:type="dxa"/>
            <w:vAlign w:val="bottom"/>
          </w:tcPr>
          <w:p>
            <w:pPr>
              <w:spacing w:after="0"/>
              <w:rPr>
                <w:sz w:val="8"/>
                <w:szCs w:val="8"/>
                <w:color w:val="auto"/>
              </w:rPr>
            </w:pPr>
          </w:p>
        </w:tc>
      </w:tr>
      <w:tr>
        <w:trPr>
          <w:trHeight w:val="133"/>
        </w:trPr>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3"/>
              </w:rPr>
              <w:t>(Dollars in thousands)</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Beginning balance</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1,113,506</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1,000,474</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945,237</w:t>
            </w:r>
          </w:p>
        </w:tc>
      </w:tr>
      <w:tr>
        <w:trPr>
          <w:trHeight w:val="157"/>
        </w:trPr>
        <w:tc>
          <w:tcPr>
            <w:tcW w:w="120" w:type="dxa"/>
            <w:vAlign w:val="bottom"/>
          </w:tcPr>
          <w:p>
            <w:pPr>
              <w:spacing w:after="0"/>
              <w:rPr>
                <w:sz w:val="13"/>
                <w:szCs w:val="13"/>
                <w:color w:val="auto"/>
              </w:rPr>
            </w:pP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Reserves assumed/transferred(1)</w:t>
            </w:r>
          </w:p>
        </w:tc>
        <w:tc>
          <w:tcPr>
            <w:tcW w:w="2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(8,515)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1,000</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38,597</w:t>
            </w:r>
          </w:p>
        </w:tc>
      </w:tr>
      <w:tr>
        <w:trPr>
          <w:trHeight w:val="157"/>
        </w:trPr>
        <w:tc>
          <w:tcPr>
            <w:tcW w:w="120" w:type="dxa"/>
            <w:vAlign w:val="bottom"/>
            <w:shd w:val="clear" w:color="auto" w:fill="CCEEFF"/>
          </w:tcPr>
          <w:p>
            <w:pPr>
              <w:spacing w:after="0"/>
              <w:rPr>
                <w:sz w:val="13"/>
                <w:szCs w:val="13"/>
                <w:color w:val="auto"/>
              </w:rPr>
            </w:pPr>
          </w:p>
        </w:tc>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Claim loss provision related to:</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120" w:type="dxa"/>
            <w:vAlign w:val="bottom"/>
          </w:tcPr>
          <w:p>
            <w:pPr>
              <w:spacing w:after="0"/>
              <w:rPr>
                <w:sz w:val="13"/>
                <w:szCs w:val="13"/>
                <w:color w:val="auto"/>
              </w:rPr>
            </w:pPr>
          </w:p>
        </w:tc>
        <w:tc>
          <w:tcPr>
            <w:tcW w:w="62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Current year</w:t>
            </w:r>
          </w:p>
        </w:tc>
        <w:tc>
          <w:tcPr>
            <w:tcW w:w="20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454,507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441,291</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328,934</w:t>
            </w:r>
          </w:p>
        </w:tc>
      </w:tr>
      <w:tr>
        <w:trPr>
          <w:trHeight w:val="157"/>
        </w:trPr>
        <w:tc>
          <w:tcPr>
            <w:tcW w:w="120" w:type="dxa"/>
            <w:vAlign w:val="bottom"/>
            <w:shd w:val="clear" w:color="auto" w:fill="CCEEFF"/>
          </w:tcPr>
          <w:p>
            <w:pPr>
              <w:spacing w:after="0"/>
              <w:rPr>
                <w:sz w:val="13"/>
                <w:szCs w:val="13"/>
                <w:color w:val="auto"/>
              </w:rPr>
            </w:pPr>
          </w:p>
        </w:tc>
        <w:tc>
          <w:tcPr>
            <w:tcW w:w="6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Prior years</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31,827</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39,265</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(17,018)</w:t>
            </w:r>
          </w:p>
        </w:tc>
      </w:tr>
      <w:tr>
        <w:trPr>
          <w:trHeight w:val="157"/>
        </w:trPr>
        <w:tc>
          <w:tcPr>
            <w:tcW w:w="120" w:type="dxa"/>
            <w:vAlign w:val="bottom"/>
          </w:tcPr>
          <w:p>
            <w:pPr>
              <w:spacing w:after="0"/>
              <w:rPr>
                <w:sz w:val="13"/>
                <w:szCs w:val="13"/>
                <w:color w:val="auto"/>
              </w:rPr>
            </w:pPr>
          </w:p>
        </w:tc>
        <w:tc>
          <w:tcPr>
            <w:tcW w:w="62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claim loss provision</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486,334</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480,556</w:t>
            </w:r>
          </w:p>
        </w:tc>
        <w:tc>
          <w:tcPr>
            <w:tcW w:w="4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311,916</w:t>
            </w:r>
          </w:p>
        </w:tc>
        <w:tc>
          <w:tcPr>
            <w:tcW w:w="120" w:type="dxa"/>
            <w:vAlign w:val="bottom"/>
          </w:tcPr>
          <w:p>
            <w:pPr>
              <w:spacing w:after="0"/>
              <w:rPr>
                <w:sz w:val="13"/>
                <w:szCs w:val="13"/>
                <w:color w:val="auto"/>
              </w:rPr>
            </w:pPr>
          </w:p>
        </w:tc>
      </w:tr>
      <w:tr>
        <w:trPr>
          <w:trHeight w:val="157"/>
        </w:trPr>
        <w:tc>
          <w:tcPr>
            <w:tcW w:w="120" w:type="dxa"/>
            <w:vAlign w:val="bottom"/>
            <w:shd w:val="clear" w:color="auto" w:fill="CCEEFF"/>
          </w:tcPr>
          <w:p>
            <w:pPr>
              <w:spacing w:after="0"/>
              <w:rPr>
                <w:sz w:val="13"/>
                <w:szCs w:val="13"/>
                <w:color w:val="auto"/>
              </w:rPr>
            </w:pPr>
          </w:p>
        </w:tc>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Claims paid, net of recoupments related to:</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120" w:type="dxa"/>
            <w:vAlign w:val="bottom"/>
          </w:tcPr>
          <w:p>
            <w:pPr>
              <w:spacing w:after="0"/>
              <w:rPr>
                <w:sz w:val="13"/>
                <w:szCs w:val="13"/>
                <w:color w:val="auto"/>
              </w:rPr>
            </w:pPr>
          </w:p>
        </w:tc>
        <w:tc>
          <w:tcPr>
            <w:tcW w:w="62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Current year</w:t>
            </w:r>
          </w:p>
        </w:tc>
        <w:tc>
          <w:tcPr>
            <w:tcW w:w="2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(111,708)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(95,591)</w:t>
            </w:r>
          </w:p>
        </w:tc>
        <w:tc>
          <w:tcPr>
            <w:tcW w:w="20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(59,915)</w:t>
            </w:r>
          </w:p>
        </w:tc>
      </w:tr>
      <w:tr>
        <w:trPr>
          <w:trHeight w:val="157"/>
        </w:trPr>
        <w:tc>
          <w:tcPr>
            <w:tcW w:w="120" w:type="dxa"/>
            <w:vAlign w:val="bottom"/>
            <w:shd w:val="clear" w:color="auto" w:fill="CCEEFF"/>
          </w:tcPr>
          <w:p>
            <w:pPr>
              <w:spacing w:after="0"/>
              <w:rPr>
                <w:sz w:val="13"/>
                <w:szCs w:val="13"/>
                <w:color w:val="auto"/>
              </w:rPr>
            </w:pPr>
          </w:p>
        </w:tc>
        <w:tc>
          <w:tcPr>
            <w:tcW w:w="6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Prior years</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(258,981)</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(272,933)</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(235,361)</w:t>
            </w:r>
          </w:p>
        </w:tc>
      </w:tr>
      <w:tr>
        <w:trPr>
          <w:trHeight w:val="157"/>
        </w:trPr>
        <w:tc>
          <w:tcPr>
            <w:tcW w:w="120" w:type="dxa"/>
            <w:vAlign w:val="bottom"/>
          </w:tcPr>
          <w:p>
            <w:pPr>
              <w:spacing w:after="0"/>
              <w:rPr>
                <w:sz w:val="13"/>
                <w:szCs w:val="13"/>
                <w:color w:val="auto"/>
              </w:rPr>
            </w:pPr>
          </w:p>
        </w:tc>
        <w:tc>
          <w:tcPr>
            <w:tcW w:w="62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claims paid, net of recoupments</w:t>
            </w: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(370,689)</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(368,524)</w:t>
            </w:r>
          </w:p>
        </w:tc>
        <w:tc>
          <w:tcPr>
            <w:tcW w:w="4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(295,276)</w:t>
            </w:r>
          </w:p>
        </w:tc>
        <w:tc>
          <w:tcPr>
            <w:tcW w:w="120" w:type="dxa"/>
            <w:vAlign w:val="bottom"/>
          </w:tcPr>
          <w:p>
            <w:pPr>
              <w:spacing w:after="0"/>
              <w:rPr>
                <w:sz w:val="13"/>
                <w:szCs w:val="13"/>
                <w:color w:val="auto"/>
              </w:rPr>
            </w:pPr>
          </w:p>
        </w:tc>
      </w:tr>
      <w:tr>
        <w:trPr>
          <w:trHeight w:val="166"/>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Ending balance</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1,220,636</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1,113,506</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1,000,474</w:t>
            </w:r>
          </w:p>
        </w:tc>
      </w:tr>
      <w:tr>
        <w:trPr>
          <w:trHeight w:val="182"/>
        </w:trPr>
        <w:tc>
          <w:tcPr>
            <w:tcW w:w="63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Ending balance of FNT claim loss reserves for title insurance only</w:t>
            </w: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1,154,872</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1,068,072</w:t>
            </w:r>
          </w:p>
        </w:tc>
        <w:tc>
          <w:tcPr>
            <w:tcW w:w="4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987,076</w:t>
            </w:r>
          </w:p>
        </w:tc>
        <w:tc>
          <w:tcPr>
            <w:tcW w:w="120" w:type="dxa"/>
            <w:vAlign w:val="bottom"/>
          </w:tcPr>
          <w:p>
            <w:pPr>
              <w:spacing w:after="0"/>
              <w:rPr>
                <w:sz w:val="15"/>
                <w:szCs w:val="15"/>
                <w:color w:val="auto"/>
              </w:rPr>
            </w:pPr>
          </w:p>
        </w:tc>
      </w:tr>
      <w:tr>
        <w:trPr>
          <w:trHeight w:val="172"/>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claim losses for FNT as a percentage of title insurance premiums only</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7.2%</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08"/>
        </w:trPr>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50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bl>
    <w:p>
      <w:pPr>
        <w:spacing w:after="0" w:line="36" w:lineRule="exact"/>
        <w:rPr>
          <w:sz w:val="20"/>
          <w:szCs w:val="20"/>
          <w:color w:val="auto"/>
        </w:rPr>
      </w:pPr>
    </w:p>
    <w:p>
      <w:pPr>
        <w:ind w:left="1180" w:right="340" w:hanging="243"/>
        <w:spacing w:after="0" w:line="286" w:lineRule="auto"/>
        <w:tabs>
          <w:tab w:leader="none" w:pos="11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2006, the Company transferred $8.5 million in reserves to FIS in connection with the distribution of FIS. The Company assumed the outstanding reserve for claim losses of Service Link and APTIC in connection with their acquisitions in 2005 and 2004, respectively.</w:t>
      </w:r>
    </w:p>
    <w:p>
      <w:pPr>
        <w:spacing w:after="0" w:line="47" w:lineRule="exact"/>
        <w:rPr>
          <w:sz w:val="20"/>
          <w:szCs w:val="20"/>
          <w:color w:val="auto"/>
        </w:rPr>
      </w:pPr>
    </w:p>
    <w:p>
      <w:pPr>
        <w:ind w:left="680" w:right="260" w:firstLine="399"/>
        <w:spacing w:after="0" w:line="263" w:lineRule="auto"/>
        <w:rPr>
          <w:sz w:val="20"/>
          <w:szCs w:val="20"/>
          <w:color w:val="auto"/>
        </w:rPr>
      </w:pPr>
      <w:r>
        <w:rPr>
          <w:rFonts w:ascii="Times New Roman" w:cs="Times New Roman" w:eastAsia="Times New Roman" w:hAnsi="Times New Roman"/>
          <w:sz w:val="13"/>
          <w:szCs w:val="13"/>
          <w:color w:val="auto"/>
        </w:rPr>
        <w:t>Management continually updates loss reserve estimates as new information becomes known, new loss patterns emerge, or as other contributing factors are considered and incorporated into the analysis of reserve for claim losses. The prior year title loss provision amounts were favorable in 2004 and unfavorable in 2005 and 2006. Estimated ultimate losses increased for several policy years due to changes in claim reporting and payment patterns in 2005 and 2006. In response to the unfavorable prior year development, as well as to address higher expected costs for policies issued in 2005 and 2006, the title loss provision amounts as a percentage of title premiums increased in 2005 and 2006.</w:t>
      </w:r>
    </w:p>
    <w:p>
      <w:pPr>
        <w:spacing w:after="0" w:line="139" w:lineRule="exact"/>
        <w:rPr>
          <w:sz w:val="20"/>
          <w:szCs w:val="20"/>
          <w:color w:val="auto"/>
        </w:rPr>
      </w:pPr>
    </w:p>
    <w:p>
      <w:pPr>
        <w:ind w:left="1080" w:hanging="393"/>
        <w:spacing w:after="0"/>
        <w:tabs>
          <w:tab w:leader="none" w:pos="1080" w:val="left"/>
        </w:tabs>
        <w:numPr>
          <w:ilvl w:val="0"/>
          <w:numId w:val="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Commitments and Contingencies</w:t>
      </w:r>
    </w:p>
    <w:p>
      <w:pPr>
        <w:spacing w:after="0" w:line="98" w:lineRule="exact"/>
        <w:rPr>
          <w:sz w:val="20"/>
          <w:szCs w:val="20"/>
          <w:color w:val="auto"/>
        </w:rPr>
      </w:pPr>
    </w:p>
    <w:p>
      <w:pPr>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In the ordinary course of business, we are involved in various pending and threatened litigation matters related to our operations, some of which include claims for punitive or exemplary damages. We believe that no actions, other than those listed below, depart from customary litigation incidental to our business. As background to the disclosure below, please note the following:</w:t>
      </w:r>
    </w:p>
    <w:p>
      <w:pPr>
        <w:spacing w:after="0" w:line="58" w:lineRule="exact"/>
        <w:rPr>
          <w:sz w:val="20"/>
          <w:szCs w:val="20"/>
          <w:color w:val="auto"/>
        </w:rPr>
      </w:pPr>
    </w:p>
    <w:p>
      <w:pPr>
        <w:ind w:left="1280" w:right="20" w:hanging="190"/>
        <w:spacing w:after="0" w:line="263" w:lineRule="auto"/>
        <w:tabs>
          <w:tab w:leader="none" w:pos="128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w:t>
      </w:r>
    </w:p>
    <w:p>
      <w:pPr>
        <w:spacing w:after="0" w:line="2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5" w:name="page96"/>
    <w:bookmarkEnd w:id="95"/>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7" w:lineRule="exact"/>
        <w:rPr>
          <w:sz w:val="20"/>
          <w:szCs w:val="20"/>
          <w:color w:val="auto"/>
        </w:rPr>
      </w:pPr>
    </w:p>
    <w:p>
      <w:pPr>
        <w:ind w:left="1280" w:right="60"/>
        <w:spacing w:after="0" w:line="286" w:lineRule="auto"/>
        <w:rPr>
          <w:sz w:val="20"/>
          <w:szCs w:val="20"/>
          <w:color w:val="auto"/>
        </w:rPr>
      </w:pPr>
      <w:r>
        <w:rPr>
          <w:rFonts w:ascii="Times New Roman" w:cs="Times New Roman" w:eastAsia="Times New Roman" w:hAnsi="Times New Roman"/>
          <w:sz w:val="13"/>
          <w:szCs w:val="13"/>
          <w:color w:val="auto"/>
        </w:rPr>
        <w:t>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125" w:lineRule="exact"/>
        <w:rPr>
          <w:sz w:val="20"/>
          <w:szCs w:val="20"/>
          <w:color w:val="auto"/>
        </w:rPr>
      </w:pPr>
    </w:p>
    <w:p>
      <w:pPr>
        <w:ind w:left="1280" w:right="80" w:hanging="190"/>
        <w:spacing w:after="0" w:line="259" w:lineRule="auto"/>
        <w:tabs>
          <w:tab w:leader="none" w:pos="12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general, the dollar amount of damages sought is not specified. In those cases where plaintiffs have made a specific statement with regard to monetary damages, they often specify damages just below a jurisdictional limit regardless of the facts of the case. This represents the maximum they can seek without risking removal from state court to federal court. In our experience, monetary demands in plaintiffs’ court pleadings bear little relation to the ultimate loss, if any, we may experience.</w:t>
      </w:r>
    </w:p>
    <w:p>
      <w:pPr>
        <w:spacing w:after="0" w:line="54" w:lineRule="exact"/>
        <w:rPr>
          <w:rFonts w:ascii="Times New Roman" w:cs="Times New Roman" w:eastAsia="Times New Roman" w:hAnsi="Times New Roman"/>
          <w:sz w:val="13"/>
          <w:szCs w:val="13"/>
          <w:color w:val="auto"/>
        </w:rPr>
      </w:pPr>
    </w:p>
    <w:p>
      <w:pPr>
        <w:jc w:val="both"/>
        <w:ind w:left="1280" w:right="160" w:hanging="190"/>
        <w:spacing w:after="0" w:line="269" w:lineRule="auto"/>
        <w:tabs>
          <w:tab w:leader="none" w:pos="12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reasons specified above, it is not possible to make meaningful estimates of the amount or range of loss that could result from these matters at this time. We review these matters on an on-going basis and follow the provisions of Statement of Financial Accounting Standards (“SFAS”) No. 5, “Accounting for Contingencies” when making accrual and disclosure decisions. When assessing reasonably possible and probable outcomes, we base our decision on our assessment of the ultimate outcome following all appeals.</w:t>
      </w:r>
    </w:p>
    <w:p>
      <w:pPr>
        <w:spacing w:after="0" w:line="47" w:lineRule="exact"/>
        <w:rPr>
          <w:rFonts w:ascii="Times New Roman" w:cs="Times New Roman" w:eastAsia="Times New Roman" w:hAnsi="Times New Roman"/>
          <w:sz w:val="13"/>
          <w:szCs w:val="13"/>
          <w:color w:val="auto"/>
        </w:rPr>
      </w:pPr>
    </w:p>
    <w:p>
      <w:pPr>
        <w:ind w:left="1280" w:hanging="190"/>
        <w:spacing w:after="0" w:line="286" w:lineRule="auto"/>
        <w:tabs>
          <w:tab w:leader="none" w:pos="12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opinion of our management, while some of these matters may be material to our operating results for any particular period if an unfavorable outcome results, none will have a material adverse effect on our overall financial condition.</w:t>
      </w:r>
    </w:p>
    <w:p>
      <w:pPr>
        <w:spacing w:after="0" w:line="47" w:lineRule="exact"/>
        <w:rPr>
          <w:sz w:val="20"/>
          <w:szCs w:val="20"/>
          <w:color w:val="auto"/>
        </w:rPr>
      </w:pPr>
    </w:p>
    <w:p>
      <w:pPr>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Several class actions are pending in Alabama, Connecticut, Florida, Ohio, New Mexico, New Hampshire, Pennsylvania and Washington alleging improper premiums were charged for title insurance. The cases allege that the named defendant companies failed to provide notice of premium discounts to consumers refinancing their mortgages, and failed to give discounts in refinancing transactions in violation of the filed rates. The actions seek refunds of the premiums charged and punitive damages. The Company intends to vigorously defend the actions.</w:t>
      </w:r>
    </w:p>
    <w:p>
      <w:pPr>
        <w:spacing w:after="0" w:line="58" w:lineRule="exact"/>
        <w:rPr>
          <w:sz w:val="20"/>
          <w:szCs w:val="20"/>
          <w:color w:val="auto"/>
        </w:rPr>
      </w:pPr>
    </w:p>
    <w:p>
      <w:pPr>
        <w:ind w:left="680" w:right="140" w:firstLine="399"/>
        <w:spacing w:after="0" w:line="269" w:lineRule="auto"/>
        <w:rPr>
          <w:sz w:val="20"/>
          <w:szCs w:val="20"/>
          <w:color w:val="auto"/>
        </w:rPr>
      </w:pPr>
      <w:r>
        <w:rPr>
          <w:rFonts w:ascii="Times New Roman" w:cs="Times New Roman" w:eastAsia="Times New Roman" w:hAnsi="Times New Roman"/>
          <w:sz w:val="13"/>
          <w:szCs w:val="13"/>
          <w:color w:val="auto"/>
        </w:rPr>
        <w:t>A class action in California alleges that the Company violated the Real Estate Settlement Procedures Act (“RESPA”) and state law by giving favorable discounts or rates to builders and developers for escrow fees and requiring purchasers to use Chicago Title Insurance Company for escrow services. The action seeks refunds of the premiums charged and additional damages. The Company intends to vigorously defend this action.</w:t>
      </w:r>
    </w:p>
    <w:p>
      <w:pPr>
        <w:spacing w:after="0" w:line="58" w:lineRule="exact"/>
        <w:rPr>
          <w:sz w:val="20"/>
          <w:szCs w:val="20"/>
          <w:color w:val="auto"/>
        </w:rPr>
      </w:pPr>
    </w:p>
    <w:p>
      <w:pPr>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A class action in Texas alleges that the Company overcharged for recording fees in Arizona, California, Colorado, Oklahoma and Texas. The suit seeks to recover the recording fees for the class that was overcharged, interest and attorney’s fees. The suit was filed in the United States District Court for the Western District of Texas, San Antonio Division on March 24, 2006. Similar suits are pending in Indiana, Kansas, and Missouri. The Company intends to vigorously defend these actions.</w:t>
      </w:r>
    </w:p>
    <w:p>
      <w:pPr>
        <w:spacing w:after="0" w:line="58"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A class action in New Mexico alleges the Company has engaged in anti-competitive price fixing in New Mexico. The suit seeks an injunction against price fixing and writs issued to the State regulators mandating the law be interpreted to provide a competitive market, compensatory damages, punitive damages, statutory damages, interest and attorney’s fees for the injured class. The suit was filed in State Court in Santa Fe, New Mexico on April 27, 2006. The Company intends to vigorously defend this action.</w:t>
      </w:r>
    </w:p>
    <w:p>
      <w:pPr>
        <w:spacing w:after="0" w:line="58" w:lineRule="exact"/>
        <w:rPr>
          <w:sz w:val="20"/>
          <w:szCs w:val="20"/>
          <w:color w:val="auto"/>
        </w:rPr>
      </w:pPr>
    </w:p>
    <w:p>
      <w:pPr>
        <w:jc w:val="both"/>
        <w:ind w:left="680" w:right="60" w:firstLine="399"/>
        <w:spacing w:after="0" w:line="269" w:lineRule="auto"/>
        <w:rPr>
          <w:sz w:val="20"/>
          <w:szCs w:val="20"/>
          <w:color w:val="auto"/>
        </w:rPr>
      </w:pPr>
      <w:r>
        <w:rPr>
          <w:rFonts w:ascii="Times New Roman" w:cs="Times New Roman" w:eastAsia="Times New Roman" w:hAnsi="Times New Roman"/>
          <w:sz w:val="13"/>
          <w:szCs w:val="13"/>
          <w:color w:val="auto"/>
        </w:rPr>
        <w:t>Two class actions filed in Illinois allege the Company has paid attorneys to refer business to the Company by paying them for core title services in conjunction with orders when the attorneys, in fact, did not perform any core title services and the payments were to steer business to the Company. The suits seek compensatory damages, attorney’s fees and injunctive relief to terminate the practice. The suit was filed in state court in Chicago, Illinois on May 11, 2006. The Company intends to vigorously defend these actions.</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6" w:name="page97"/>
    <w:bookmarkEnd w:id="96"/>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77"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A class action in Connecticut alleges that the Company uses unauthorized agents in violation of state law. The suit seeks compensatory damages, attorney’s fees and injunctive relief to terminate the practice. The Company intends to vigorously defend this action.</w:t>
      </w:r>
    </w:p>
    <w:p>
      <w:pPr>
        <w:spacing w:after="0" w:line="47" w:lineRule="exact"/>
        <w:rPr>
          <w:sz w:val="20"/>
          <w:szCs w:val="20"/>
          <w:color w:val="auto"/>
        </w:rPr>
      </w:pPr>
    </w:p>
    <w:p>
      <w:pPr>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A class action in California alleges that the Company participated in a fraudulent loan scheme with mortgage brokers. The suit seeks compensatory damages, and attorney’s fees. The Company intends to vigorously defend this action.</w:t>
      </w:r>
    </w:p>
    <w:p>
      <w:pPr>
        <w:spacing w:after="0" w:line="47"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Two class actions, one in Michigan and one in Ohio, allege the Company has violated RESPA by engaging in affiliated business arrangements in violation of RESPA. The suits seek to recover three times the title charges, interest and attorney’s fees. The Company intends to vigorously defend these actions.</w:t>
      </w:r>
    </w:p>
    <w:p>
      <w:pPr>
        <w:spacing w:after="0" w:line="47" w:lineRule="exact"/>
        <w:rPr>
          <w:sz w:val="20"/>
          <w:szCs w:val="20"/>
          <w:color w:val="auto"/>
        </w:rPr>
      </w:pPr>
    </w:p>
    <w:p>
      <w:pPr>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A class action in Washington alleges that the Company has violated state law by making prohibited payments for the referral of business, thereby increasing the cost of title insurance to consumers. The suit seeks compensatory damages, and attorney’s fees. The Company intends to vigorously defend this action.</w:t>
      </w:r>
    </w:p>
    <w:p>
      <w:pPr>
        <w:spacing w:after="0" w:line="47" w:lineRule="exact"/>
        <w:rPr>
          <w:sz w:val="20"/>
          <w:szCs w:val="20"/>
          <w:color w:val="auto"/>
        </w:rPr>
      </w:pPr>
    </w:p>
    <w:p>
      <w:pPr>
        <w:ind w:left="680" w:right="180" w:firstLine="399"/>
        <w:spacing w:after="0" w:line="261" w:lineRule="auto"/>
        <w:rPr>
          <w:sz w:val="20"/>
          <w:szCs w:val="20"/>
          <w:color w:val="auto"/>
        </w:rPr>
      </w:pPr>
      <w:r>
        <w:rPr>
          <w:rFonts w:ascii="Times New Roman" w:cs="Times New Roman" w:eastAsia="Times New Roman" w:hAnsi="Times New Roman"/>
          <w:sz w:val="13"/>
          <w:szCs w:val="13"/>
          <w:color w:val="auto"/>
        </w:rPr>
        <w:t>Canadian lawyers who have traditionally played a role in real property transactions in Canada allege that the Company’s practices in processing residential mortgages are the unauthorized practice of law. Their Law Societies have demanded an end to the practice, and have begun investigations into those practices. In several provinces, bills have been filed that ostensibly would affect the way we do business. The Company is unable to predict the outcome of this inquiry or whether it will adversely affect the Company’s business or results of operations. In Missouri, a class action is pending alleging that certain acts performed by the Company in closing real estate transactions are the unlawful practice of law. The Company intends to vigorously defend this action.</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None of the cases described above includes a statement as to the dollar amount of damages demanded. Instead, each of the cases includes a demand in an amount to be proved at trial.</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Two of the Ohio cases state that the damages per class member are less than the jurisdictional limit for removal to federal court.</w:t>
      </w:r>
    </w:p>
    <w:p>
      <w:pPr>
        <w:spacing w:after="0" w:line="83" w:lineRule="exact"/>
        <w:rPr>
          <w:sz w:val="20"/>
          <w:szCs w:val="20"/>
          <w:color w:val="auto"/>
        </w:rPr>
      </w:pPr>
    </w:p>
    <w:p>
      <w:pPr>
        <w:ind w:left="680" w:right="60" w:firstLine="399"/>
        <w:spacing w:after="0" w:line="269" w:lineRule="auto"/>
        <w:rPr>
          <w:sz w:val="20"/>
          <w:szCs w:val="20"/>
          <w:color w:val="auto"/>
        </w:rPr>
      </w:pPr>
      <w:r>
        <w:rPr>
          <w:rFonts w:ascii="Times New Roman" w:cs="Times New Roman" w:eastAsia="Times New Roman" w:hAnsi="Times New Roman"/>
          <w:sz w:val="13"/>
          <w:szCs w:val="13"/>
          <w:color w:val="auto"/>
        </w:rPr>
        <w:t>The Company receives inquiries and requests for information from state insurance departments, attorneys general and other regulatory agencies from time to time about various matters relating to its business. Sometimes these take the form of civil investigative subpoenas. The Company attempts to cooperate with all such inquiries. From time to time, the Company is assessed fines for violations of regulations or other matters or enters into settlements with such authorities which require the Company to pay money or take other actions.</w:t>
      </w:r>
    </w:p>
    <w:p>
      <w:pPr>
        <w:spacing w:after="0" w:line="58" w:lineRule="exact"/>
        <w:rPr>
          <w:sz w:val="20"/>
          <w:szCs w:val="20"/>
          <w:color w:val="auto"/>
        </w:rPr>
      </w:pPr>
    </w:p>
    <w:p>
      <w:pPr>
        <w:ind w:left="680" w:firstLine="399"/>
        <w:spacing w:after="0" w:line="255" w:lineRule="auto"/>
        <w:rPr>
          <w:sz w:val="20"/>
          <w:szCs w:val="20"/>
          <w:color w:val="auto"/>
        </w:rPr>
      </w:pPr>
      <w:r>
        <w:rPr>
          <w:rFonts w:ascii="Times New Roman" w:cs="Times New Roman" w:eastAsia="Times New Roman" w:hAnsi="Times New Roman"/>
          <w:sz w:val="13"/>
          <w:szCs w:val="13"/>
          <w:color w:val="auto"/>
        </w:rPr>
        <w:t>On February 16, 2007, CTIC received a letter from the United States Attorney’s Office in the Southern District of Texas advising the company that it is the target of a federal grand jury investigation in Houston, Texas concerning possible violations of law involving loans made by three banks in Texas. CTIC believes that the investigation relates to certain mortgage loan transactions that were closed in 2000 and 2001 by a branch office of CTIC located in the Houston Metropolitan area. As previously disclosed, in February 2005, without any admission of fault or liability, CTIC entered into an Order with the U.S. Office of the Comptroller of the Currency and certain other regulators including the Office of Thrift Supervision and the Texas Department of Insurance in connection with their investigations of matters relating to these loans. Under the Order, the Company agreed to, among other things, pay a civil money penalty, provide training to current and prospective employees, and audit branch offices at least every two years to ensure compliance with applicable rules and regulations. In addition, without admitting any liability, CTIC concurrently entered into a settlement agreement with the U.S. Department of Housing and Urban Development with respect to any violations of the Real Estate Settlement Procedures Act in connection with these loans following HUD’s investigation of the matter. The U.S. Attorney’s Office now is investigating possible violations of the bank fraud laws in connection with the same loans. CTIC is fully cooperating with the U.S. Attorney’s investigation. To date, the Company is not aware of any violations of the bank fraud laws on the part of CTIC or any of its employees. CTIC has agreed to launch an internal investigation, and to report thereon to the U.S. Attorney’s office. In the event that CTIC were to be indicted, the consequences to the Company could materially adversely affect its business.</w:t>
      </w:r>
    </w:p>
    <w:p>
      <w:pPr>
        <w:spacing w:after="0" w:line="2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97" w:name="page98"/>
    <w:bookmarkEnd w:id="97"/>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7" w:lineRule="exact"/>
        <w:rPr>
          <w:sz w:val="20"/>
          <w:szCs w:val="20"/>
          <w:color w:val="auto"/>
        </w:rPr>
      </w:pPr>
    </w:p>
    <w:p>
      <w:pPr>
        <w:ind w:left="680" w:right="20" w:firstLine="399"/>
        <w:spacing w:after="0" w:line="258" w:lineRule="auto"/>
        <w:rPr>
          <w:sz w:val="20"/>
          <w:szCs w:val="20"/>
          <w:color w:val="auto"/>
        </w:rPr>
      </w:pPr>
      <w:r>
        <w:rPr>
          <w:rFonts w:ascii="Times New Roman" w:cs="Times New Roman" w:eastAsia="Times New Roman" w:hAnsi="Times New Roman"/>
          <w:sz w:val="13"/>
          <w:szCs w:val="13"/>
          <w:color w:val="auto"/>
        </w:rPr>
        <w:t>The National Association of Insurance Commissioners and various state insurance regulators have been investigating so called “captive reinsurance” agreements since 2004. The investigations have focused on arrangements in which title insurers would write title insurance generated by realtors, developers and lenders and cede a portion of the premiums to a reinsurance company affiliate of the entity that generated the business. The U.S. Department of Housing and Urban Development (“HUD”) also has made formal or informal inquiries of the Company regarding these matters. The Company has been cooperating and intends to continue to cooperate with all ongoing investigations. The Company has discontinued all captive reinsurance arrangements. The total amount of premiums the Company ceded to reinsurers was approximately $10 million over the existence of these agreements. The Company has settled most of the accusations of wrongdoing that arose from these investigations by discontinuing the practice and paying fines. Some investigations are continuing. The Company anticipates they will be settled in a similar manner.</w:t>
      </w:r>
    </w:p>
    <w:p>
      <w:pPr>
        <w:spacing w:after="0" w:line="64"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color w:val="auto"/>
        </w:rPr>
        <w:t>Additionally, the Company has received inquiries from regulators about its business involvement with title insurance agencies affiliated with builders, realtors and other traditional sources of title insurance business, some of which the Company participated in forming as joint ventures with its subsidiaries. These inquiries have focused on whether the placement of title insurance with the Company through these affiliated agencies is proper or an improper form of referral payment. Like most other title insurers, the Company participates in these affiliated business arrangements in a number of states. The Company has settled the accusations of wrongdoing that arose from some of these investigations by discontinuing the practice and paying fines. Other investigations are continuing. The Company anticipates they will be settled in a similar manner.</w:t>
      </w:r>
    </w:p>
    <w:p>
      <w:pPr>
        <w:spacing w:after="0" w:line="62"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In 2006, the Company and its subsidiaries settled all allegations of wrongdoing arising from a wide-ranging review of the title insurance industry by the New York State Attorney General (the “NYAG”). Under the terms of the settlement, the Company paid a $2 million fine and were required to reduce premiums by 15% on owner’s policies under $1 million. Rate hearings will be conducted by the New York State Insurance Department (the “NYSID”) in 2007 where all rates will be considered industry-wide. The settlement clarifies practices considered wrongful under New York law by the NYAG and the NYSID, and the Company has agreed not to engage in those practices. The Company will take steps to assure that consumers are aware of the filed rates for premiums on title insurance products and that the products are correctly rated. The settlement also resolves all issues raised by the market conduct investigation of the Company and its subsidiaries by the NYSID except the issues of rating errors found by the NYSID. As part of the settlement, the Company and its subsidiaries denied any wrongdoing. Neither the fines nor the 15% rate reduction are expected to have a material impact on the Company’s earnings. The Company cooperated fully with the NYAG and NYSID inquiries into these matters and will continue to cooperate with the NYSID.</w:t>
      </w:r>
    </w:p>
    <w:p>
      <w:pPr>
        <w:spacing w:after="0" w:line="66"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Further, in 2006, U.S. Representative Oxley, the Chairman of the House Financial Services Committee, asked the Government Accountability Office (the GAO) to investigate the title insurance industry. Representative Oxley stated that the Committee is concerned about payments that certain title insurers have made to developers, lenders and real estate agents for referrals of title insurance business. Representative Oxley asked the GAO to examine, among other things, the foregoing relationships and the levels of pricing and competition in the title insurance industry. A congressional hearing was held regarding title insurance practices on April 27, 2006. The GAO’s report is expected in the spring of 2007. The Company is unable to predict the outcome of this inquiry or whether it will adversely affect its business or results of operations.</w:t>
      </w:r>
    </w:p>
    <w:p>
      <w:pPr>
        <w:spacing w:after="0" w:line="62"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color w:val="auto"/>
        </w:rPr>
        <w:t>In January 2007, the California Insurance Commissioner submitted to the California Office of Administrative Law (“OAL”) proposed regulations that would have significant effects on the title insurance industry in California. Among other things, these regulations would set “maximum” rates, effective as of October 1, 2009, for title and escrow using industry data to be reported through the statistical plan described below and published by the California Department of Insurance (the “CDI”). In addition, the new regulations would establish an interim reduction of all title and escrow rates effective October 1, 2009 if the CDI is unable to publish the data necessary for the calculation of the maximum rates by August 1, 2009. These interim rate reductions are intended to roll rates</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8" w:name="page99"/>
    <w:bookmarkEnd w:id="98"/>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7" w:lineRule="exact"/>
        <w:rPr>
          <w:sz w:val="20"/>
          <w:szCs w:val="20"/>
          <w:color w:val="auto"/>
        </w:rPr>
      </w:pPr>
    </w:p>
    <w:p>
      <w:pPr>
        <w:ind w:left="680"/>
        <w:spacing w:after="0" w:line="255" w:lineRule="auto"/>
        <w:rPr>
          <w:sz w:val="20"/>
          <w:szCs w:val="20"/>
          <w:color w:val="auto"/>
        </w:rPr>
      </w:pPr>
      <w:r>
        <w:rPr>
          <w:rFonts w:ascii="Times New Roman" w:cs="Times New Roman" w:eastAsia="Times New Roman" w:hAnsi="Times New Roman"/>
          <w:sz w:val="13"/>
          <w:szCs w:val="13"/>
          <w:color w:val="auto"/>
        </w:rPr>
        <w:t>back so that in effect, premiums are charged on the basis of real property values from the year 2000. Title insurers would be required to reduce their rates to a level below their 2000 rates, with the amount of the reduction determined by a formula adjusting for real estate appreciation and inflation. Although FNF is continuing to evaluate the effect that these regulations would have on its business and its financial results, FNF is concerned that the reduced rates and maximum rate caps set by the California Regulations will significantly reduce the title and escrow rates that are charged in California, while precluding title insurers from seeking relief from those reduced or maximum rates. In addition, the proposed California regulations contemplate the creation of a detailed statistical plan, requiring data to be collected by each title insurer, underwritten title company, and controlled escrow company at the individual transaction level beginning on January 1, 2008. The statistical plan would also require that all expenses be allocated among 18 “activities,” such as title search/examination, preliminary report issuance, general management, customer support, sales, recording of documents, and escrow document production. The data collected under the statistical plan would be submitted annually to the CDI beginning on April 30, 2009. Compliance with the data collection and reporting requirements of the California Regulations, if adopted, would necessitate a significant revision and augmentation of the Company’s existing data collection and accounting systems before January 1, 2008, and would require a significant expenditure to comply with the April 30, 2009 deadline. The proposed required rate reductions and maximum rates would significantly reduce the title insurance rates that the Company’s subsidiaries can charge, and would likely have a significant negative impact on the Company’s California revenues. In addition, the increased cost of compliance with the statistical data collection and reporting requirements would negatively impact the Company’s cost of doing business in California. California is the largest source of revenue for the title insurance industry, including for the Company. On February 21, 2007, the OAL disapproved the proposed California Regulations and requested certain clarifications from the CDI. On February 22, 2007, the CDI announced its intention to move forward expeditiously to satisfy the OAL’s request in consultation with consumer groups and the title industry and resubmit the regulations for approval.</w:t>
      </w:r>
    </w:p>
    <w:p>
      <w:pPr>
        <w:spacing w:after="0" w:line="67" w:lineRule="exact"/>
        <w:rPr>
          <w:sz w:val="20"/>
          <w:szCs w:val="20"/>
          <w:color w:val="auto"/>
        </w:rPr>
      </w:pPr>
    </w:p>
    <w:p>
      <w:pPr>
        <w:jc w:val="both"/>
        <w:ind w:left="680" w:right="100" w:firstLine="399"/>
        <w:spacing w:after="0" w:line="263" w:lineRule="auto"/>
        <w:rPr>
          <w:sz w:val="20"/>
          <w:szCs w:val="20"/>
          <w:color w:val="auto"/>
        </w:rPr>
      </w:pPr>
      <w:r>
        <w:rPr>
          <w:rFonts w:ascii="Times New Roman" w:cs="Times New Roman" w:eastAsia="Times New Roman" w:hAnsi="Times New Roman"/>
          <w:sz w:val="13"/>
          <w:szCs w:val="13"/>
          <w:color w:val="auto"/>
        </w:rPr>
        <w:t>In addition, the Florida Office of Insurance Regulation (the “OIR”) has recently released three studies of the title insurance industry which purport to demonstrate that title insurance rates in Florida are too high and that the Florida title insurance industry is overwhelmingly dominated by five firms, which includes us. The studies recommend tying premium rates to loss ratios thereby making the rates a reflection of the actual risks born by the insurer. The OIR is presently developing a rule to establish and govern the annual collection of statistical data and has said that it will use the information gathered to begin a full review of the title insurance rates charged in Florida.</w:t>
      </w:r>
    </w:p>
    <w:p>
      <w:pPr>
        <w:spacing w:after="0" w:line="62" w:lineRule="exact"/>
        <w:rPr>
          <w:sz w:val="20"/>
          <w:szCs w:val="20"/>
          <w:color w:val="auto"/>
        </w:rPr>
      </w:pPr>
    </w:p>
    <w:p>
      <w:pPr>
        <w:ind w:left="680" w:right="40" w:firstLine="399"/>
        <w:spacing w:after="0" w:line="286" w:lineRule="auto"/>
        <w:rPr>
          <w:sz w:val="20"/>
          <w:szCs w:val="20"/>
          <w:color w:val="auto"/>
        </w:rPr>
      </w:pPr>
      <w:r>
        <w:rPr>
          <w:rFonts w:ascii="Times New Roman" w:cs="Times New Roman" w:eastAsia="Times New Roman" w:hAnsi="Times New Roman"/>
          <w:sz w:val="13"/>
          <w:szCs w:val="13"/>
          <w:color w:val="auto"/>
        </w:rPr>
        <w:t>The Washington Insurance Commissioner has issued a report concluding that the title insurance industry has engaged in illegal referral fees. The Commissioner has appointed a panel to recommend title industry reforms.</w:t>
      </w:r>
    </w:p>
    <w:p>
      <w:pPr>
        <w:spacing w:after="0" w:line="47" w:lineRule="exact"/>
        <w:rPr>
          <w:sz w:val="20"/>
          <w:szCs w:val="20"/>
          <w:color w:val="auto"/>
        </w:rPr>
      </w:pPr>
    </w:p>
    <w:p>
      <w:pPr>
        <w:ind w:left="680" w:right="60" w:firstLine="399"/>
        <w:spacing w:after="0" w:line="259" w:lineRule="auto"/>
        <w:rPr>
          <w:sz w:val="20"/>
          <w:szCs w:val="20"/>
          <w:color w:val="auto"/>
        </w:rPr>
      </w:pPr>
      <w:r>
        <w:rPr>
          <w:rFonts w:ascii="Times New Roman" w:cs="Times New Roman" w:eastAsia="Times New Roman" w:hAnsi="Times New Roman"/>
          <w:sz w:val="13"/>
          <w:szCs w:val="13"/>
          <w:color w:val="auto"/>
        </w:rPr>
        <w:t>As a condition to the 2006 Distribution, Old FNF received a ruling from the Internal Revenue Service and an opinion from a nationally recognized accounting firm, together to the effect that the 2006 Distribution would be tax free for both Old FNF and the stockholders of Old FNF under Section 355 and related provisions of the Internal Revenue Code. Although a private letter ruling from the Internal Revenue Service generally is binding on the Internal Revenue Service, if the factual representations or assumptions made in the letter ruling are untrue or incomplete in any respect, then the ruling may not be relied upon. The accounting firm’s opinion is based on, among other things, certain assumptions and representations as to factual matters made by Old FNF and FNT, which, if incorrect or inaccurate in any respect, could prevent those opinions from being relied upon. The opinion is not binding on the Internal Revenue Service or the courts, and the Internal Revenue Service or the courts may not agree with the opinion.</w:t>
      </w:r>
    </w:p>
    <w:p>
      <w:pPr>
        <w:spacing w:after="0" w:line="64" w:lineRule="exact"/>
        <w:rPr>
          <w:sz w:val="20"/>
          <w:szCs w:val="20"/>
          <w:color w:val="auto"/>
        </w:rPr>
      </w:pPr>
    </w:p>
    <w:p>
      <w:pPr>
        <w:jc w:val="both"/>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The 2006 Distribution would become taxable to Old FNF (and to its successor after the merger, FIS) pursuant to Section 355(e) of the Internal Revenue Code if 50% or more of the shares of either Old FNF common stock (taking into account FIS common stock, as successor to FNF after the merger) or 50% or more of the FNT common stock were acquired, directly or indirectly, as part of a plan or series of related transactions that included the 2006 Distribution. Because the Old FNF stockholders owned more than 50% of the FIS common stock following the merger, the merger, standing alone, would not cause the distribution to be taxable to Old FNF under Section 355(e).</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9" w:name="page100"/>
    <w:bookmarkEnd w:id="99"/>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7" w:lineRule="exact"/>
        <w:rPr>
          <w:sz w:val="20"/>
          <w:szCs w:val="20"/>
          <w:color w:val="auto"/>
        </w:rPr>
      </w:pPr>
    </w:p>
    <w:p>
      <w:pPr>
        <w:ind w:left="680" w:right="20"/>
        <w:spacing w:after="0" w:line="256" w:lineRule="auto"/>
        <w:rPr>
          <w:sz w:val="20"/>
          <w:szCs w:val="20"/>
          <w:color w:val="auto"/>
        </w:rPr>
      </w:pPr>
      <w:r>
        <w:rPr>
          <w:rFonts w:ascii="Times New Roman" w:cs="Times New Roman" w:eastAsia="Times New Roman" w:hAnsi="Times New Roman"/>
          <w:sz w:val="13"/>
          <w:szCs w:val="13"/>
          <w:color w:val="auto"/>
        </w:rPr>
        <w:t>However, if the Internal Revenue Service successfully asserted that acquisitions of Old FNF common stock or FIS common stock, either before or after the distribution, were part of a plan or series of related transactions that included the 2006 Distribution, such determination likely would result in the recognition of gain by Old FNF under Section 355(e) taking into account that the merger resulted in an acquisition of approximately 49% of the stock of FIS pursuant to a plan that includes the 2006 Distribution. In any such case, the gain recognized by Old FNF would equal the fair market value of all of the stock in FNT that Old FNF owned (including the FNT common stock Old FNF received for the Asset Contribution to FNT) immediately prior to the 2006 Distribution minus Old FNF’s basis in the stock of FNT. Old FNF estimated the resulting tax on such gain to be in the range of $150 million and possibly greater depending on, among other things, the value of the FNT stock at the time of the distribution. Under the agreements executed by the parties, FNT would generally be required to indemnify FIS (as successor to Old FNF after the merger) against tax-related losses to FIS that arise if the distribution were to become taxable under Section 355(e). However, FIS would be required to indemnify FNT if FIS had taken certain actions within its control that caused the 2006 Distribution to be taxable. If Section 355(e) were to cause the 2006 Distribution to be taxable to Old FNF and indemnifiable by FNT or FIS, the 2006 Distribution would remain tax free to Old FNF’s stockholders, assuming the other requirements of Section 355 were otherwise satisfied.</w:t>
      </w:r>
    </w:p>
    <w:p>
      <w:pPr>
        <w:spacing w:after="0" w:line="69"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In conducting its operations, the Company routinely holds customers’ assets in escrow, pending completion of real estate transactions. Certain of these amounts are maintained in segregated bank accounts and have not been included in the accompanying Consolidated Balance Sheets. The Company has a contingent liability relating to proper disposition of these balances for our customers, which amounted to $8.9 billion at December 31, 2006. As a result of holding these customers’ assets in escrow, the Company has ongoing programs for realizing economic benefits during the year through favorable borrowing and vendor arrangements with various banks. There were no investments or loans outstanding as of December 31, 2006 and 2005 related to these arrangements.</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71"/>
        </w:trPr>
        <w:tc>
          <w:tcPr>
            <w:tcW w:w="92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Future minimum operating lease payments are as follows (dollars in thousands):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98"/>
        </w:trPr>
        <w:tc>
          <w:tcPr>
            <w:tcW w:w="9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2007</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130,450</w:t>
            </w:r>
          </w:p>
        </w:tc>
      </w:tr>
      <w:tr>
        <w:trPr>
          <w:trHeight w:val="157"/>
        </w:trPr>
        <w:tc>
          <w:tcPr>
            <w:tcW w:w="9200" w:type="dxa"/>
            <w:vAlign w:val="bottom"/>
          </w:tcPr>
          <w:p>
            <w:pPr>
              <w:spacing w:after="0"/>
              <w:rPr>
                <w:sz w:val="20"/>
                <w:szCs w:val="20"/>
                <w:color w:val="auto"/>
              </w:rPr>
            </w:pPr>
            <w:r>
              <w:rPr>
                <w:rFonts w:ascii="Times New Roman" w:cs="Times New Roman" w:eastAsia="Times New Roman" w:hAnsi="Times New Roman"/>
                <w:sz w:val="13"/>
                <w:szCs w:val="13"/>
                <w:color w:val="auto"/>
              </w:rPr>
              <w:t>2008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102,532</w:t>
            </w:r>
          </w:p>
        </w:tc>
      </w:tr>
      <w:tr>
        <w:trPr>
          <w:trHeight w:val="157"/>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73,057</w:t>
            </w:r>
          </w:p>
        </w:tc>
      </w:tr>
      <w:tr>
        <w:trPr>
          <w:trHeight w:val="157"/>
        </w:trPr>
        <w:tc>
          <w:tcPr>
            <w:tcW w:w="9200" w:type="dxa"/>
            <w:vAlign w:val="bottom"/>
          </w:tcPr>
          <w:p>
            <w:pPr>
              <w:spacing w:after="0"/>
              <w:rPr>
                <w:sz w:val="20"/>
                <w:szCs w:val="20"/>
                <w:color w:val="auto"/>
              </w:rPr>
            </w:pPr>
            <w:r>
              <w:rPr>
                <w:rFonts w:ascii="Times New Roman" w:cs="Times New Roman" w:eastAsia="Times New Roman" w:hAnsi="Times New Roman"/>
                <w:sz w:val="13"/>
                <w:szCs w:val="13"/>
                <w:color w:val="auto"/>
              </w:rPr>
              <w:t>2010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46,848</w:t>
            </w:r>
          </w:p>
        </w:tc>
      </w:tr>
      <w:tr>
        <w:trPr>
          <w:trHeight w:val="157"/>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2011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26,149</w:t>
            </w:r>
          </w:p>
        </w:tc>
      </w:tr>
      <w:tr>
        <w:trPr>
          <w:trHeight w:val="157"/>
        </w:trPr>
        <w:tc>
          <w:tcPr>
            <w:tcW w:w="9200" w:type="dxa"/>
            <w:vAlign w:val="bottom"/>
          </w:tcPr>
          <w:p>
            <w:pPr>
              <w:spacing w:after="0"/>
              <w:rPr>
                <w:sz w:val="20"/>
                <w:szCs w:val="20"/>
                <w:color w:val="auto"/>
              </w:rPr>
            </w:pPr>
            <w:r>
              <w:rPr>
                <w:rFonts w:ascii="Times New Roman" w:cs="Times New Roman" w:eastAsia="Times New Roman" w:hAnsi="Times New Roman"/>
                <w:sz w:val="13"/>
                <w:szCs w:val="13"/>
                <w:color w:val="auto"/>
              </w:rPr>
              <w:t>Thereafter</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88,725</w:t>
            </w:r>
          </w:p>
        </w:tc>
      </w:tr>
      <w:tr>
        <w:trPr>
          <w:trHeight w:val="20"/>
        </w:trPr>
        <w:tc>
          <w:tcPr>
            <w:tcW w:w="9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future minimum operating lease payments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467,761</w:t>
            </w:r>
          </w:p>
        </w:tc>
      </w:tr>
      <w:tr>
        <w:trPr>
          <w:trHeight w:val="29"/>
        </w:trPr>
        <w:tc>
          <w:tcPr>
            <w:tcW w:w="9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Rent expense incurred under operating leases during the years ended December 31, 2006, 2005 and 2004, was $224.4 million, $208.3 million, and $197.3 million, respectively.</w:t>
      </w:r>
    </w:p>
    <w:p>
      <w:pPr>
        <w:spacing w:after="0" w:line="96"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On June 29, 2004, Old FNF entered into an off-balance sheet financing arrangement (commonly referred to as a “synthetic lease”). The owner/lessor in this arrangement acquired land and various real property improvements associated with new construction of an office building in Jacksonville, Florida, that are part of FNF’s corporate campus and headquarters. The lease expires on June 28, 2011, with renewal subject to consent of the lessor and the lenders. The lessor is a third-party limited liability company. The synthetic lease facility provides for amounts up to $75.0 million. As of December 31, 2006, the full $75.0 million had been drawn on the facility to finance land costs and related fees and expenses. The leases include guarantees by us of up to 86.7% of the outstanding lease balance, and options to purchase the facilities at the outstanding lease balance. The guarantee becomes effective if the Company declines to purchase the facilities at the end of the lease and also declines to renew the lease. The lessor financed the acquisition of the facilities through funding provided by third-party financial institutions. The Company has no affiliation or relationship with the lessor or any of its employees, directors or affiliates, and transactions with the lessor are limited to the operating lease agreements and the associated rent expense that have</w:t>
      </w:r>
    </w:p>
    <w:p>
      <w:pPr>
        <w:spacing w:after="0" w:line="2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0" w:name="page101"/>
    <w:bookmarkEnd w:id="100"/>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been included in other operating expenses in the Consolidated Statements of Earnings after the end of the construction period.</w:t>
      </w:r>
    </w:p>
    <w:p>
      <w:pPr>
        <w:spacing w:after="0" w:line="96" w:lineRule="exact"/>
        <w:rPr>
          <w:sz w:val="20"/>
          <w:szCs w:val="20"/>
          <w:color w:val="auto"/>
        </w:rPr>
      </w:pPr>
    </w:p>
    <w:p>
      <w:pPr>
        <w:jc w:val="both"/>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The Company does not believe the lessor is a variable interest entity, as defined in FASB Interpretation No. 46R, “Consolidation of Variable Interest Entities” (“FIN 46”). In addition, the Company has verified that even if the lessor was determined to be a variable interest entity, the Company would not have to consolidate the lessor nor the assets and liabilities associated with the assets leased to the Company. This is because the assets leased do not exceed 50% of the total fair value of the lessor’s assets excluding any assets that should be excluded from such calculation under FIN 46, nor did the lessor finance 95% or more of the leased balance with non-recourse debt, target equity or similar funding.</w:t>
      </w:r>
    </w:p>
    <w:p>
      <w:pPr>
        <w:spacing w:after="0" w:line="139" w:lineRule="exact"/>
        <w:rPr>
          <w:sz w:val="20"/>
          <w:szCs w:val="20"/>
          <w:color w:val="auto"/>
        </w:rPr>
      </w:pPr>
    </w:p>
    <w:p>
      <w:pPr>
        <w:ind w:left="1080" w:hanging="393"/>
        <w:spacing w:after="0"/>
        <w:tabs>
          <w:tab w:leader="none" w:pos="1080" w:val="left"/>
        </w:tabs>
        <w:numPr>
          <w:ilvl w:val="0"/>
          <w:numId w:val="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Regulation and Stockholders’ Equity</w:t>
      </w:r>
    </w:p>
    <w:p>
      <w:pPr>
        <w:spacing w:after="0" w:line="98"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The Company’s insurance subsidiaries, including title insurers, property and casualty insurers, underwritten title companies and insurance agencies, are subject to extensive regulation under applicable state laws. Each of the insurance underwriters is subject to a holding company act in its state of domicile which regulates, among other matters, the ability to pay dividends and enter into transactions with affiliates. The laws of most states in which the Company transacts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w:t>
      </w:r>
    </w:p>
    <w:p>
      <w:pPr>
        <w:spacing w:after="0" w:line="62" w:lineRule="exact"/>
        <w:rPr>
          <w:sz w:val="20"/>
          <w:szCs w:val="20"/>
          <w:color w:val="auto"/>
        </w:rPr>
      </w:pPr>
    </w:p>
    <w:p>
      <w:pPr>
        <w:jc w:val="both"/>
        <w:ind w:left="680" w:right="340" w:firstLine="399"/>
        <w:spacing w:after="0" w:line="269" w:lineRule="auto"/>
        <w:rPr>
          <w:sz w:val="20"/>
          <w:szCs w:val="20"/>
          <w:color w:val="auto"/>
        </w:rPr>
      </w:pPr>
      <w:r>
        <w:rPr>
          <w:rFonts w:ascii="Times New Roman" w:cs="Times New Roman" w:eastAsia="Times New Roman" w:hAnsi="Times New Roman"/>
          <w:sz w:val="13"/>
          <w:szCs w:val="13"/>
          <w:color w:val="auto"/>
        </w:rPr>
        <w:t>Since we are governed by both state and federal governments and the applicable insurance laws and regulations are constantly subject to change, it is not possible to predict the potential effects on our insurance operations, particularly our Fidelity National Title Group segment, of any laws or regulations that may become more restrictive in the future or if new restrictive laws will be enacted. See Note K for a description of certain recent regulatory developments in California and other states.</w:t>
      </w:r>
    </w:p>
    <w:p>
      <w:pPr>
        <w:spacing w:after="0" w:line="58" w:lineRule="exact"/>
        <w:rPr>
          <w:sz w:val="20"/>
          <w:szCs w:val="20"/>
          <w:color w:val="auto"/>
        </w:rPr>
      </w:pPr>
    </w:p>
    <w:p>
      <w:pPr>
        <w:ind w:left="680" w:right="220" w:firstLine="399"/>
        <w:spacing w:after="0" w:line="261" w:lineRule="auto"/>
        <w:rPr>
          <w:sz w:val="20"/>
          <w:szCs w:val="20"/>
          <w:color w:val="auto"/>
        </w:rPr>
      </w:pPr>
      <w:r>
        <w:rPr>
          <w:rFonts w:ascii="Times New Roman" w:cs="Times New Roman" w:eastAsia="Times New Roman" w:hAnsi="Times New Roman"/>
          <w:sz w:val="13"/>
          <w:szCs w:val="13"/>
          <w:color w:val="auto"/>
        </w:rPr>
        <w:t>Pursuant to statutory accounting requirements of the various states in which the Company’s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2006, the combined statutory unearned premium reserve required and reported for the Company’s title insurers was $1,398.3 million. In addition to statutory unearned premium reserves, each of our insurers maintains surplus funds for policyholder protection and business operations.</w:t>
      </w:r>
    </w:p>
    <w:p>
      <w:pPr>
        <w:spacing w:after="0" w:line="62" w:lineRule="exact"/>
        <w:rPr>
          <w:sz w:val="20"/>
          <w:szCs w:val="20"/>
          <w:color w:val="auto"/>
        </w:rPr>
      </w:pPr>
    </w:p>
    <w:p>
      <w:pPr>
        <w:ind w:left="680" w:right="100" w:firstLine="399"/>
        <w:spacing w:after="0" w:line="269" w:lineRule="auto"/>
        <w:rPr>
          <w:sz w:val="20"/>
          <w:szCs w:val="20"/>
          <w:color w:val="auto"/>
        </w:rPr>
      </w:pPr>
      <w:r>
        <w:rPr>
          <w:rFonts w:ascii="Times New Roman" w:cs="Times New Roman" w:eastAsia="Times New Roman" w:hAnsi="Times New Roman"/>
          <w:sz w:val="13"/>
          <w:szCs w:val="13"/>
          <w:color w:val="auto"/>
        </w:rPr>
        <w:t>Each of the Company’s insurance subsidiaries is regulated by the insurance regulatory authority in its respective state of domicile, as well as that of each state in which it is licensed. The insurance commissioners of their respective states of domicile are the primary regulators of the Company’s title insurance subsidiaries. Each of the insurers is subject to periodic regulatory financial examination by regulatory authorities, and certain of these examinations are currently ongoing.</w:t>
      </w:r>
    </w:p>
    <w:p>
      <w:pPr>
        <w:spacing w:after="0" w:line="58" w:lineRule="exact"/>
        <w:rPr>
          <w:sz w:val="20"/>
          <w:szCs w:val="20"/>
          <w:color w:val="auto"/>
        </w:rPr>
      </w:pPr>
    </w:p>
    <w:p>
      <w:pPr>
        <w:ind w:left="680" w:right="220" w:firstLine="399"/>
        <w:spacing w:after="0" w:line="263" w:lineRule="auto"/>
        <w:rPr>
          <w:sz w:val="20"/>
          <w:szCs w:val="20"/>
          <w:color w:val="auto"/>
        </w:rPr>
      </w:pPr>
      <w:r>
        <w:rPr>
          <w:rFonts w:ascii="Times New Roman" w:cs="Times New Roman" w:eastAsia="Times New Roman" w:hAnsi="Times New Roman"/>
          <w:sz w:val="13"/>
          <w:szCs w:val="13"/>
          <w:color w:val="auto"/>
        </w:rPr>
        <w:t>The Company’s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2006, $1,995.5 million of the Company’s net assets are restricted from dividend payments without prior approval from the Departments of Insurance. During 2007, the Company’s title insurers can pay or make distributions to the Company of approximately $264.8 million, without prior approval.</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1" w:name="page102"/>
    <w:bookmarkEnd w:id="101"/>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77" w:lineRule="exact"/>
        <w:rPr>
          <w:sz w:val="20"/>
          <w:szCs w:val="20"/>
          <w:color w:val="auto"/>
        </w:rPr>
      </w:pPr>
    </w:p>
    <w:p>
      <w:pPr>
        <w:ind w:left="680" w:right="200" w:firstLine="399"/>
        <w:spacing w:after="0" w:line="286" w:lineRule="auto"/>
        <w:rPr>
          <w:sz w:val="20"/>
          <w:szCs w:val="20"/>
          <w:color w:val="auto"/>
        </w:rPr>
      </w:pPr>
      <w:r>
        <w:rPr>
          <w:rFonts w:ascii="Times New Roman" w:cs="Times New Roman" w:eastAsia="Times New Roman" w:hAnsi="Times New Roman"/>
          <w:sz w:val="13"/>
          <w:szCs w:val="13"/>
          <w:color w:val="auto"/>
        </w:rPr>
        <w:t>The combined statutory capital and surplus of the Company’s title insurers was $860.3 million and $852.2 million as of December 31, 2006 and 2005, respectively. The combined statutory net earnings of the Company’s title insurance subsidiaries were $413.8 million and $400.4 million for the years ended December 31, 2006 and 2005, respectively.</w:t>
      </w:r>
    </w:p>
    <w:p>
      <w:pPr>
        <w:spacing w:after="0" w:line="47" w:lineRule="exact"/>
        <w:rPr>
          <w:sz w:val="20"/>
          <w:szCs w:val="20"/>
          <w:color w:val="auto"/>
        </w:rPr>
      </w:pPr>
    </w:p>
    <w:p>
      <w:pPr>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As a condition to continued authority to underwrite policies in the states in which the Company’s insurers conduct their business, the insurers are required to pay certain fees and file information regarding their officers, directors and financial condition. In addition, the Company’s escrow and trust business is subject to regulation by various state banking authorities.</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Pursuant to statutory requirements of the various states in which the Company’s insurers are domiciled, such insurers must maintain certain levels of minimum capital and surplus.</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Each of the Company’s underwriters has complied with the minimum statutory requirements as of December 31, 2006.</w:t>
      </w:r>
    </w:p>
    <w:p>
      <w:pPr>
        <w:spacing w:after="0" w:line="83"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The Company’s underwritten title companies are also subject to certain regulation by insurance regulatory or banking authorities, primarily relating to minimum net worth. Minimum net worth of $7.5 million, $2.5 million, $3.0 million and $0.4 million is required for Fidelity National Title Company, Fidelity National Title Company of California, Chicago Title Company and Ticor Title Company of California, respectively. All of the Company’s underwritten title companies are in compliance with all of their respective minimum net worth requirements at December 31, 2006.</w:t>
      </w:r>
    </w:p>
    <w:p>
      <w:pPr>
        <w:spacing w:after="0" w:line="62" w:lineRule="exact"/>
        <w:rPr>
          <w:sz w:val="20"/>
          <w:szCs w:val="20"/>
          <w:color w:val="auto"/>
        </w:rPr>
      </w:pPr>
    </w:p>
    <w:p>
      <w:pPr>
        <w:jc w:val="both"/>
        <w:ind w:left="680" w:right="260" w:firstLine="399"/>
        <w:spacing w:after="0" w:line="269" w:lineRule="auto"/>
        <w:rPr>
          <w:sz w:val="20"/>
          <w:szCs w:val="20"/>
          <w:color w:val="auto"/>
        </w:rPr>
      </w:pPr>
      <w:r>
        <w:rPr>
          <w:rFonts w:ascii="Times New Roman" w:cs="Times New Roman" w:eastAsia="Times New Roman" w:hAnsi="Times New Roman"/>
          <w:sz w:val="13"/>
          <w:szCs w:val="13"/>
          <w:color w:val="auto"/>
        </w:rPr>
        <w:t>On October 25, 2006, the Company’s Board of Directors approved a three-year stock repurchase program under which the Company can repurchase up to 25 million shares of its common stock. The Company may make purchases from time to time in the open market, in block purchases or in privately negotiated transactions, depending on market conditions and other factors. There were no repurchases of the Company’s common stock under this plan in 2006.</w:t>
      </w:r>
    </w:p>
    <w:p>
      <w:pPr>
        <w:spacing w:after="0" w:line="134" w:lineRule="exact"/>
        <w:rPr>
          <w:sz w:val="20"/>
          <w:szCs w:val="20"/>
          <w:color w:val="auto"/>
        </w:rPr>
      </w:pPr>
    </w:p>
    <w:p>
      <w:pPr>
        <w:ind w:left="1080" w:hanging="393"/>
        <w:spacing w:after="0"/>
        <w:tabs>
          <w:tab w:leader="none" w:pos="1080" w:val="left"/>
        </w:tabs>
        <w:numPr>
          <w:ilvl w:val="0"/>
          <w:numId w:val="4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Employee Benefit Plans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Stock Purchase Plan</w:t>
      </w:r>
    </w:p>
    <w:p>
      <w:pPr>
        <w:spacing w:after="0" w:line="100" w:lineRule="exact"/>
        <w:rPr>
          <w:sz w:val="20"/>
          <w:szCs w:val="20"/>
          <w:color w:val="auto"/>
        </w:rPr>
      </w:pPr>
    </w:p>
    <w:p>
      <w:pPr>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During the three-year period ended December 31, 2006, eligible employees of the Company and its subsidiaries could voluntarily participate in employee stock purchase plans (“ESPPs”) sponsored by the Company and its subsidiaries. Pursuant to the ESPPs, employees may contribute an amount between 3% and 15% of their base salary and certain commissions. The Company and its subsidiaries contribute varying amounts as specified in the ESPPs. The Company and its subsidiaries contributed $24.5 million $21.9 million, and $16.5 million to the ESPPs in the years ended December 31, 2006, 2005, and 2004, respectively, in accordance with the employer’s matching contribution.</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401(k) Profit Sharing Plan</w:t>
      </w:r>
    </w:p>
    <w:p>
      <w:pPr>
        <w:spacing w:after="0" w:line="100" w:lineRule="exact"/>
        <w:rPr>
          <w:sz w:val="20"/>
          <w:szCs w:val="20"/>
          <w:color w:val="auto"/>
        </w:rPr>
      </w:pPr>
    </w:p>
    <w:p>
      <w:pPr>
        <w:ind w:left="680" w:right="100" w:firstLine="399"/>
        <w:spacing w:after="0" w:line="261" w:lineRule="auto"/>
        <w:rPr>
          <w:sz w:val="20"/>
          <w:szCs w:val="20"/>
          <w:color w:val="auto"/>
        </w:rPr>
      </w:pPr>
      <w:r>
        <w:rPr>
          <w:rFonts w:ascii="Times New Roman" w:cs="Times New Roman" w:eastAsia="Times New Roman" w:hAnsi="Times New Roman"/>
          <w:sz w:val="13"/>
          <w:szCs w:val="13"/>
          <w:color w:val="auto"/>
        </w:rPr>
        <w:t>During the three-year period ended December 31, 2006, the Company and its subsidiaries have offered their employees the opportunity to participate in 401(k) profit sharing plans (the “401(k) Plans”), qualified voluntary contributory savings plans which are available to substantially all Fidelity employees. Eligible employees may contribute up to 40% of their pretax annual compensation, up to the amount allowed pursuant to the Internal Revenue Code. The Company and its subsidiaries match 50% of each dollar of employee contribution up to six percent of the employee’s total compensation. The Company’s cost for the 401(k) Plans for the years ended December 31, 2006, 2005 and 2004 was $39.5 million, $40.0 million and $33.5 million, respectively.</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Stock Option Plans</w:t>
      </w:r>
    </w:p>
    <w:p>
      <w:pPr>
        <w:spacing w:after="0" w:line="100"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In connection with the 2005 distribution of FNT stock by Old FNF, the Company established the FNT 2005 Omnibus Incentive Plan (the “Omnibus Plan”) authorizing the issuance of up to 8 million shares of common stock,</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02" w:name="page103"/>
    <w:bookmarkEnd w:id="102"/>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7" w:lineRule="exact"/>
        <w:rPr>
          <w:sz w:val="20"/>
          <w:szCs w:val="20"/>
          <w:color w:val="auto"/>
        </w:rPr>
      </w:pPr>
    </w:p>
    <w:p>
      <w:pPr>
        <w:ind w:left="680" w:right="20"/>
        <w:spacing w:after="0" w:line="263" w:lineRule="auto"/>
        <w:rPr>
          <w:sz w:val="20"/>
          <w:szCs w:val="20"/>
          <w:color w:val="auto"/>
        </w:rPr>
      </w:pPr>
      <w:r>
        <w:rPr>
          <w:rFonts w:ascii="Times New Roman" w:cs="Times New Roman" w:eastAsia="Times New Roman" w:hAnsi="Times New Roman"/>
          <w:sz w:val="13"/>
          <w:szCs w:val="13"/>
          <w:color w:val="auto"/>
        </w:rPr>
        <w:t>subject to the terms of the Omnibus Plan. On October 23, 2006, the stockholders of FNT approved an amendment to increase the number of shares available for issuance under the Omnibus Plan by 15.5 million shares. The increase was in part to provide capacity for options and restricted stock to be issued to replace FNF options and restricted stock per the SEDA. The Omnibus Plan provides for the grant of stock options, stock appreciation rights, restricted stock, restricted stock units and performance shares, performance units, other cash and stock-based awards and dividend equivalents. As of December 31, 2006, there were 2,596,649 shares of restricted stock and 14,052,046 stock options outstanding under this plan.</w:t>
      </w:r>
    </w:p>
    <w:p>
      <w:pPr>
        <w:spacing w:after="0" w:line="62" w:lineRule="exact"/>
        <w:rPr>
          <w:sz w:val="20"/>
          <w:szCs w:val="20"/>
          <w:color w:val="auto"/>
        </w:rPr>
      </w:pPr>
    </w:p>
    <w:p>
      <w:pPr>
        <w:ind w:left="680" w:right="160" w:firstLine="399"/>
        <w:spacing w:after="0" w:line="259" w:lineRule="auto"/>
        <w:rPr>
          <w:sz w:val="20"/>
          <w:szCs w:val="20"/>
          <w:color w:val="auto"/>
        </w:rPr>
      </w:pPr>
      <w:r>
        <w:rPr>
          <w:rFonts w:ascii="Times New Roman" w:cs="Times New Roman" w:eastAsia="Times New Roman" w:hAnsi="Times New Roman"/>
          <w:sz w:val="13"/>
          <w:szCs w:val="13"/>
          <w:color w:val="auto"/>
        </w:rPr>
        <w:t>On October 24, 2006, as part of the closing of the SEDA and spin-off from Old FNF, the Company granted options and restricted stock to replace Old FNF options and Old FNF restricted stock to its employees. The Company issued approximately 10.0 million options with a weighted average strike price of $10.47 per share to replace 5.0 million outstanding Old FNF options granted out of the historical FNF plans in an intrinsic value swap. The Company also issued approximately 0.7 million shares of restricted stock to employees as part of the distribution and to replace Old FNF restricted stock. During 2006, at the closing of the SEDA the Company also granted 790,000 shares of restricted stock to certain executive officers and the board of directors. Subsequent to the closing of the SEDA, the Company also granted 754,500 shares of restricted stock to other officers and employees and 2,116,500 options to other officers and employees.</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 detail of Old FNF option activity from December 31, 2003 through the closing of the SEDA transaction on October 24, 2006 is as follows: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28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0"/>
                <w:szCs w:val="10"/>
                <w:b w:val="1"/>
                <w:bCs w:val="1"/>
                <w:color w:val="auto"/>
              </w:rPr>
              <w:t>Options</w:t>
            </w:r>
          </w:p>
        </w:tc>
        <w:tc>
          <w:tcPr>
            <w:tcW w:w="160" w:type="dxa"/>
            <w:vAlign w:val="bottom"/>
          </w:tcPr>
          <w:p>
            <w:pPr>
              <w:spacing w:after="0"/>
              <w:rPr>
                <w:sz w:val="10"/>
                <w:szCs w:val="10"/>
                <w:color w:val="auto"/>
              </w:rPr>
            </w:pPr>
          </w:p>
        </w:tc>
        <w:tc>
          <w:tcPr>
            <w:tcW w:w="1580" w:type="dxa"/>
            <w:vAlign w:val="bottom"/>
            <w:gridSpan w:val="2"/>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rPr>
              <w:t>Weighted Average</w:t>
            </w:r>
          </w:p>
        </w:tc>
        <w:tc>
          <w:tcPr>
            <w:tcW w:w="9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Exercisable</w:t>
            </w:r>
          </w:p>
        </w:tc>
        <w:tc>
          <w:tcPr>
            <w:tcW w:w="0" w:type="dxa"/>
            <w:vAlign w:val="bottom"/>
          </w:tcPr>
          <w:p>
            <w:pPr>
              <w:spacing w:after="0"/>
              <w:rPr>
                <w:sz w:val="1"/>
                <w:szCs w:val="1"/>
                <w:color w:val="auto"/>
              </w:rPr>
            </w:pPr>
          </w:p>
        </w:tc>
      </w:tr>
      <w:tr>
        <w:trPr>
          <w:trHeight w:val="127"/>
        </w:trPr>
        <w:tc>
          <w:tcPr>
            <w:tcW w:w="130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0"/>
                <w:szCs w:val="10"/>
                <w:b w:val="1"/>
                <w:bCs w:val="1"/>
                <w:color w:val="auto"/>
              </w:rPr>
              <w:t>Exercise Price</w:t>
            </w: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December 31, 2003</w:t>
            </w:r>
          </w:p>
        </w:tc>
        <w:tc>
          <w:tcPr>
            <w:tcW w:w="12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13,758,428</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12.84</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11,247,929</w:t>
            </w:r>
          </w:p>
        </w:tc>
        <w:tc>
          <w:tcPr>
            <w:tcW w:w="0" w:type="dxa"/>
            <w:vAlign w:val="bottom"/>
          </w:tcPr>
          <w:p>
            <w:pPr>
              <w:spacing w:after="0"/>
              <w:rPr>
                <w:sz w:val="1"/>
                <w:szCs w:val="1"/>
                <w:color w:val="auto"/>
              </w:rPr>
            </w:pPr>
          </w:p>
        </w:tc>
      </w:tr>
      <w:tr>
        <w:trPr>
          <w:trHeight w:val="157"/>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Options assumed in Sanchez acquisition</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1,024,588</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41.69</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Options assumed in InterCept acquisition</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1,708,155</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41.73</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Granted</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4,381,490</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37.04</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Exercised</w:t>
            </w:r>
          </w:p>
        </w:tc>
        <w:tc>
          <w:tcPr>
            <w:tcW w:w="12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(5,039,608)</w:t>
            </w:r>
          </w:p>
        </w:tc>
        <w:tc>
          <w:tcPr>
            <w:tcW w:w="16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14.22</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Cancelled</w:t>
            </w: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(310,422)</w:t>
            </w:r>
          </w:p>
        </w:tc>
        <w:tc>
          <w:tcPr>
            <w:tcW w:w="160" w:type="dxa"/>
            <w:vAlign w:val="bottom"/>
          </w:tcPr>
          <w:p>
            <w:pPr>
              <w:spacing w:after="0"/>
              <w:rPr>
                <w:sz w:val="13"/>
                <w:szCs w:val="13"/>
                <w:color w:val="auto"/>
              </w:rPr>
            </w:pP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12.78</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December 31, 2004</w:t>
            </w:r>
          </w:p>
        </w:tc>
        <w:tc>
          <w:tcPr>
            <w:tcW w:w="12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15,522,631</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23.76</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10,538,213</w:t>
            </w:r>
          </w:p>
        </w:tc>
        <w:tc>
          <w:tcPr>
            <w:tcW w:w="0" w:type="dxa"/>
            <w:vAlign w:val="bottom"/>
          </w:tcPr>
          <w:p>
            <w:pPr>
              <w:spacing w:after="0"/>
              <w:rPr>
                <w:sz w:val="1"/>
                <w:szCs w:val="1"/>
                <w:color w:val="auto"/>
              </w:rPr>
            </w:pPr>
          </w:p>
        </w:tc>
      </w:tr>
      <w:tr>
        <w:trPr>
          <w:trHeight w:val="157"/>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Granted</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907,500</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34.94</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Issued as part of equity restructuring</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4,782,719</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—(a)</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Exercised</w:t>
            </w: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(3,665,000)</w:t>
            </w:r>
          </w:p>
        </w:tc>
        <w:tc>
          <w:tcPr>
            <w:tcW w:w="160" w:type="dxa"/>
            <w:vAlign w:val="bottom"/>
          </w:tcPr>
          <w:p>
            <w:pPr>
              <w:spacing w:after="0"/>
              <w:rPr>
                <w:sz w:val="13"/>
                <w:szCs w:val="13"/>
                <w:color w:val="auto"/>
              </w:rPr>
            </w:pP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14.27</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Cancelled</w:t>
            </w:r>
          </w:p>
        </w:tc>
        <w:tc>
          <w:tcPr>
            <w:tcW w:w="12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(1,657,557)</w:t>
            </w:r>
          </w:p>
        </w:tc>
        <w:tc>
          <w:tcPr>
            <w:tcW w:w="16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41.41</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December 31, 2005</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15,890,293</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18.47</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11,480,299</w:t>
            </w:r>
          </w:p>
        </w:tc>
        <w:tc>
          <w:tcPr>
            <w:tcW w:w="0" w:type="dxa"/>
            <w:vAlign w:val="bottom"/>
          </w:tcPr>
          <w:p>
            <w:pPr>
              <w:spacing w:after="0"/>
              <w:rPr>
                <w:sz w:val="1"/>
                <w:szCs w:val="1"/>
                <w:color w:val="auto"/>
              </w:rPr>
            </w:pPr>
          </w:p>
        </w:tc>
      </w:tr>
      <w:tr>
        <w:trPr>
          <w:trHeight w:val="157"/>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Granted</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183,500</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39.20</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Exercised</w:t>
            </w: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(8,403,694)</w:t>
            </w:r>
          </w:p>
        </w:tc>
        <w:tc>
          <w:tcPr>
            <w:tcW w:w="160" w:type="dxa"/>
            <w:vAlign w:val="bottom"/>
          </w:tcPr>
          <w:p>
            <w:pPr>
              <w:spacing w:after="0"/>
              <w:rPr>
                <w:sz w:val="13"/>
                <w:szCs w:val="13"/>
                <w:color w:val="auto"/>
              </w:rPr>
            </w:pP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12.40</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Cancelled</w:t>
            </w:r>
          </w:p>
        </w:tc>
        <w:tc>
          <w:tcPr>
            <w:tcW w:w="12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(204,894)</w:t>
            </w:r>
          </w:p>
        </w:tc>
        <w:tc>
          <w:tcPr>
            <w:tcW w:w="16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38.15</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October 24, 2006</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7,465,205</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24.19</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5,017,779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80" w:right="40" w:hanging="493"/>
        <w:spacing w:after="0" w:line="261" w:lineRule="auto"/>
        <w:tabs>
          <w:tab w:leader="none" w:pos="11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payment of the $10.00 special dividend in the first quarter of 2005 and the FNT distribution in the fourth quarter of 2005, the Company’s outstanding stock options were equitably adjusted to take into account the payment of the $10.00 special dividend and $4.06 adjustment relating to the FNT distribution in respect of each share of the Company’s common stock. The purpose of the adjustment was to keep the intrinsic value of the options after the dividend the same as the intrinsic value of the options before the dividend, which was accomplished by dividing the exercise price of each option, and multiplying the number of shares subject to each option, by a ratio obtained by dividing the market price of a share of common stock before giving effect to the dividend by the market price after giving effect to the dividend.</w:t>
      </w:r>
    </w:p>
    <w:p>
      <w:pPr>
        <w:spacing w:after="0" w:line="25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3" w:name="page104"/>
    <w:bookmarkEnd w:id="103"/>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77" w:lineRule="exact"/>
        <w:rPr>
          <w:sz w:val="20"/>
          <w:szCs w:val="20"/>
          <w:color w:val="auto"/>
        </w:rPr>
      </w:pPr>
    </w:p>
    <w:p>
      <w:pPr>
        <w:ind w:left="680" w:right="100"/>
        <w:spacing w:after="0" w:line="286" w:lineRule="auto"/>
        <w:rPr>
          <w:sz w:val="20"/>
          <w:szCs w:val="20"/>
          <w:color w:val="auto"/>
        </w:rPr>
      </w:pPr>
      <w:r>
        <w:rPr>
          <w:rFonts w:ascii="Times New Roman" w:cs="Times New Roman" w:eastAsia="Times New Roman" w:hAnsi="Times New Roman"/>
          <w:sz w:val="13"/>
          <w:szCs w:val="13"/>
          <w:color w:val="auto"/>
        </w:rPr>
        <w:t>Following the closing of the SEDA transaction on October 24, former Old FNF options and restricted stock held by employees of the Company were converted in an intrinsic value swap to options and restricted stock of the Company as noted above. Options and restricted stock held by FIS employees were converted into FIS options and restricted stock.</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Stock option transactions under the Current Omnibus Plan for 2005 and 2006 were as follows: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13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0"/>
                <w:szCs w:val="10"/>
                <w:b w:val="1"/>
                <w:bCs w:val="1"/>
                <w:color w:val="auto"/>
              </w:rPr>
              <w:t>Options</w:t>
            </w:r>
          </w:p>
        </w:tc>
        <w:tc>
          <w:tcPr>
            <w:tcW w:w="1360" w:type="dxa"/>
            <w:vAlign w:val="bottom"/>
            <w:gridSpan w:val="5"/>
          </w:tcPr>
          <w:p>
            <w:pPr>
              <w:ind w:left="240"/>
              <w:spacing w:after="0"/>
              <w:rPr>
                <w:sz w:val="20"/>
                <w:szCs w:val="20"/>
                <w:color w:val="auto"/>
              </w:rPr>
            </w:pPr>
            <w:r>
              <w:rPr>
                <w:rFonts w:ascii="Times New Roman" w:cs="Times New Roman" w:eastAsia="Times New Roman" w:hAnsi="Times New Roman"/>
                <w:sz w:val="10"/>
                <w:szCs w:val="10"/>
                <w:b w:val="1"/>
                <w:bCs w:val="1"/>
                <w:color w:val="auto"/>
              </w:rPr>
              <w:t>Weighted Average</w:t>
            </w:r>
          </w:p>
        </w:tc>
        <w:tc>
          <w:tcPr>
            <w:tcW w:w="32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Exercisable</w:t>
            </w:r>
          </w:p>
        </w:tc>
        <w:tc>
          <w:tcPr>
            <w:tcW w:w="0" w:type="dxa"/>
            <w:vAlign w:val="bottom"/>
          </w:tcPr>
          <w:p>
            <w:pPr>
              <w:spacing w:after="0"/>
              <w:rPr>
                <w:sz w:val="1"/>
                <w:szCs w:val="1"/>
                <w:color w:val="auto"/>
              </w:rPr>
            </w:pPr>
          </w:p>
        </w:tc>
      </w:tr>
      <w:tr>
        <w:trPr>
          <w:trHeight w:val="127"/>
        </w:trPr>
        <w:tc>
          <w:tcPr>
            <w:tcW w:w="6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Exercise Price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Granted in 2005</w:t>
            </w: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2,206,500</w:t>
            </w: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21.90</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Balance, December 31, 2005</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2,206,500</w:t>
            </w:r>
          </w:p>
        </w:tc>
        <w:tc>
          <w:tcPr>
            <w:tcW w:w="380" w:type="dxa"/>
            <w:vAlign w:val="bottom"/>
          </w:tcPr>
          <w:p>
            <w:pPr>
              <w:spacing w:after="0"/>
              <w:rPr>
                <w:sz w:val="13"/>
                <w:szCs w:val="13"/>
                <w:color w:val="auto"/>
              </w:rPr>
            </w:pPr>
          </w:p>
        </w:tc>
        <w:tc>
          <w:tcPr>
            <w:tcW w:w="800" w:type="dxa"/>
            <w:vAlign w:val="bottom"/>
          </w:tcPr>
          <w:p>
            <w:pPr>
              <w:jc w:val="right"/>
              <w:ind w:right="658"/>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3"/>
                <w:szCs w:val="13"/>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21.90</w:t>
            </w:r>
          </w:p>
        </w:tc>
        <w:tc>
          <w:tcPr>
            <w:tcW w:w="32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Granted</w:t>
            </w: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2,116,500</w:t>
            </w: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23.40</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Granted in SEDA</w:t>
            </w: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10,009,967</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10.47</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Exercised</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(158,116)</w:t>
            </w: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10.08</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Cancelled</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(33,441)</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5.01</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December 31, 2006</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14,141,410</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14.55</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7,406,280</w:t>
            </w:r>
          </w:p>
        </w:tc>
        <w:tc>
          <w:tcPr>
            <w:tcW w:w="0" w:type="dxa"/>
            <w:vAlign w:val="bottom"/>
          </w:tcPr>
          <w:p>
            <w:pPr>
              <w:spacing w:after="0"/>
              <w:rPr>
                <w:sz w:val="1"/>
                <w:szCs w:val="1"/>
                <w:color w:val="auto"/>
              </w:rPr>
            </w:pPr>
          </w:p>
        </w:tc>
      </w:tr>
      <w:tr>
        <w:trPr>
          <w:trHeight w:val="256"/>
        </w:trPr>
        <w:tc>
          <w:tcPr>
            <w:tcW w:w="61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Restricted stock transactions under the Omnibus Plan in 2006 were as follows:</w:t>
            </w: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6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Weighted Average</w:t>
            </w:r>
          </w:p>
        </w:tc>
        <w:tc>
          <w:tcPr>
            <w:tcW w:w="0" w:type="dxa"/>
            <w:vAlign w:val="bottom"/>
          </w:tcPr>
          <w:p>
            <w:pPr>
              <w:spacing w:after="0"/>
              <w:rPr>
                <w:sz w:val="1"/>
                <w:szCs w:val="1"/>
                <w:color w:val="auto"/>
              </w:rPr>
            </w:pPr>
          </w:p>
        </w:tc>
      </w:tr>
      <w:tr>
        <w:trPr>
          <w:trHeight w:val="108"/>
        </w:trPr>
        <w:tc>
          <w:tcPr>
            <w:tcW w:w="6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tcPr>
          <w:p>
            <w:pPr>
              <w:jc w:val="center"/>
              <w:ind w:right="260"/>
              <w:spacing w:after="0" w:line="108" w:lineRule="exact"/>
              <w:rPr>
                <w:sz w:val="20"/>
                <w:szCs w:val="20"/>
                <w:color w:val="auto"/>
              </w:rPr>
            </w:pPr>
            <w:r>
              <w:rPr>
                <w:rFonts w:ascii="Times New Roman" w:cs="Times New Roman" w:eastAsia="Times New Roman" w:hAnsi="Times New Roman"/>
                <w:sz w:val="10"/>
                <w:szCs w:val="10"/>
                <w:b w:val="1"/>
                <w:bCs w:val="1"/>
                <w:color w:val="auto"/>
              </w:rPr>
              <w:t>Grant Date Fair</w:t>
            </w:r>
          </w:p>
        </w:tc>
        <w:tc>
          <w:tcPr>
            <w:tcW w:w="0" w:type="dxa"/>
            <w:vAlign w:val="bottom"/>
          </w:tcPr>
          <w:p>
            <w:pPr>
              <w:spacing w:after="0"/>
              <w:rPr>
                <w:sz w:val="1"/>
                <w:szCs w:val="1"/>
                <w:color w:val="auto"/>
              </w:rPr>
            </w:pPr>
          </w:p>
        </w:tc>
      </w:tr>
      <w:tr>
        <w:trPr>
          <w:trHeight w:val="127"/>
        </w:trPr>
        <w:tc>
          <w:tcPr>
            <w:tcW w:w="6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2"/>
          </w:tcPr>
          <w:p>
            <w:pPr>
              <w:jc w:val="center"/>
              <w:ind w:right="580"/>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Granted in 2005</w:t>
            </w: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777,500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21.90</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Balance, December 31, 2005</w:t>
            </w: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777,500</w:t>
            </w:r>
          </w:p>
        </w:tc>
        <w:tc>
          <w:tcPr>
            <w:tcW w:w="180" w:type="dxa"/>
            <w:vAlign w:val="bottom"/>
          </w:tcPr>
          <w:p>
            <w:pPr>
              <w:spacing w:after="0"/>
              <w:rPr>
                <w:sz w:val="13"/>
                <w:szCs w:val="13"/>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21.90</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Granted</w:t>
            </w: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1,544,500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22.82</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Granted in SEDA</w:t>
            </w: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702,620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15.14</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Cancelled</w:t>
            </w: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(11,250)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21.90</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Vested</w:t>
            </w: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(416,721)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17.13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December 31, 2006</w:t>
            </w: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2,596,649</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21.38</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summarizes information related to stock options outstanding and exercisable as of December 31, 2006:</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13"/>
        </w:trPr>
        <w:tc>
          <w:tcPr>
            <w:tcW w:w="2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gridSpan w:val="4"/>
          </w:tcPr>
          <w:p>
            <w:pPr>
              <w:jc w:val="center"/>
              <w:ind w:left="788"/>
              <w:spacing w:after="0"/>
              <w:rPr>
                <w:sz w:val="20"/>
                <w:szCs w:val="20"/>
                <w:color w:val="auto"/>
              </w:rPr>
            </w:pPr>
            <w:r>
              <w:rPr>
                <w:rFonts w:ascii="Times New Roman" w:cs="Times New Roman" w:eastAsia="Times New Roman" w:hAnsi="Times New Roman"/>
                <w:sz w:val="9"/>
                <w:szCs w:val="9"/>
                <w:b w:val="1"/>
                <w:bCs w:val="1"/>
                <w:color w:val="auto"/>
              </w:rPr>
              <w:t>Options Outstanding</w:t>
            </w:r>
          </w:p>
        </w:tc>
        <w:tc>
          <w:tcPr>
            <w:tcW w:w="6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9"/>
                <w:szCs w:val="9"/>
                <w:b w:val="1"/>
                <w:bCs w:val="1"/>
                <w:color w:val="auto"/>
              </w:rPr>
              <w:t>Options Exercisable</w:t>
            </w: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73"/>
        </w:trPr>
        <w:tc>
          <w:tcPr>
            <w:tcW w:w="2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gridSpan w:val="2"/>
          </w:tcPr>
          <w:p>
            <w:pPr>
              <w:jc w:val="center"/>
              <w:ind w:right="300"/>
              <w:spacing w:after="0" w:line="73" w:lineRule="exact"/>
              <w:rPr>
                <w:sz w:val="20"/>
                <w:szCs w:val="20"/>
                <w:color w:val="auto"/>
              </w:rPr>
            </w:pPr>
            <w:r>
              <w:rPr>
                <w:rFonts w:ascii="Times New Roman" w:cs="Times New Roman" w:eastAsia="Times New Roman" w:hAnsi="Times New Roman"/>
                <w:sz w:val="8"/>
                <w:szCs w:val="8"/>
                <w:b w:val="1"/>
                <w:bCs w:val="1"/>
                <w:color w:val="auto"/>
              </w:rPr>
              <w:t>Weighted</w:t>
            </w: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gridSpan w:val="2"/>
          </w:tcPr>
          <w:p>
            <w:pPr>
              <w:jc w:val="center"/>
              <w:ind w:right="300"/>
              <w:spacing w:after="0" w:line="73" w:lineRule="exact"/>
              <w:rPr>
                <w:sz w:val="20"/>
                <w:szCs w:val="20"/>
                <w:color w:val="auto"/>
              </w:rPr>
            </w:pPr>
            <w:r>
              <w:rPr>
                <w:rFonts w:ascii="Times New Roman" w:cs="Times New Roman" w:eastAsia="Times New Roman" w:hAnsi="Times New Roman"/>
                <w:sz w:val="8"/>
                <w:szCs w:val="8"/>
                <w:b w:val="1"/>
                <w:bCs w:val="1"/>
                <w:color w:val="auto"/>
              </w:rPr>
              <w:t>Weighted</w:t>
            </w: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98"/>
        </w:trPr>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gridSpan w:val="2"/>
          </w:tcPr>
          <w:p>
            <w:pPr>
              <w:jc w:val="center"/>
              <w:ind w:right="320"/>
              <w:spacing w:after="0" w:line="98" w:lineRule="exact"/>
              <w:rPr>
                <w:sz w:val="20"/>
                <w:szCs w:val="20"/>
                <w:color w:val="auto"/>
              </w:rPr>
            </w:pPr>
            <w:r>
              <w:rPr>
                <w:rFonts w:ascii="Times New Roman" w:cs="Times New Roman" w:eastAsia="Times New Roman" w:hAnsi="Times New Roman"/>
                <w:sz w:val="9"/>
                <w:szCs w:val="9"/>
                <w:b w:val="1"/>
                <w:bCs w:val="1"/>
                <w:color w:val="auto"/>
                <w:w w:val="99"/>
              </w:rPr>
              <w:t>Average</w:t>
            </w:r>
          </w:p>
        </w:tc>
        <w:tc>
          <w:tcPr>
            <w:tcW w:w="60" w:type="dxa"/>
            <w:vAlign w:val="bottom"/>
          </w:tcPr>
          <w:p>
            <w:pPr>
              <w:spacing w:after="0"/>
              <w:rPr>
                <w:sz w:val="8"/>
                <w:szCs w:val="8"/>
                <w:color w:val="auto"/>
              </w:rPr>
            </w:pPr>
          </w:p>
        </w:tc>
        <w:tc>
          <w:tcPr>
            <w:tcW w:w="720" w:type="dxa"/>
            <w:vAlign w:val="bottom"/>
            <w:gridSpan w:val="2"/>
          </w:tcPr>
          <w:p>
            <w:pPr>
              <w:jc w:val="center"/>
              <w:ind w:right="360"/>
              <w:spacing w:after="0" w:line="98" w:lineRule="exact"/>
              <w:rPr>
                <w:sz w:val="20"/>
                <w:szCs w:val="20"/>
                <w:color w:val="auto"/>
              </w:rPr>
            </w:pPr>
            <w:r>
              <w:rPr>
                <w:rFonts w:ascii="Times New Roman" w:cs="Times New Roman" w:eastAsia="Times New Roman" w:hAnsi="Times New Roman"/>
                <w:sz w:val="9"/>
                <w:szCs w:val="9"/>
                <w:b w:val="1"/>
                <w:bCs w:val="1"/>
                <w:color w:val="auto"/>
                <w:w w:val="97"/>
              </w:rPr>
              <w:t>Weighted</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gridSpan w:val="2"/>
          </w:tcPr>
          <w:p>
            <w:pPr>
              <w:jc w:val="center"/>
              <w:ind w:right="280"/>
              <w:spacing w:after="0" w:line="98" w:lineRule="exact"/>
              <w:rPr>
                <w:sz w:val="20"/>
                <w:szCs w:val="20"/>
                <w:color w:val="auto"/>
              </w:rPr>
            </w:pPr>
            <w:r>
              <w:rPr>
                <w:rFonts w:ascii="Times New Roman" w:cs="Times New Roman" w:eastAsia="Times New Roman" w:hAnsi="Times New Roman"/>
                <w:sz w:val="9"/>
                <w:szCs w:val="9"/>
                <w:b w:val="1"/>
                <w:bCs w:val="1"/>
                <w:color w:val="auto"/>
                <w:w w:val="99"/>
              </w:rPr>
              <w:t>Average</w:t>
            </w:r>
          </w:p>
        </w:tc>
        <w:tc>
          <w:tcPr>
            <w:tcW w:w="60" w:type="dxa"/>
            <w:vAlign w:val="bottom"/>
          </w:tcPr>
          <w:p>
            <w:pPr>
              <w:spacing w:after="0"/>
              <w:rPr>
                <w:sz w:val="8"/>
                <w:szCs w:val="8"/>
                <w:color w:val="auto"/>
              </w:rPr>
            </w:pPr>
          </w:p>
        </w:tc>
        <w:tc>
          <w:tcPr>
            <w:tcW w:w="720" w:type="dxa"/>
            <w:vAlign w:val="bottom"/>
            <w:gridSpan w:val="2"/>
          </w:tcPr>
          <w:p>
            <w:pPr>
              <w:jc w:val="center"/>
              <w:ind w:right="340"/>
              <w:spacing w:after="0" w:line="98" w:lineRule="exact"/>
              <w:rPr>
                <w:sz w:val="20"/>
                <w:szCs w:val="20"/>
                <w:color w:val="auto"/>
              </w:rPr>
            </w:pPr>
            <w:r>
              <w:rPr>
                <w:rFonts w:ascii="Times New Roman" w:cs="Times New Roman" w:eastAsia="Times New Roman" w:hAnsi="Times New Roman"/>
                <w:sz w:val="9"/>
                <w:szCs w:val="9"/>
                <w:b w:val="1"/>
                <w:bCs w:val="1"/>
                <w:color w:val="auto"/>
              </w:rPr>
              <w:t>Weighted</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gridSpan w:val="2"/>
          </w:tcPr>
          <w:p>
            <w:pPr>
              <w:jc w:val="center"/>
              <w:ind w:right="300"/>
              <w:spacing w:after="0" w:line="98" w:lineRule="exact"/>
              <w:rPr>
                <w:sz w:val="20"/>
                <w:szCs w:val="20"/>
                <w:color w:val="auto"/>
              </w:rPr>
            </w:pPr>
            <w:r>
              <w:rPr>
                <w:rFonts w:ascii="Times New Roman" w:cs="Times New Roman" w:eastAsia="Times New Roman" w:hAnsi="Times New Roman"/>
                <w:sz w:val="9"/>
                <w:szCs w:val="9"/>
                <w:b w:val="1"/>
                <w:bCs w:val="1"/>
                <w:color w:val="auto"/>
                <w:w w:val="99"/>
              </w:rPr>
              <w:t>Remaining</w:t>
            </w:r>
          </w:p>
        </w:tc>
        <w:tc>
          <w:tcPr>
            <w:tcW w:w="60" w:type="dxa"/>
            <w:vAlign w:val="bottom"/>
          </w:tcPr>
          <w:p>
            <w:pPr>
              <w:spacing w:after="0"/>
              <w:rPr>
                <w:sz w:val="8"/>
                <w:szCs w:val="8"/>
                <w:color w:val="auto"/>
              </w:rPr>
            </w:pPr>
          </w:p>
        </w:tc>
        <w:tc>
          <w:tcPr>
            <w:tcW w:w="720" w:type="dxa"/>
            <w:vAlign w:val="bottom"/>
            <w:gridSpan w:val="2"/>
          </w:tcPr>
          <w:p>
            <w:pPr>
              <w:jc w:val="center"/>
              <w:ind w:right="360"/>
              <w:spacing w:after="0" w:line="98" w:lineRule="exact"/>
              <w:rPr>
                <w:sz w:val="20"/>
                <w:szCs w:val="20"/>
                <w:color w:val="auto"/>
              </w:rPr>
            </w:pPr>
            <w:r>
              <w:rPr>
                <w:rFonts w:ascii="Times New Roman" w:cs="Times New Roman" w:eastAsia="Times New Roman" w:hAnsi="Times New Roman"/>
                <w:sz w:val="9"/>
                <w:szCs w:val="9"/>
                <w:b w:val="1"/>
                <w:bCs w:val="1"/>
                <w:color w:val="auto"/>
                <w:w w:val="99"/>
              </w:rPr>
              <w:t>Average</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gridSpan w:val="2"/>
          </w:tcPr>
          <w:p>
            <w:pPr>
              <w:jc w:val="center"/>
              <w:ind w:right="300"/>
              <w:spacing w:after="0" w:line="98" w:lineRule="exact"/>
              <w:rPr>
                <w:sz w:val="20"/>
                <w:szCs w:val="20"/>
                <w:color w:val="auto"/>
              </w:rPr>
            </w:pPr>
            <w:r>
              <w:rPr>
                <w:rFonts w:ascii="Times New Roman" w:cs="Times New Roman" w:eastAsia="Times New Roman" w:hAnsi="Times New Roman"/>
                <w:sz w:val="9"/>
                <w:szCs w:val="9"/>
                <w:b w:val="1"/>
                <w:bCs w:val="1"/>
                <w:color w:val="auto"/>
                <w:w w:val="99"/>
              </w:rPr>
              <w:t>Remaining</w:t>
            </w:r>
          </w:p>
        </w:tc>
        <w:tc>
          <w:tcPr>
            <w:tcW w:w="60" w:type="dxa"/>
            <w:vAlign w:val="bottom"/>
          </w:tcPr>
          <w:p>
            <w:pPr>
              <w:spacing w:after="0"/>
              <w:rPr>
                <w:sz w:val="8"/>
                <w:szCs w:val="8"/>
                <w:color w:val="auto"/>
              </w:rPr>
            </w:pPr>
          </w:p>
        </w:tc>
        <w:tc>
          <w:tcPr>
            <w:tcW w:w="720" w:type="dxa"/>
            <w:vAlign w:val="bottom"/>
            <w:gridSpan w:val="2"/>
          </w:tcPr>
          <w:p>
            <w:pPr>
              <w:jc w:val="center"/>
              <w:ind w:right="340"/>
              <w:spacing w:after="0" w:line="98" w:lineRule="exact"/>
              <w:rPr>
                <w:sz w:val="20"/>
                <w:szCs w:val="20"/>
                <w:color w:val="auto"/>
              </w:rPr>
            </w:pPr>
            <w:r>
              <w:rPr>
                <w:rFonts w:ascii="Times New Roman" w:cs="Times New Roman" w:eastAsia="Times New Roman" w:hAnsi="Times New Roman"/>
                <w:sz w:val="9"/>
                <w:szCs w:val="9"/>
                <w:b w:val="1"/>
                <w:bCs w:val="1"/>
                <w:color w:val="auto"/>
                <w:w w:val="93"/>
              </w:rPr>
              <w:t>Average</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680" w:type="dxa"/>
            <w:vAlign w:val="bottom"/>
            <w:gridSpan w:val="2"/>
          </w:tcPr>
          <w:p>
            <w:pPr>
              <w:spacing w:after="0" w:line="98" w:lineRule="exact"/>
              <w:rPr>
                <w:sz w:val="20"/>
                <w:szCs w:val="20"/>
                <w:color w:val="auto"/>
              </w:rPr>
            </w:pPr>
            <w:r>
              <w:rPr>
                <w:rFonts w:ascii="Times New Roman" w:cs="Times New Roman" w:eastAsia="Times New Roman" w:hAnsi="Times New Roman"/>
                <w:sz w:val="9"/>
                <w:szCs w:val="9"/>
                <w:b w:val="1"/>
                <w:bCs w:val="1"/>
                <w:color w:val="auto"/>
              </w:rPr>
              <w:t>Range of</w:t>
            </w:r>
          </w:p>
        </w:tc>
        <w:tc>
          <w:tcPr>
            <w:tcW w:w="1140" w:type="dxa"/>
            <w:vAlign w:val="bottom"/>
          </w:tcPr>
          <w:p>
            <w:pPr>
              <w:spacing w:after="0"/>
              <w:rPr>
                <w:sz w:val="8"/>
                <w:szCs w:val="8"/>
                <w:color w:val="auto"/>
              </w:rPr>
            </w:pPr>
          </w:p>
        </w:tc>
        <w:tc>
          <w:tcPr>
            <w:tcW w:w="920" w:type="dxa"/>
            <w:vAlign w:val="bottom"/>
            <w:gridSpan w:val="3"/>
          </w:tcPr>
          <w:p>
            <w:pPr>
              <w:jc w:val="center"/>
              <w:ind w:right="300"/>
              <w:spacing w:after="0" w:line="98" w:lineRule="exact"/>
              <w:rPr>
                <w:sz w:val="20"/>
                <w:szCs w:val="20"/>
                <w:color w:val="auto"/>
              </w:rPr>
            </w:pPr>
            <w:r>
              <w:rPr>
                <w:rFonts w:ascii="Times New Roman" w:cs="Times New Roman" w:eastAsia="Times New Roman" w:hAnsi="Times New Roman"/>
                <w:sz w:val="9"/>
                <w:szCs w:val="9"/>
                <w:b w:val="1"/>
                <w:bCs w:val="1"/>
                <w:color w:val="auto"/>
              </w:rPr>
              <w:t>Number of</w:t>
            </w:r>
          </w:p>
        </w:tc>
        <w:tc>
          <w:tcPr>
            <w:tcW w:w="920" w:type="dxa"/>
            <w:vAlign w:val="bottom"/>
            <w:gridSpan w:val="2"/>
          </w:tcPr>
          <w:p>
            <w:pPr>
              <w:jc w:val="center"/>
              <w:ind w:right="300"/>
              <w:spacing w:after="0" w:line="98" w:lineRule="exact"/>
              <w:rPr>
                <w:sz w:val="20"/>
                <w:szCs w:val="20"/>
                <w:color w:val="auto"/>
              </w:rPr>
            </w:pPr>
            <w:r>
              <w:rPr>
                <w:rFonts w:ascii="Times New Roman" w:cs="Times New Roman" w:eastAsia="Times New Roman" w:hAnsi="Times New Roman"/>
                <w:sz w:val="9"/>
                <w:szCs w:val="9"/>
                <w:b w:val="1"/>
                <w:bCs w:val="1"/>
                <w:color w:val="auto"/>
                <w:w w:val="98"/>
              </w:rPr>
              <w:t>Contractual</w:t>
            </w:r>
          </w:p>
        </w:tc>
        <w:tc>
          <w:tcPr>
            <w:tcW w:w="60" w:type="dxa"/>
            <w:vAlign w:val="bottom"/>
          </w:tcPr>
          <w:p>
            <w:pPr>
              <w:spacing w:after="0"/>
              <w:rPr>
                <w:sz w:val="8"/>
                <w:szCs w:val="8"/>
                <w:color w:val="auto"/>
              </w:rPr>
            </w:pPr>
          </w:p>
        </w:tc>
        <w:tc>
          <w:tcPr>
            <w:tcW w:w="720" w:type="dxa"/>
            <w:vAlign w:val="bottom"/>
            <w:gridSpan w:val="2"/>
          </w:tcPr>
          <w:p>
            <w:pPr>
              <w:jc w:val="center"/>
              <w:ind w:right="360"/>
              <w:spacing w:after="0" w:line="98" w:lineRule="exact"/>
              <w:rPr>
                <w:sz w:val="20"/>
                <w:szCs w:val="20"/>
                <w:color w:val="auto"/>
              </w:rPr>
            </w:pPr>
            <w:r>
              <w:rPr>
                <w:rFonts w:ascii="Times New Roman" w:cs="Times New Roman" w:eastAsia="Times New Roman" w:hAnsi="Times New Roman"/>
                <w:sz w:val="9"/>
                <w:szCs w:val="9"/>
                <w:b w:val="1"/>
                <w:bCs w:val="1"/>
                <w:color w:val="auto"/>
                <w:w w:val="98"/>
              </w:rPr>
              <w:t>Exercise</w:t>
            </w:r>
          </w:p>
        </w:tc>
        <w:tc>
          <w:tcPr>
            <w:tcW w:w="80" w:type="dxa"/>
            <w:vAlign w:val="bottom"/>
          </w:tcPr>
          <w:p>
            <w:pPr>
              <w:spacing w:after="0"/>
              <w:rPr>
                <w:sz w:val="8"/>
                <w:szCs w:val="8"/>
                <w:color w:val="auto"/>
              </w:rPr>
            </w:pPr>
          </w:p>
        </w:tc>
        <w:tc>
          <w:tcPr>
            <w:tcW w:w="1020" w:type="dxa"/>
            <w:vAlign w:val="bottom"/>
            <w:gridSpan w:val="2"/>
          </w:tcPr>
          <w:p>
            <w:pPr>
              <w:jc w:val="center"/>
              <w:ind w:right="360"/>
              <w:spacing w:after="0" w:line="98" w:lineRule="exact"/>
              <w:rPr>
                <w:sz w:val="20"/>
                <w:szCs w:val="20"/>
                <w:color w:val="auto"/>
              </w:rPr>
            </w:pPr>
            <w:r>
              <w:rPr>
                <w:rFonts w:ascii="Times New Roman" w:cs="Times New Roman" w:eastAsia="Times New Roman" w:hAnsi="Times New Roman"/>
                <w:sz w:val="9"/>
                <w:szCs w:val="9"/>
                <w:b w:val="1"/>
                <w:bCs w:val="1"/>
                <w:color w:val="auto"/>
              </w:rPr>
              <w:t>Intrinsic</w:t>
            </w:r>
          </w:p>
        </w:tc>
        <w:tc>
          <w:tcPr>
            <w:tcW w:w="880" w:type="dxa"/>
            <w:vAlign w:val="bottom"/>
            <w:gridSpan w:val="2"/>
          </w:tcPr>
          <w:p>
            <w:pPr>
              <w:jc w:val="right"/>
              <w:ind w:right="380"/>
              <w:spacing w:after="0" w:line="98" w:lineRule="exact"/>
              <w:rPr>
                <w:sz w:val="20"/>
                <w:szCs w:val="20"/>
                <w:color w:val="auto"/>
              </w:rPr>
            </w:pPr>
            <w:r>
              <w:rPr>
                <w:rFonts w:ascii="Times New Roman" w:cs="Times New Roman" w:eastAsia="Times New Roman" w:hAnsi="Times New Roman"/>
                <w:sz w:val="9"/>
                <w:szCs w:val="9"/>
                <w:b w:val="1"/>
                <w:bCs w:val="1"/>
                <w:color w:val="auto"/>
              </w:rPr>
              <w:t>Number of</w:t>
            </w:r>
          </w:p>
        </w:tc>
        <w:tc>
          <w:tcPr>
            <w:tcW w:w="880" w:type="dxa"/>
            <w:vAlign w:val="bottom"/>
            <w:gridSpan w:val="2"/>
          </w:tcPr>
          <w:p>
            <w:pPr>
              <w:jc w:val="center"/>
              <w:ind w:right="280"/>
              <w:spacing w:after="0" w:line="98" w:lineRule="exact"/>
              <w:rPr>
                <w:sz w:val="20"/>
                <w:szCs w:val="20"/>
                <w:color w:val="auto"/>
              </w:rPr>
            </w:pPr>
            <w:r>
              <w:rPr>
                <w:rFonts w:ascii="Times New Roman" w:cs="Times New Roman" w:eastAsia="Times New Roman" w:hAnsi="Times New Roman"/>
                <w:sz w:val="9"/>
                <w:szCs w:val="9"/>
                <w:b w:val="1"/>
                <w:bCs w:val="1"/>
                <w:color w:val="auto"/>
              </w:rPr>
              <w:t>Contractual</w:t>
            </w:r>
          </w:p>
        </w:tc>
        <w:tc>
          <w:tcPr>
            <w:tcW w:w="60" w:type="dxa"/>
            <w:vAlign w:val="bottom"/>
          </w:tcPr>
          <w:p>
            <w:pPr>
              <w:spacing w:after="0"/>
              <w:rPr>
                <w:sz w:val="8"/>
                <w:szCs w:val="8"/>
                <w:color w:val="auto"/>
              </w:rPr>
            </w:pPr>
          </w:p>
        </w:tc>
        <w:tc>
          <w:tcPr>
            <w:tcW w:w="720" w:type="dxa"/>
            <w:vAlign w:val="bottom"/>
            <w:gridSpan w:val="2"/>
          </w:tcPr>
          <w:p>
            <w:pPr>
              <w:jc w:val="center"/>
              <w:ind w:right="340"/>
              <w:spacing w:after="0" w:line="98" w:lineRule="exact"/>
              <w:rPr>
                <w:sz w:val="20"/>
                <w:szCs w:val="20"/>
                <w:color w:val="auto"/>
              </w:rPr>
            </w:pPr>
            <w:r>
              <w:rPr>
                <w:rFonts w:ascii="Times New Roman" w:cs="Times New Roman" w:eastAsia="Times New Roman" w:hAnsi="Times New Roman"/>
                <w:sz w:val="9"/>
                <w:szCs w:val="9"/>
                <w:b w:val="1"/>
                <w:bCs w:val="1"/>
                <w:color w:val="auto"/>
              </w:rPr>
              <w:t>Exercise</w:t>
            </w:r>
          </w:p>
        </w:tc>
        <w:tc>
          <w:tcPr>
            <w:tcW w:w="100" w:type="dxa"/>
            <w:vAlign w:val="bottom"/>
          </w:tcPr>
          <w:p>
            <w:pPr>
              <w:spacing w:after="0"/>
              <w:rPr>
                <w:sz w:val="8"/>
                <w:szCs w:val="8"/>
                <w:color w:val="auto"/>
              </w:rPr>
            </w:pPr>
          </w:p>
        </w:tc>
        <w:tc>
          <w:tcPr>
            <w:tcW w:w="800" w:type="dxa"/>
            <w:vAlign w:val="bottom"/>
            <w:gridSpan w:val="2"/>
          </w:tcPr>
          <w:p>
            <w:pPr>
              <w:jc w:val="center"/>
              <w:ind w:right="180"/>
              <w:spacing w:after="0" w:line="98" w:lineRule="exact"/>
              <w:rPr>
                <w:sz w:val="20"/>
                <w:szCs w:val="20"/>
                <w:color w:val="auto"/>
              </w:rPr>
            </w:pPr>
            <w:r>
              <w:rPr>
                <w:rFonts w:ascii="Times New Roman" w:cs="Times New Roman" w:eastAsia="Times New Roman" w:hAnsi="Times New Roman"/>
                <w:sz w:val="9"/>
                <w:szCs w:val="9"/>
                <w:b w:val="1"/>
                <w:bCs w:val="1"/>
                <w:color w:val="auto"/>
              </w:rPr>
              <w:t>Intrinsic</w:t>
            </w:r>
          </w:p>
        </w:tc>
      </w:tr>
      <w:tr>
        <w:trPr>
          <w:trHeight w:val="123"/>
        </w:trPr>
        <w:tc>
          <w:tcPr>
            <w:tcW w:w="168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Exercise Prices</w:t>
            </w:r>
          </w:p>
        </w:tc>
        <w:tc>
          <w:tcPr>
            <w:tcW w:w="1140" w:type="dxa"/>
            <w:vAlign w:val="bottom"/>
          </w:tcPr>
          <w:p>
            <w:pPr>
              <w:spacing w:after="0"/>
              <w:rPr>
                <w:sz w:val="10"/>
                <w:szCs w:val="10"/>
                <w:color w:val="auto"/>
              </w:rPr>
            </w:pPr>
          </w:p>
        </w:tc>
        <w:tc>
          <w:tcPr>
            <w:tcW w:w="920" w:type="dxa"/>
            <w:vAlign w:val="bottom"/>
            <w:gridSpan w:val="3"/>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rPr>
              <w:t>Options</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rPr>
              <w:t>Life</w:t>
            </w:r>
          </w:p>
        </w:tc>
        <w:tc>
          <w:tcPr>
            <w:tcW w:w="60" w:type="dxa"/>
            <w:vAlign w:val="bottom"/>
          </w:tcPr>
          <w:p>
            <w:pPr>
              <w:spacing w:after="0"/>
              <w:rPr>
                <w:sz w:val="10"/>
                <w:szCs w:val="10"/>
                <w:color w:val="auto"/>
              </w:rPr>
            </w:pPr>
          </w:p>
        </w:tc>
        <w:tc>
          <w:tcPr>
            <w:tcW w:w="720" w:type="dxa"/>
            <w:vAlign w:val="bottom"/>
            <w:gridSpan w:val="2"/>
          </w:tcPr>
          <w:p>
            <w:pPr>
              <w:jc w:val="center"/>
              <w:ind w:right="360"/>
              <w:spacing w:after="0"/>
              <w:rPr>
                <w:sz w:val="20"/>
                <w:szCs w:val="20"/>
                <w:color w:val="auto"/>
              </w:rPr>
            </w:pPr>
            <w:r>
              <w:rPr>
                <w:rFonts w:ascii="Times New Roman" w:cs="Times New Roman" w:eastAsia="Times New Roman" w:hAnsi="Times New Roman"/>
                <w:sz w:val="9"/>
                <w:szCs w:val="9"/>
                <w:b w:val="1"/>
                <w:bCs w:val="1"/>
                <w:color w:val="auto"/>
                <w:w w:val="99"/>
              </w:rPr>
              <w:t>Price</w:t>
            </w:r>
          </w:p>
        </w:tc>
        <w:tc>
          <w:tcPr>
            <w:tcW w:w="80" w:type="dxa"/>
            <w:vAlign w:val="bottom"/>
          </w:tcPr>
          <w:p>
            <w:pPr>
              <w:spacing w:after="0"/>
              <w:rPr>
                <w:sz w:val="10"/>
                <w:szCs w:val="10"/>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9"/>
                <w:szCs w:val="9"/>
                <w:b w:val="1"/>
                <w:bCs w:val="1"/>
                <w:color w:val="auto"/>
                <w:w w:val="97"/>
              </w:rPr>
              <w:t>Value</w:t>
            </w: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9"/>
                <w:szCs w:val="9"/>
                <w:b w:val="1"/>
                <w:bCs w:val="1"/>
                <w:color w:val="auto"/>
              </w:rPr>
              <w:t>Options</w:t>
            </w: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Life</w:t>
            </w:r>
          </w:p>
        </w:tc>
        <w:tc>
          <w:tcPr>
            <w:tcW w:w="60" w:type="dxa"/>
            <w:vAlign w:val="bottom"/>
          </w:tcPr>
          <w:p>
            <w:pPr>
              <w:spacing w:after="0"/>
              <w:rPr>
                <w:sz w:val="10"/>
                <w:szCs w:val="10"/>
                <w:color w:val="auto"/>
              </w:rPr>
            </w:pP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9"/>
                <w:szCs w:val="9"/>
                <w:b w:val="1"/>
                <w:bCs w:val="1"/>
                <w:color w:val="auto"/>
              </w:rPr>
              <w:t>Price</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7"/>
              </w:rPr>
              <w:t>Value</w:t>
            </w:r>
          </w:p>
        </w:tc>
      </w:tr>
      <w:tr>
        <w:trPr>
          <w:trHeight w:val="119"/>
        </w:trPr>
        <w:tc>
          <w:tcPr>
            <w:tcW w:w="2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29"/>
              <w:spacing w:after="0"/>
              <w:rPr>
                <w:sz w:val="20"/>
                <w:szCs w:val="20"/>
                <w:color w:val="auto"/>
              </w:rPr>
            </w:pPr>
            <w:r>
              <w:rPr>
                <w:rFonts w:ascii="Times New Roman" w:cs="Times New Roman" w:eastAsia="Times New Roman" w:hAnsi="Times New Roman"/>
                <w:sz w:val="9"/>
                <w:szCs w:val="9"/>
                <w:b w:val="1"/>
                <w:bCs w:val="1"/>
                <w:color w:val="auto"/>
              </w:rPr>
              <w:t>(In thousands)</w:t>
            </w:r>
          </w:p>
        </w:tc>
        <w:tc>
          <w:tcPr>
            <w:tcW w:w="3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29"/>
              <w:spacing w:after="0"/>
              <w:rPr>
                <w:sz w:val="20"/>
                <w:szCs w:val="20"/>
                <w:color w:val="auto"/>
              </w:rPr>
            </w:pPr>
            <w:r>
              <w:rPr>
                <w:rFonts w:ascii="Times New Roman" w:cs="Times New Roman" w:eastAsia="Times New Roman" w:hAnsi="Times New Roman"/>
                <w:sz w:val="9"/>
                <w:szCs w:val="9"/>
                <w:b w:val="1"/>
                <w:bCs w:val="1"/>
                <w:color w:val="auto"/>
              </w:rPr>
              <w:t>(In thousands)</w:t>
            </w:r>
          </w:p>
        </w:tc>
        <w:tc>
          <w:tcPr>
            <w:tcW w:w="100" w:type="dxa"/>
            <w:vAlign w:val="bottom"/>
          </w:tcPr>
          <w:p>
            <w:pPr>
              <w:spacing w:after="0"/>
              <w:rPr>
                <w:sz w:val="10"/>
                <w:szCs w:val="10"/>
                <w:color w:val="auto"/>
              </w:rPr>
            </w:pPr>
          </w:p>
        </w:tc>
      </w:tr>
      <w:tr>
        <w:trPr>
          <w:trHeight w:val="116"/>
        </w:trPr>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$ 0.02</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4.93</w:t>
            </w:r>
          </w:p>
        </w:tc>
        <w:tc>
          <w:tcPr>
            <w:tcW w:w="1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2,313,538</w:t>
            </w:r>
          </w:p>
        </w:tc>
        <w:tc>
          <w:tcPr>
            <w:tcW w:w="3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3.43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3.13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48,006</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2,313,538</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3.43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0"/>
                <w:szCs w:val="10"/>
                <w:color w:val="auto"/>
              </w:rPr>
              <w:t>3.13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48,002</w:t>
            </w:r>
          </w:p>
        </w:tc>
      </w:tr>
      <w:tr>
        <w:trPr>
          <w:trHeight w:val="108"/>
        </w:trPr>
        <w:tc>
          <w:tcPr>
            <w:tcW w:w="168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0"/>
                <w:szCs w:val="10"/>
                <w:color w:val="auto"/>
              </w:rPr>
              <w:t>4.94 — 12.52</w:t>
            </w:r>
          </w:p>
        </w:tc>
        <w:tc>
          <w:tcPr>
            <w:tcW w:w="1760" w:type="dxa"/>
            <w:vAlign w:val="bottom"/>
            <w:gridSpan w:val="3"/>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1,681,858</w:t>
            </w:r>
          </w:p>
        </w:tc>
        <w:tc>
          <w:tcPr>
            <w:tcW w:w="30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5.50</w:t>
            </w:r>
          </w:p>
        </w:tc>
        <w:tc>
          <w:tcPr>
            <w:tcW w:w="60" w:type="dxa"/>
            <w:vAlign w:val="bottom"/>
          </w:tcPr>
          <w:p>
            <w:pPr>
              <w:spacing w:after="0"/>
              <w:rPr>
                <w:sz w:val="9"/>
                <w:szCs w:val="9"/>
                <w:color w:val="auto"/>
              </w:rPr>
            </w:pPr>
          </w:p>
        </w:tc>
        <w:tc>
          <w:tcPr>
            <w:tcW w:w="72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7.99</w:t>
            </w: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26,718</w:t>
            </w:r>
          </w:p>
        </w:tc>
        <w:tc>
          <w:tcPr>
            <w:tcW w:w="88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1,586,849</w:t>
            </w:r>
          </w:p>
        </w:tc>
        <w:tc>
          <w:tcPr>
            <w:tcW w:w="88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5.51</w:t>
            </w:r>
          </w:p>
        </w:tc>
        <w:tc>
          <w:tcPr>
            <w:tcW w:w="60" w:type="dxa"/>
            <w:vAlign w:val="bottom"/>
          </w:tcPr>
          <w:p>
            <w:pPr>
              <w:spacing w:after="0"/>
              <w:rPr>
                <w:sz w:val="9"/>
                <w:szCs w:val="9"/>
                <w:color w:val="auto"/>
              </w:rPr>
            </w:pPr>
          </w:p>
        </w:tc>
        <w:tc>
          <w:tcPr>
            <w:tcW w:w="72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7.72</w:t>
            </w:r>
          </w:p>
        </w:tc>
        <w:tc>
          <w:tcPr>
            <w:tcW w:w="100" w:type="dxa"/>
            <w:vAlign w:val="bottom"/>
          </w:tcPr>
          <w:p>
            <w:pPr>
              <w:spacing w:after="0"/>
              <w:rPr>
                <w:sz w:val="9"/>
                <w:szCs w:val="9"/>
                <w:color w:val="auto"/>
              </w:rPr>
            </w:pPr>
          </w:p>
        </w:tc>
        <w:tc>
          <w:tcPr>
            <w:tcW w:w="8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25,644</w:t>
            </w:r>
          </w:p>
        </w:tc>
      </w:tr>
      <w:tr>
        <w:trPr>
          <w:trHeight w:val="108"/>
        </w:trPr>
        <w:tc>
          <w:tcPr>
            <w:tcW w:w="2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12.53</w:t>
            </w:r>
          </w:p>
        </w:tc>
        <w:tc>
          <w:tcPr>
            <w:tcW w:w="14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 12.77</w:t>
            </w:r>
          </w:p>
        </w:tc>
        <w:tc>
          <w:tcPr>
            <w:tcW w:w="1760" w:type="dxa"/>
            <w:vAlign w:val="bottom"/>
            <w:gridSpan w:val="3"/>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2,942,929</w:t>
            </w:r>
          </w:p>
        </w:tc>
        <w:tc>
          <w:tcPr>
            <w:tcW w:w="30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5.70</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12.77</w:t>
            </w:r>
          </w:p>
        </w:tc>
        <w:tc>
          <w:tcPr>
            <w:tcW w:w="8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32,708</w:t>
            </w:r>
          </w:p>
        </w:tc>
        <w:tc>
          <w:tcPr>
            <w:tcW w:w="88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1,632,271</w:t>
            </w:r>
          </w:p>
        </w:tc>
        <w:tc>
          <w:tcPr>
            <w:tcW w:w="88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5.70</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12.77</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18,141</w:t>
            </w:r>
          </w:p>
        </w:tc>
      </w:tr>
      <w:tr>
        <w:trPr>
          <w:trHeight w:val="108"/>
        </w:trPr>
        <w:tc>
          <w:tcPr>
            <w:tcW w:w="2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12.78</w:t>
            </w:r>
          </w:p>
        </w:tc>
        <w:tc>
          <w:tcPr>
            <w:tcW w:w="140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 16.65</w:t>
            </w:r>
          </w:p>
        </w:tc>
        <w:tc>
          <w:tcPr>
            <w:tcW w:w="1760" w:type="dxa"/>
            <w:vAlign w:val="bottom"/>
            <w:gridSpan w:val="3"/>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1,647,732</w:t>
            </w:r>
          </w:p>
        </w:tc>
        <w:tc>
          <w:tcPr>
            <w:tcW w:w="30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5.79</w:t>
            </w:r>
          </w:p>
        </w:tc>
        <w:tc>
          <w:tcPr>
            <w:tcW w:w="60" w:type="dxa"/>
            <w:vAlign w:val="bottom"/>
          </w:tcPr>
          <w:p>
            <w:pPr>
              <w:spacing w:after="0"/>
              <w:rPr>
                <w:sz w:val="9"/>
                <w:szCs w:val="9"/>
                <w:color w:val="auto"/>
              </w:rPr>
            </w:pPr>
          </w:p>
        </w:tc>
        <w:tc>
          <w:tcPr>
            <w:tcW w:w="72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16.65</w:t>
            </w: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11,913</w:t>
            </w:r>
          </w:p>
        </w:tc>
        <w:tc>
          <w:tcPr>
            <w:tcW w:w="88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1,098,519</w:t>
            </w:r>
          </w:p>
        </w:tc>
        <w:tc>
          <w:tcPr>
            <w:tcW w:w="88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5.79</w:t>
            </w:r>
          </w:p>
        </w:tc>
        <w:tc>
          <w:tcPr>
            <w:tcW w:w="60" w:type="dxa"/>
            <w:vAlign w:val="bottom"/>
          </w:tcPr>
          <w:p>
            <w:pPr>
              <w:spacing w:after="0"/>
              <w:rPr>
                <w:sz w:val="9"/>
                <w:szCs w:val="9"/>
                <w:color w:val="auto"/>
              </w:rPr>
            </w:pPr>
          </w:p>
        </w:tc>
        <w:tc>
          <w:tcPr>
            <w:tcW w:w="72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16.65</w:t>
            </w:r>
          </w:p>
        </w:tc>
        <w:tc>
          <w:tcPr>
            <w:tcW w:w="100" w:type="dxa"/>
            <w:vAlign w:val="bottom"/>
          </w:tcPr>
          <w:p>
            <w:pPr>
              <w:spacing w:after="0"/>
              <w:rPr>
                <w:sz w:val="9"/>
                <w:szCs w:val="9"/>
                <w:color w:val="auto"/>
              </w:rPr>
            </w:pPr>
          </w:p>
        </w:tc>
        <w:tc>
          <w:tcPr>
            <w:tcW w:w="8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7,942</w:t>
            </w:r>
          </w:p>
        </w:tc>
      </w:tr>
      <w:tr>
        <w:trPr>
          <w:trHeight w:val="108"/>
        </w:trPr>
        <w:tc>
          <w:tcPr>
            <w:tcW w:w="2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16.66</w:t>
            </w:r>
          </w:p>
        </w:tc>
        <w:tc>
          <w:tcPr>
            <w:tcW w:w="14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 20.92</w:t>
            </w:r>
          </w:p>
        </w:tc>
        <w:tc>
          <w:tcPr>
            <w:tcW w:w="1760" w:type="dxa"/>
            <w:vAlign w:val="bottom"/>
            <w:gridSpan w:val="3"/>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1,167,975</w:t>
            </w:r>
          </w:p>
        </w:tc>
        <w:tc>
          <w:tcPr>
            <w:tcW w:w="30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7.96</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17.80</w:t>
            </w:r>
          </w:p>
        </w:tc>
        <w:tc>
          <w:tcPr>
            <w:tcW w:w="8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7,096</w:t>
            </w:r>
          </w:p>
        </w:tc>
        <w:tc>
          <w:tcPr>
            <w:tcW w:w="88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223,478</w:t>
            </w:r>
          </w:p>
        </w:tc>
        <w:tc>
          <w:tcPr>
            <w:tcW w:w="88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7.77</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17.67</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1,389</w:t>
            </w:r>
          </w:p>
        </w:tc>
      </w:tr>
      <w:tr>
        <w:trPr>
          <w:trHeight w:val="108"/>
        </w:trPr>
        <w:tc>
          <w:tcPr>
            <w:tcW w:w="2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20.93</w:t>
            </w:r>
          </w:p>
        </w:tc>
        <w:tc>
          <w:tcPr>
            <w:tcW w:w="140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 22.22</w:t>
            </w:r>
          </w:p>
        </w:tc>
        <w:tc>
          <w:tcPr>
            <w:tcW w:w="1760" w:type="dxa"/>
            <w:vAlign w:val="bottom"/>
            <w:gridSpan w:val="3"/>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2,310,878</w:t>
            </w:r>
          </w:p>
        </w:tc>
        <w:tc>
          <w:tcPr>
            <w:tcW w:w="30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8.83</w:t>
            </w:r>
          </w:p>
        </w:tc>
        <w:tc>
          <w:tcPr>
            <w:tcW w:w="60" w:type="dxa"/>
            <w:vAlign w:val="bottom"/>
          </w:tcPr>
          <w:p>
            <w:pPr>
              <w:spacing w:after="0"/>
              <w:rPr>
                <w:sz w:val="9"/>
                <w:szCs w:val="9"/>
                <w:color w:val="auto"/>
              </w:rPr>
            </w:pPr>
          </w:p>
        </w:tc>
        <w:tc>
          <w:tcPr>
            <w:tcW w:w="72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21.88</w:t>
            </w: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4,629</w:t>
            </w:r>
          </w:p>
        </w:tc>
        <w:tc>
          <w:tcPr>
            <w:tcW w:w="88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551,625</w:t>
            </w:r>
          </w:p>
        </w:tc>
        <w:tc>
          <w:tcPr>
            <w:tcW w:w="88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8.81</w:t>
            </w:r>
          </w:p>
        </w:tc>
        <w:tc>
          <w:tcPr>
            <w:tcW w:w="60" w:type="dxa"/>
            <w:vAlign w:val="bottom"/>
          </w:tcPr>
          <w:p>
            <w:pPr>
              <w:spacing w:after="0"/>
              <w:rPr>
                <w:sz w:val="9"/>
                <w:szCs w:val="9"/>
                <w:color w:val="auto"/>
              </w:rPr>
            </w:pPr>
          </w:p>
        </w:tc>
        <w:tc>
          <w:tcPr>
            <w:tcW w:w="72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21.90</w:t>
            </w:r>
          </w:p>
        </w:tc>
        <w:tc>
          <w:tcPr>
            <w:tcW w:w="100" w:type="dxa"/>
            <w:vAlign w:val="bottom"/>
          </w:tcPr>
          <w:p>
            <w:pPr>
              <w:spacing w:after="0"/>
              <w:rPr>
                <w:sz w:val="9"/>
                <w:szCs w:val="9"/>
                <w:color w:val="auto"/>
              </w:rPr>
            </w:pPr>
          </w:p>
        </w:tc>
        <w:tc>
          <w:tcPr>
            <w:tcW w:w="8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1,092</w:t>
            </w:r>
          </w:p>
        </w:tc>
      </w:tr>
      <w:tr>
        <w:trPr>
          <w:trHeight w:val="108"/>
        </w:trPr>
        <w:tc>
          <w:tcPr>
            <w:tcW w:w="2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22.23</w:t>
            </w:r>
          </w:p>
        </w:tc>
        <w:tc>
          <w:tcPr>
            <w:tcW w:w="14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 23.44</w:t>
            </w:r>
          </w:p>
        </w:tc>
        <w:tc>
          <w:tcPr>
            <w:tcW w:w="1760" w:type="dxa"/>
            <w:vAlign w:val="bottom"/>
            <w:gridSpan w:val="3"/>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2,076,500</w:t>
            </w:r>
          </w:p>
        </w:tc>
        <w:tc>
          <w:tcPr>
            <w:tcW w:w="30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9.98</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23.44</w:t>
            </w:r>
          </w:p>
        </w:tc>
        <w:tc>
          <w:tcPr>
            <w:tcW w:w="8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914</w:t>
            </w:r>
          </w:p>
        </w:tc>
        <w:tc>
          <w:tcPr>
            <w:tcW w:w="88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17"/>
        </w:trPr>
        <w:tc>
          <w:tcPr>
            <w:tcW w:w="2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$ 0.02</w:t>
            </w:r>
          </w:p>
        </w:tc>
        <w:tc>
          <w:tcPr>
            <w:tcW w:w="140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 23.44</w:t>
            </w:r>
          </w:p>
        </w:tc>
        <w:tc>
          <w:tcPr>
            <w:tcW w:w="114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14,141,410</w:t>
            </w:r>
          </w:p>
        </w:tc>
        <w:tc>
          <w:tcPr>
            <w:tcW w:w="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6.64</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14.55</w:t>
            </w: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131,984</w:t>
            </w:r>
          </w:p>
        </w:tc>
        <w:tc>
          <w:tcPr>
            <w:tcW w:w="30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7,406,280</w:t>
            </w:r>
          </w:p>
        </w:tc>
        <w:tc>
          <w:tcPr>
            <w:tcW w:w="300" w:type="dxa"/>
            <w:vAlign w:val="bottom"/>
          </w:tcPr>
          <w:p>
            <w:pPr>
              <w:spacing w:after="0"/>
              <w:rPr>
                <w:sz w:val="10"/>
                <w:szCs w:val="10"/>
                <w:color w:val="auto"/>
              </w:rPr>
            </w:pPr>
          </w:p>
        </w:tc>
        <w:tc>
          <w:tcPr>
            <w:tcW w:w="88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5.26</w:t>
            </w:r>
          </w:p>
        </w:tc>
        <w:tc>
          <w:tcPr>
            <w:tcW w:w="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10.08</w:t>
            </w: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102,210</w:t>
            </w: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-673735</wp:posOffset>
            </wp:positionV>
            <wp:extent cx="18415"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6" w:lineRule="exact"/>
        <w:rPr>
          <w:sz w:val="20"/>
          <w:szCs w:val="20"/>
          <w:color w:val="auto"/>
        </w:rPr>
      </w:pPr>
    </w:p>
    <w:p>
      <w:pPr>
        <w:jc w:val="both"/>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During the first quarter of 2006, the Company began accounting for stock based compensation under the provisions of SFAS No. 123R issued in December 2004 under the modified prospective method. Previous to this adoption, the Company had adopted the fair value recognition provisions of SFAS No. 123, for stock-based</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4" w:name="page105"/>
    <w:bookmarkEnd w:id="104"/>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7" w:lineRule="exact"/>
        <w:rPr>
          <w:sz w:val="20"/>
          <w:szCs w:val="20"/>
          <w:color w:val="auto"/>
        </w:rPr>
      </w:pPr>
    </w:p>
    <w:p>
      <w:pPr>
        <w:ind w:left="680"/>
        <w:spacing w:after="0" w:line="255" w:lineRule="auto"/>
        <w:rPr>
          <w:sz w:val="20"/>
          <w:szCs w:val="20"/>
          <w:color w:val="auto"/>
        </w:rPr>
      </w:pPr>
      <w:r>
        <w:rPr>
          <w:rFonts w:ascii="Times New Roman" w:cs="Times New Roman" w:eastAsia="Times New Roman" w:hAnsi="Times New Roman"/>
          <w:sz w:val="13"/>
          <w:szCs w:val="13"/>
          <w:color w:val="auto"/>
        </w:rPr>
        <w:t>employee compensation in 2003. Under the fair value method of accounting, compensation cost is measured based on the fair value of the award at the grant date and recognized over the service period. In 2003, the Company elected to use the prospective method of transition, as permitted by Statement of Financial Accounting Standards No. 148, “Accounting for Stock-Based Compensation — Transition and Disclosure” (“SFAS No. 148”). Under the fair value method, stock-based employee compensation cost is recognized from the beginning of 2003 as if the fair value method of accounting had been used to account for all employee awards granted, modified, or settled in years beginning after December 31, 2002. Prior year financial statements were not restated. The adoption of SFAS 123R using the modified prospective method did not have a material impact on the Company’s financial position or results of operations for 2006 as all options that were previously accounted for under the intrinsic value method were fully vested as of December 31, 2005. During 2006, 2005 and 2004, the Company recorded stock-based compensation expense of $65.0 million, $34.1 million and $21.5 million, respectively, in connection with grants of restricted stock and stock options which is included in personnel costs in the reported financial results. During the third quarter of 2006 the compensation committee approved the immediate vesting of stock options and restricted stock shares previously granted to a director who retired from the board of directors in the third quarter. Stock based compensation expense for 2006 includes a $0.3 million charge for this acceleration of vesting. Also in 2006, stock based compensation expense included $24.5 million in expense relating to performance based options at FIS for which the performance and market based criteria were met during the first quarter.</w:t>
      </w:r>
    </w:p>
    <w:p>
      <w:pPr>
        <w:spacing w:after="0" w:line="71"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Pro forma information regarding net earnings and earnings per share is required by SFAS 123, and has been determined as if the Company had accounted for all of its employee stock options under the fair value method of that statement. The fair value for these options was estimated at the date of grant using a Black-Scholes option-pricing model with the following weighted average assumptions:</w:t>
      </w:r>
    </w:p>
    <w:p>
      <w:pPr>
        <w:spacing w:after="0" w:line="1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Old FNF options granted prior to the closing of the SEDA</w:t>
      </w:r>
    </w:p>
    <w:p>
      <w:pPr>
        <w:spacing w:after="0" w:line="98" w:lineRule="exact"/>
        <w:rPr>
          <w:sz w:val="20"/>
          <w:szCs w:val="20"/>
          <w:color w:val="auto"/>
        </w:rPr>
      </w:pPr>
    </w:p>
    <w:p>
      <w:pPr>
        <w:ind w:left="680" w:right="140" w:firstLine="399"/>
        <w:spacing w:after="0" w:line="259" w:lineRule="auto"/>
        <w:rPr>
          <w:sz w:val="20"/>
          <w:szCs w:val="20"/>
          <w:color w:val="auto"/>
        </w:rPr>
      </w:pPr>
      <w:r>
        <w:rPr>
          <w:rFonts w:ascii="Times New Roman" w:cs="Times New Roman" w:eastAsia="Times New Roman" w:hAnsi="Times New Roman"/>
          <w:sz w:val="13"/>
          <w:szCs w:val="13"/>
          <w:color w:val="auto"/>
        </w:rPr>
        <w:t>The risk free interest rates used in the calculation are the rate that corresponds to the weighted average expected life of an option. The risk free interest rate used for options granted during 2006, 2005 and 2004 was 4.9%, 4.1%, and 3.2%, respectively. A volatility factor for the expected market price of the common stock of 28%, 27%, and 34% were used for options granted in 2006, 2005 and 2004, respectively. The expected dividend yield used for 2006, 2005 and 2004 was 2.6%, 2.4%, and 2.5%, respectively. A weighted average expected life of</w:t>
      </w:r>
    </w:p>
    <w:p>
      <w:pPr>
        <w:spacing w:after="0" w:line="1" w:lineRule="exact"/>
        <w:rPr>
          <w:sz w:val="20"/>
          <w:szCs w:val="20"/>
          <w:color w:val="auto"/>
        </w:rPr>
      </w:pPr>
    </w:p>
    <w:p>
      <w:pPr>
        <w:ind w:left="680" w:right="200"/>
        <w:spacing w:after="0" w:line="264" w:lineRule="auto"/>
        <w:rPr>
          <w:sz w:val="20"/>
          <w:szCs w:val="20"/>
          <w:color w:val="auto"/>
        </w:rPr>
      </w:pPr>
      <w:r>
        <w:rPr>
          <w:rFonts w:ascii="Times New Roman" w:cs="Times New Roman" w:eastAsia="Times New Roman" w:hAnsi="Times New Roman"/>
          <w:sz w:val="13"/>
          <w:szCs w:val="13"/>
          <w:color w:val="auto"/>
        </w:rPr>
        <w:t>4.1 years, 4.0 years, and 3.8 years was used for 2006, 2005 and 2004, respectively. The weighted average fair value of each option granted during 2006, 2005 and 2004 was $9.25 , $8.56, and $10.71 ( $4.66, $4.32, and $5.40 as adjusted for the SEDA intrinsic value conversion) respectively.</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FNF options granted from the 2005 OmnibusPlan</w:t>
      </w:r>
    </w:p>
    <w:p>
      <w:pPr>
        <w:spacing w:after="0" w:line="98" w:lineRule="exact"/>
        <w:rPr>
          <w:sz w:val="20"/>
          <w:szCs w:val="20"/>
          <w:color w:val="auto"/>
        </w:rPr>
      </w:pPr>
    </w:p>
    <w:p>
      <w:pPr>
        <w:ind w:left="680" w:right="140" w:firstLine="399"/>
        <w:spacing w:after="0" w:line="263" w:lineRule="auto"/>
        <w:rPr>
          <w:sz w:val="20"/>
          <w:szCs w:val="20"/>
          <w:color w:val="auto"/>
        </w:rPr>
      </w:pPr>
      <w:r>
        <w:rPr>
          <w:rFonts w:ascii="Times New Roman" w:cs="Times New Roman" w:eastAsia="Times New Roman" w:hAnsi="Times New Roman"/>
          <w:sz w:val="13"/>
          <w:szCs w:val="13"/>
          <w:color w:val="auto"/>
        </w:rPr>
        <w:t>The risk free interest rates used in the calculation are the rates that correspond to the weighted average expected life of an option. The risk free interest rate used for options granted during 2006 and 2005 was 4.6% and 4.3%, respectively. A volatility factor for the expected market price of the common stock of 29% and 28% were used for options granted in 2006 and 2005, respectively. The expected dividend yield used for 2006 and 2005 was 5.1%, 4.6%, respectively. A weighted average expected life of 4.4 years and 4.0 years was used for 2006 and 2005, respectively. The weighted average fair value of each option granted during 2006 and 2005 was $4.23 and $3.98, respectively.</w:t>
      </w:r>
    </w:p>
    <w:p>
      <w:pPr>
        <w:spacing w:after="0" w:line="62" w:lineRule="exact"/>
        <w:rPr>
          <w:sz w:val="20"/>
          <w:szCs w:val="20"/>
          <w:color w:val="auto"/>
        </w:rPr>
      </w:pPr>
    </w:p>
    <w:p>
      <w:pPr>
        <w:jc w:val="both"/>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For purposes of pro forma disclosures, the estimated fair value of the options is amortized into expense over the options’ vesting period. For the year ended December 31, 2006, there was no difference between net earnings as reported and pro forma net earnings as calculated pursuant to SFAS 123 because, as of January 1, 2006, all stock-based compensation awards that were granted prior to our adoption of SFAS 123 were fully vested. The following</w:t>
      </w:r>
    </w:p>
    <w:p>
      <w:pPr>
        <w:spacing w:after="0" w:line="2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05" w:name="page106"/>
    <w:bookmarkEnd w:id="105"/>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7" w:lineRule="exact"/>
        <w:rPr>
          <w:sz w:val="20"/>
          <w:szCs w:val="20"/>
          <w:color w:val="auto"/>
        </w:rPr>
      </w:pPr>
    </w:p>
    <w:p>
      <w:pPr>
        <w:ind w:left="680" w:right="920"/>
        <w:spacing w:after="0" w:line="286" w:lineRule="auto"/>
        <w:rPr>
          <w:sz w:val="20"/>
          <w:szCs w:val="20"/>
          <w:color w:val="auto"/>
        </w:rPr>
      </w:pPr>
      <w:r>
        <w:rPr>
          <w:rFonts w:ascii="Times New Roman" w:cs="Times New Roman" w:eastAsia="Times New Roman" w:hAnsi="Times New Roman"/>
          <w:sz w:val="13"/>
          <w:szCs w:val="13"/>
          <w:color w:val="auto"/>
        </w:rPr>
        <w:t>table illustrates the effect on net income and earnings per share if the Company had applied the fair value recognition provisions of SFAS No. 123 to all outstanding and unvested awards in 2005 and 2004:</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8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5"/>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r>
      <w:tr>
        <w:trPr>
          <w:trHeight w:val="98"/>
        </w:trPr>
        <w:tc>
          <w:tcPr>
            <w:tcW w:w="810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8"/>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6"/>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8"/>
                <w:szCs w:val="8"/>
                <w:color w:val="auto"/>
              </w:rPr>
            </w:pPr>
          </w:p>
        </w:tc>
      </w:tr>
      <w:tr>
        <w:trPr>
          <w:trHeight w:val="133"/>
        </w:trPr>
        <w:tc>
          <w:tcPr>
            <w:tcW w:w="8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(Dollars</w:t>
            </w:r>
          </w:p>
        </w:tc>
        <w:tc>
          <w:tcPr>
            <w:tcW w:w="1080" w:type="dxa"/>
            <w:vAlign w:val="bottom"/>
            <w:gridSpan w:val="3"/>
          </w:tcPr>
          <w:p>
            <w:pPr>
              <w:jc w:val="right"/>
              <w:ind w:right="336"/>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0" w:type="dxa"/>
            <w:vAlign w:val="bottom"/>
          </w:tcPr>
          <w:p>
            <w:pPr>
              <w:spacing w:after="0"/>
              <w:rPr>
                <w:sz w:val="11"/>
                <w:szCs w:val="11"/>
                <w:color w:val="auto"/>
              </w:rPr>
            </w:pPr>
          </w:p>
        </w:tc>
      </w:tr>
      <w:tr>
        <w:trPr>
          <w:trHeight w:val="161"/>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earnings, as reported</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964,106</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740,962</w:t>
            </w:r>
          </w:p>
        </w:tc>
      </w:tr>
      <w:tr>
        <w:trPr>
          <w:trHeight w:val="157"/>
        </w:trPr>
        <w:tc>
          <w:tcPr>
            <w:tcW w:w="8100" w:type="dxa"/>
            <w:vAlign w:val="bottom"/>
          </w:tcPr>
          <w:p>
            <w:pPr>
              <w:spacing w:after="0"/>
              <w:rPr>
                <w:sz w:val="20"/>
                <w:szCs w:val="20"/>
                <w:color w:val="auto"/>
              </w:rPr>
            </w:pPr>
            <w:r>
              <w:rPr>
                <w:rFonts w:ascii="Times New Roman" w:cs="Times New Roman" w:eastAsia="Times New Roman" w:hAnsi="Times New Roman"/>
                <w:sz w:val="13"/>
                <w:szCs w:val="13"/>
                <w:color w:val="auto"/>
              </w:rPr>
              <w:t>Add: Stock-based compensation expense included in reported net earnings, net of related tax effects</w:t>
            </w:r>
          </w:p>
        </w:tc>
        <w:tc>
          <w:tcPr>
            <w:tcW w:w="16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21,147</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13,522</w:t>
            </w:r>
          </w:p>
        </w:tc>
      </w:tr>
      <w:tr>
        <w:trPr>
          <w:trHeight w:val="157"/>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Deduct: Total stock-based employee compensation expense determined under fair value based methods for all awards, net of related tax effects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3"/>
                <w:szCs w:val="13"/>
                <w:color w:val="auto"/>
              </w:rPr>
              <w:t>(22,291)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(15,227)</w:t>
            </w:r>
          </w:p>
        </w:tc>
      </w:tr>
      <w:tr>
        <w:trPr>
          <w:trHeight w:val="171"/>
        </w:trPr>
        <w:tc>
          <w:tcPr>
            <w:tcW w:w="8100" w:type="dxa"/>
            <w:vAlign w:val="bottom"/>
          </w:tcPr>
          <w:p>
            <w:pPr>
              <w:spacing w:after="0"/>
              <w:rPr>
                <w:sz w:val="20"/>
                <w:szCs w:val="20"/>
                <w:color w:val="auto"/>
              </w:rPr>
            </w:pPr>
            <w:r>
              <w:rPr>
                <w:rFonts w:ascii="Times New Roman" w:cs="Times New Roman" w:eastAsia="Times New Roman" w:hAnsi="Times New Roman"/>
                <w:sz w:val="13"/>
                <w:szCs w:val="13"/>
                <w:color w:val="auto"/>
              </w:rPr>
              <w:t>Pro forma net earnings</w:t>
            </w: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962,962</w:t>
            </w: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739,257</w:t>
            </w:r>
          </w:p>
        </w:tc>
        <w:tc>
          <w:tcPr>
            <w:tcW w:w="100" w:type="dxa"/>
            <w:vAlign w:val="bottom"/>
          </w:tcPr>
          <w:p>
            <w:pPr>
              <w:spacing w:after="0"/>
              <w:rPr>
                <w:sz w:val="14"/>
                <w:szCs w:val="14"/>
                <w:color w:val="auto"/>
              </w:rPr>
            </w:pPr>
          </w:p>
        </w:tc>
      </w:tr>
      <w:tr>
        <w:trPr>
          <w:trHeight w:val="162"/>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per share:</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Basic — as reported</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5.56</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4.28</w:t>
            </w:r>
          </w:p>
        </w:tc>
      </w:tr>
      <w:tr>
        <w:trPr>
          <w:trHeight w:val="157"/>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Basic — pro forma</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5.55</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4.27</w:t>
            </w:r>
          </w:p>
        </w:tc>
      </w:tr>
      <w:tr>
        <w:trPr>
          <w:trHeight w:val="157"/>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Diluted — as reported</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5.55</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4.28</w:t>
            </w:r>
          </w:p>
        </w:tc>
      </w:tr>
      <w:tr>
        <w:trPr>
          <w:trHeight w:val="157"/>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Diluted — pro forma</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5.55</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4.27</w:t>
            </w:r>
          </w:p>
        </w:tc>
      </w:tr>
    </w:tbl>
    <w:p>
      <w:pPr>
        <w:spacing w:after="0" w:line="76" w:lineRule="exact"/>
        <w:rPr>
          <w:sz w:val="20"/>
          <w:szCs w:val="20"/>
          <w:color w:val="auto"/>
        </w:rPr>
      </w:pPr>
    </w:p>
    <w:p>
      <w:pPr>
        <w:ind w:left="680" w:right="1120" w:firstLine="399"/>
        <w:spacing w:after="0" w:line="286" w:lineRule="auto"/>
        <w:rPr>
          <w:sz w:val="20"/>
          <w:szCs w:val="20"/>
          <w:color w:val="auto"/>
        </w:rPr>
      </w:pPr>
      <w:r>
        <w:rPr>
          <w:rFonts w:ascii="Times New Roman" w:cs="Times New Roman" w:eastAsia="Times New Roman" w:hAnsi="Times New Roman"/>
          <w:sz w:val="13"/>
          <w:szCs w:val="13"/>
          <w:color w:val="auto"/>
        </w:rPr>
        <w:t>At December 31, 2006, the total unrecognized compensation cost related to non-vested stock option grants and restricted stock grants was $74.6 million, which is expected to be recognized in pre-tax income over a weighted average period of 1.9 years.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Pension Plans</w:t>
      </w:r>
    </w:p>
    <w:p>
      <w:pPr>
        <w:spacing w:after="0" w:line="100" w:lineRule="exact"/>
        <w:rPr>
          <w:sz w:val="20"/>
          <w:szCs w:val="20"/>
          <w:color w:val="auto"/>
        </w:rPr>
      </w:pPr>
    </w:p>
    <w:p>
      <w:pPr>
        <w:ind w:left="680" w:right="880" w:firstLine="399"/>
        <w:spacing w:after="0" w:line="286" w:lineRule="auto"/>
        <w:rPr>
          <w:sz w:val="20"/>
          <w:szCs w:val="20"/>
          <w:color w:val="auto"/>
        </w:rPr>
      </w:pPr>
      <w:r>
        <w:rPr>
          <w:rFonts w:ascii="Times New Roman" w:cs="Times New Roman" w:eastAsia="Times New Roman" w:hAnsi="Times New Roman"/>
          <w:sz w:val="13"/>
          <w:szCs w:val="13"/>
          <w:color w:val="auto"/>
        </w:rPr>
        <w:t>In connection with the Chicago Title merger, the Company assumed Chicago Title’s noncontributory defined contribution plan and noncontributory defined benefit pension plan (the “Pension Plan”).</w:t>
      </w:r>
    </w:p>
    <w:p>
      <w:pPr>
        <w:spacing w:after="0" w:line="47" w:lineRule="exact"/>
        <w:rPr>
          <w:sz w:val="20"/>
          <w:szCs w:val="20"/>
          <w:color w:val="auto"/>
        </w:rPr>
      </w:pPr>
    </w:p>
    <w:p>
      <w:pPr>
        <w:ind w:left="680" w:right="820" w:firstLine="399"/>
        <w:spacing w:after="0" w:line="269" w:lineRule="auto"/>
        <w:rPr>
          <w:sz w:val="20"/>
          <w:szCs w:val="20"/>
          <w:color w:val="auto"/>
        </w:rPr>
      </w:pPr>
      <w:r>
        <w:rPr>
          <w:rFonts w:ascii="Times New Roman" w:cs="Times New Roman" w:eastAsia="Times New Roman" w:hAnsi="Times New Roman"/>
          <w:sz w:val="13"/>
          <w:szCs w:val="13"/>
          <w:color w:val="auto"/>
        </w:rPr>
        <w:t>The Pension Plan covers certain Chicago Title employees. The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w:t>
      </w:r>
    </w:p>
    <w:p>
      <w:pPr>
        <w:spacing w:after="0" w:line="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sets forth the funded status of the Pension Plan and amounts reflected in the Company’s Consolidated Balance Sheets as of December 31, 2006, 2005 and 2004:</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0"/>
                <w:szCs w:val="10"/>
                <w:b w:val="1"/>
                <w:bCs w:val="1"/>
                <w:color w:val="auto"/>
              </w:rPr>
              <w:t>2006</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3"/>
        </w:trPr>
        <w:tc>
          <w:tcPr>
            <w:tcW w:w="6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1"/>
        </w:trPr>
        <w:tc>
          <w:tcPr>
            <w:tcW w:w="68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Benefit Obligation:</w:t>
            </w:r>
          </w:p>
        </w:tc>
        <w:tc>
          <w:tcPr>
            <w:tcW w:w="3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benefit obligation at beginning of year</w:t>
            </w:r>
          </w:p>
        </w:tc>
        <w:tc>
          <w:tcPr>
            <w:tcW w:w="352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162,875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150,255</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131,984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Effects of change in actuarial assumptions</w:t>
            </w:r>
          </w:p>
        </w:tc>
        <w:tc>
          <w:tcPr>
            <w:tcW w:w="3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(3,970)</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14,437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cost</w:t>
            </w:r>
          </w:p>
        </w:tc>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8,780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8,347</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8,650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Actuarial loss</w:t>
            </w:r>
          </w:p>
        </w:tc>
        <w:tc>
          <w:tcPr>
            <w:tcW w:w="3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1,856</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(2,755)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20,918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Gross benefits paid</w:t>
            </w:r>
          </w:p>
        </w:tc>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(11,283)</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(7,409)</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(11,297)</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benefit obligation at end of year</w:t>
            </w:r>
          </w:p>
        </w:tc>
        <w:tc>
          <w:tcPr>
            <w:tcW w:w="33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158,258</w:t>
            </w:r>
          </w:p>
        </w:tc>
        <w:tc>
          <w:tcPr>
            <w:tcW w:w="1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162,875</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150,255</w:t>
            </w:r>
          </w:p>
        </w:tc>
        <w:tc>
          <w:tcPr>
            <w:tcW w:w="800" w:type="dxa"/>
            <w:vAlign w:val="bottom"/>
          </w:tcPr>
          <w:p>
            <w:pPr>
              <w:spacing w:after="0"/>
              <w:rPr>
                <w:sz w:val="14"/>
                <w:szCs w:val="14"/>
                <w:color w:val="auto"/>
              </w:rPr>
            </w:pPr>
          </w:p>
        </w:tc>
      </w:tr>
      <w:tr>
        <w:trPr>
          <w:trHeight w:val="463"/>
        </w:trPr>
        <w:tc>
          <w:tcPr>
            <w:tcW w:w="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360" w:type="dxa"/>
            <w:vAlign w:val="bottom"/>
          </w:tcPr>
          <w:p>
            <w:pPr>
              <w:jc w:val="right"/>
              <w:ind w:right="1834"/>
              <w:spacing w:after="0"/>
              <w:rPr>
                <w:sz w:val="20"/>
                <w:szCs w:val="20"/>
                <w:color w:val="auto"/>
              </w:rPr>
            </w:pPr>
            <w:r>
              <w:rPr>
                <w:rFonts w:ascii="Times New Roman" w:cs="Times New Roman" w:eastAsia="Times New Roman" w:hAnsi="Times New Roman"/>
                <w:sz w:val="13"/>
                <w:szCs w:val="13"/>
                <w:color w:val="auto"/>
              </w:rPr>
              <w:t>103</w:t>
            </w: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640" w:type="dxa"/>
            <w:vAlign w:val="bottom"/>
            <w:tcBorders>
              <w:bottom w:val="single" w:sz="8" w:color="808080"/>
            </w:tcBorders>
          </w:tcPr>
          <w:p>
            <w:pPr>
              <w:spacing w:after="0"/>
              <w:rPr>
                <w:sz w:val="14"/>
                <w:szCs w:val="14"/>
                <w:color w:val="auto"/>
              </w:rPr>
            </w:pPr>
          </w:p>
        </w:tc>
        <w:tc>
          <w:tcPr>
            <w:tcW w:w="33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106" w:name="page107"/>
    <w:bookmarkEnd w:id="106"/>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71"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0"/>
                <w:szCs w:val="10"/>
                <w:b w:val="1"/>
                <w:bCs w:val="1"/>
                <w:color w:val="auto"/>
              </w:rPr>
              <w:t>2006</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11"/>
                <w:szCs w:val="11"/>
                <w:color w:val="auto"/>
              </w:rPr>
            </w:pPr>
          </w:p>
        </w:tc>
      </w:tr>
      <w:tr>
        <w:trPr>
          <w:trHeight w:val="133"/>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Pension Plan Assets: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Fair value of plan assets at beginning of year</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112,636</w:t>
            </w:r>
          </w:p>
        </w:tc>
        <w:tc>
          <w:tcPr>
            <w:tcW w:w="400" w:type="dxa"/>
            <w:vAlign w:val="bottom"/>
            <w:gridSpan w:val="2"/>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87,214</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77,700</w:t>
            </w:r>
          </w:p>
        </w:tc>
      </w:tr>
      <w:tr>
        <w:trPr>
          <w:trHeight w:val="157"/>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Actual return on plan assets</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13,511</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8,525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2,811</w:t>
            </w: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Employer contributions</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12,127</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24,306</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18,000</w:t>
            </w:r>
          </w:p>
        </w:tc>
      </w:tr>
      <w:tr>
        <w:trPr>
          <w:trHeight w:val="157"/>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Gross benefits paid</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(11,283)</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(7,409)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(11,297)</w:t>
            </w:r>
          </w:p>
        </w:tc>
      </w:tr>
      <w:tr>
        <w:trPr>
          <w:trHeight w:val="171"/>
        </w:trPr>
        <w:tc>
          <w:tcPr>
            <w:tcW w:w="70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Fair value of plan assets at end of year</w:t>
            </w: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126,991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112,636</w:t>
            </w: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87,214</w:t>
            </w:r>
          </w:p>
        </w:tc>
        <w:tc>
          <w:tcPr>
            <w:tcW w:w="100" w:type="dxa"/>
            <w:vAlign w:val="bottom"/>
          </w:tcPr>
          <w:p>
            <w:pPr>
              <w:spacing w:after="0"/>
              <w:rPr>
                <w:sz w:val="14"/>
                <w:szCs w:val="14"/>
                <w:color w:val="auto"/>
              </w:rPr>
            </w:pPr>
          </w:p>
        </w:tc>
      </w:tr>
      <w:tr>
        <w:trPr>
          <w:trHeight w:val="162"/>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Funded status at end of year</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(31,267)</w:t>
            </w:r>
          </w:p>
        </w:tc>
        <w:tc>
          <w:tcPr>
            <w:tcW w:w="40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(50,239)</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(63,041)</w:t>
            </w: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Unrecognized net actuarial loss</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67,677</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83,466</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80,261</w:t>
            </w: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amount recognized at end of year</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36,410</w:t>
            </w:r>
          </w:p>
        </w:tc>
        <w:tc>
          <w:tcPr>
            <w:tcW w:w="1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33,227</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17,220</w:t>
            </w:r>
          </w:p>
        </w:tc>
      </w:tr>
      <w:tr>
        <w:trPr>
          <w:trHeight w:val="29"/>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accumulated benefit obligation (ABO) is the same as the projected benefit obligation (PBO) due to the pension plan being frozen as of December 31, 2000.</w:t>
      </w:r>
    </w:p>
    <w:p>
      <w:pPr>
        <w:spacing w:after="0" w:line="96" w:lineRule="exact"/>
        <w:rPr>
          <w:sz w:val="20"/>
          <w:szCs w:val="20"/>
          <w:color w:val="auto"/>
        </w:rPr>
      </w:pPr>
    </w:p>
    <w:p>
      <w:pPr>
        <w:ind w:left="680" w:right="200" w:firstLine="399"/>
        <w:spacing w:after="0" w:line="286" w:lineRule="auto"/>
        <w:rPr>
          <w:sz w:val="20"/>
          <w:szCs w:val="20"/>
          <w:color w:val="auto"/>
        </w:rPr>
      </w:pPr>
      <w:r>
        <w:rPr>
          <w:rFonts w:ascii="Times New Roman" w:cs="Times New Roman" w:eastAsia="Times New Roman" w:hAnsi="Times New Roman"/>
          <w:sz w:val="13"/>
          <w:szCs w:val="13"/>
          <w:color w:val="auto"/>
        </w:rPr>
        <w:t>Under Statement of Financial Accounting Standards No. 87, “Employers’ Accounting for Pensions” (“SFAS No. 87”), the measurement date shall be as of the date of the financial statements, or if used consistently from year to year, as of a date not more than three months prior to that date. The Company’s measurement date is December 31.</w:t>
      </w:r>
    </w:p>
    <w:p>
      <w:pPr>
        <w:spacing w:after="0" w:line="47" w:lineRule="exact"/>
        <w:rPr>
          <w:sz w:val="20"/>
          <w:szCs w:val="20"/>
          <w:color w:val="auto"/>
        </w:rPr>
      </w:pPr>
    </w:p>
    <w:p>
      <w:pPr>
        <w:ind w:left="680" w:right="160" w:firstLine="399"/>
        <w:spacing w:after="0" w:line="263" w:lineRule="auto"/>
        <w:rPr>
          <w:sz w:val="20"/>
          <w:szCs w:val="20"/>
          <w:color w:val="auto"/>
        </w:rPr>
      </w:pPr>
      <w:r>
        <w:rPr>
          <w:rFonts w:ascii="Times New Roman" w:cs="Times New Roman" w:eastAsia="Times New Roman" w:hAnsi="Times New Roman"/>
          <w:sz w:val="13"/>
          <w:szCs w:val="13"/>
          <w:color w:val="auto"/>
        </w:rPr>
        <w:t>The net pension liability included in accounts payable and accrued liabilities as of December 31, 2006 and 2005 is $31.3 million and $50.2 million, respectively. Pursuant to the required implementation of FASB SFAS No. 158, “Employers’ Accounting for Defined Benefit Pension and Other Post Retirement Plans” (“SFAS 158”), for this fiscal year end, accumulated other comprehensive expense amounts associated with the additional minimum pension liability are eliminated. Adoption of SFAS 158 resulted in a $36.4 million decrease in prepaid expenses and other assets and an equivalent decrease in accounts payable and accrued liabilities.</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components of net periodic expense included in the results of operations for 2006, 2005 and 2004 are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0"/>
                <w:szCs w:val="10"/>
                <w:b w:val="1"/>
                <w:bCs w:val="1"/>
                <w:color w:val="auto"/>
              </w:rPr>
              <w:t>2006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11"/>
                <w:szCs w:val="11"/>
                <w:color w:val="auto"/>
              </w:rPr>
            </w:pPr>
          </w:p>
        </w:tc>
      </w:tr>
      <w:tr>
        <w:trPr>
          <w:trHeight w:val="133"/>
        </w:trPr>
        <w:tc>
          <w:tcPr>
            <w:tcW w:w="7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4"/>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 cost</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Interest cost</w:t>
            </w: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8,780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8,347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8,650</w:t>
            </w:r>
          </w:p>
        </w:tc>
      </w:tr>
      <w:tr>
        <w:trPr>
          <w:trHeight w:val="15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return on assets</w:t>
            </w:r>
          </w:p>
        </w:tc>
        <w:tc>
          <w:tcPr>
            <w:tcW w:w="14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(9,752)</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(8,877)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(7,570)</w:t>
            </w:r>
          </w:p>
        </w:tc>
      </w:tr>
      <w:tr>
        <w:trPr>
          <w:trHeight w:val="157"/>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actuarial loss</w:t>
            </w: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9,916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8,829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7,004</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net periodic expense</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8,944</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8,299</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8,084</w:t>
            </w:r>
          </w:p>
        </w:tc>
      </w:tr>
      <w:tr>
        <w:trPr>
          <w:trHeight w:val="157"/>
        </w:trPr>
        <w:tc>
          <w:tcPr>
            <w:tcW w:w="7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One-time charges: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Special termination benefit charge (credit)</w:t>
            </w:r>
          </w:p>
        </w:tc>
        <w:tc>
          <w:tcPr>
            <w:tcW w:w="14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3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Curtailment charge (credit)</w:t>
            </w:r>
          </w:p>
        </w:tc>
        <w:tc>
          <w:tcPr>
            <w:tcW w:w="140" w:type="dxa"/>
            <w:vAlign w:val="bottom"/>
          </w:tcPr>
          <w:p>
            <w:pPr>
              <w:spacing w:after="0"/>
              <w:rPr>
                <w:sz w:val="13"/>
                <w:szCs w:val="13"/>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Settlement charge (credit)</w:t>
            </w:r>
          </w:p>
        </w:tc>
        <w:tc>
          <w:tcPr>
            <w:tcW w:w="14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66"/>
        </w:trPr>
        <w:tc>
          <w:tcPr>
            <w:tcW w:w="7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net expense</w:t>
            </w: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8,944</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8,299</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8,084</w:t>
            </w:r>
          </w:p>
        </w:tc>
        <w:tc>
          <w:tcPr>
            <w:tcW w:w="100" w:type="dxa"/>
            <w:vAlign w:val="bottom"/>
          </w:tcPr>
          <w:p>
            <w:pPr>
              <w:spacing w:after="0"/>
              <w:rPr>
                <w:sz w:val="14"/>
                <w:szCs w:val="14"/>
                <w:color w:val="auto"/>
              </w:rPr>
            </w:pPr>
          </w:p>
        </w:tc>
      </w:tr>
    </w:tbl>
    <w:p>
      <w:pPr>
        <w:spacing w:after="0" w:line="86"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The components of amounts recognized in other comprehensive income, showing separately the net transition asset or obligation, the net gain or loss and the net prior service cost or credit, are as shown below, on both a before tax and net of tax basis.</w:t>
      </w:r>
    </w:p>
    <w:p>
      <w:pPr>
        <w:spacing w:after="0" w:line="1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7" w:name="page108"/>
    <w:bookmarkEnd w:id="107"/>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71"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130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0"/>
                <w:szCs w:val="10"/>
                <w:b w:val="1"/>
                <w:bCs w:val="1"/>
                <w:color w:val="auto"/>
              </w:rPr>
              <w:t>Before Tax</w:t>
            </w:r>
          </w:p>
        </w:tc>
        <w:tc>
          <w:tcPr>
            <w:tcW w:w="40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0"/>
                <w:szCs w:val="10"/>
                <w:b w:val="1"/>
                <w:bCs w:val="1"/>
                <w:color w:val="auto"/>
              </w:rPr>
              <w:t>Net of Tax</w:t>
            </w:r>
          </w:p>
        </w:tc>
        <w:tc>
          <w:tcPr>
            <w:tcW w:w="100" w:type="dxa"/>
            <w:vAlign w:val="bottom"/>
          </w:tcPr>
          <w:p>
            <w:pPr>
              <w:spacing w:after="0"/>
              <w:rPr>
                <w:sz w:val="11"/>
                <w:szCs w:val="11"/>
                <w:color w:val="auto"/>
              </w:rPr>
            </w:pPr>
          </w:p>
        </w:tc>
      </w:tr>
      <w:tr>
        <w:trPr>
          <w:trHeight w:val="133"/>
        </w:trPr>
        <w:tc>
          <w:tcPr>
            <w:tcW w:w="130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(Dollars</w:t>
            </w:r>
          </w:p>
        </w:tc>
        <w:tc>
          <w:tcPr>
            <w:tcW w:w="1080" w:type="dxa"/>
            <w:vAlign w:val="bottom"/>
            <w:gridSpan w:val="5"/>
          </w:tcPr>
          <w:p>
            <w:pPr>
              <w:jc w:val="right"/>
              <w:ind w:right="334"/>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0" w:type="dxa"/>
            <w:vAlign w:val="bottom"/>
          </w:tcPr>
          <w:p>
            <w:pPr>
              <w:spacing w:after="0"/>
              <w:rPr>
                <w:sz w:val="11"/>
                <w:szCs w:val="11"/>
                <w:color w:val="auto"/>
              </w:rPr>
            </w:pPr>
          </w:p>
        </w:tc>
      </w:tr>
      <w:tr>
        <w:trPr>
          <w:trHeight w:val="161"/>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other comprehensive income at January 1</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3"/>
                <w:szCs w:val="13"/>
                <w:color w:val="auto"/>
              </w:rPr>
              <w:t>83,466</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49,559</w:t>
            </w:r>
          </w:p>
        </w:tc>
      </w:tr>
      <w:tr>
        <w:trPr>
          <w:trHeight w:val="157"/>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Amounts recognized in current fiscal year:</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transition obligation/asset</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4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Net prior service cost/credit</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loss/gain</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(9,916)</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(6,299)</w:t>
            </w:r>
          </w:p>
        </w:tc>
      </w:tr>
      <w:tr>
        <w:trPr>
          <w:trHeight w:val="157"/>
        </w:trPr>
        <w:tc>
          <w:tcPr>
            <w:tcW w:w="7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(9,916)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(6,299)</w:t>
            </w:r>
          </w:p>
        </w:tc>
        <w:tc>
          <w:tcPr>
            <w:tcW w:w="100" w:type="dxa"/>
            <w:vAlign w:val="bottom"/>
          </w:tcPr>
          <w:p>
            <w:pPr>
              <w:spacing w:after="0"/>
              <w:rPr>
                <w:sz w:val="13"/>
                <w:szCs w:val="13"/>
                <w:color w:val="auto"/>
              </w:rPr>
            </w:pPr>
          </w:p>
        </w:tc>
      </w:tr>
      <w:tr>
        <w:trPr>
          <w:trHeight w:val="157"/>
        </w:trPr>
        <w:tc>
          <w:tcPr>
            <w:tcW w:w="7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Unrecognized amounts arising in current fiscal year:</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4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Net prior service cost/credit</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4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loss/gain</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(5,874)</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(3,730)</w:t>
            </w:r>
          </w:p>
        </w:tc>
      </w:tr>
      <w:tr>
        <w:trPr>
          <w:trHeight w:val="157"/>
        </w:trPr>
        <w:tc>
          <w:tcPr>
            <w:tcW w:w="7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(5,874)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(3,730)</w:t>
            </w:r>
          </w:p>
        </w:tc>
        <w:tc>
          <w:tcPr>
            <w:tcW w:w="100" w:type="dxa"/>
            <w:vAlign w:val="bottom"/>
          </w:tcPr>
          <w:p>
            <w:pPr>
              <w:spacing w:after="0"/>
              <w:rPr>
                <w:sz w:val="13"/>
                <w:szCs w:val="13"/>
                <w:color w:val="auto"/>
              </w:rPr>
            </w:pPr>
          </w:p>
        </w:tc>
      </w:tr>
      <w:tr>
        <w:trPr>
          <w:trHeight w:val="166"/>
        </w:trPr>
        <w:tc>
          <w:tcPr>
            <w:tcW w:w="7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income at December 31</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3"/>
                <w:szCs w:val="13"/>
                <w:color w:val="auto"/>
              </w:rPr>
              <w:t>67,676</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39,530</w:t>
            </w:r>
          </w:p>
        </w:tc>
      </w:tr>
      <w:tr>
        <w:trPr>
          <w:trHeight w:val="167"/>
        </w:trPr>
        <w:tc>
          <w:tcPr>
            <w:tcW w:w="7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Adjustment to apply SFAS 158</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r>
      <w:tr>
        <w:trPr>
          <w:trHeight w:val="157"/>
        </w:trPr>
        <w:tc>
          <w:tcPr>
            <w:tcW w:w="7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Amounts expected to be recognized in the following year:</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4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Net transition obligation/asset</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4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Net prior service cost/credit</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4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Net loss/gain</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8"/>
              <w:spacing w:after="0"/>
              <w:rPr>
                <w:sz w:val="20"/>
                <w:szCs w:val="20"/>
                <w:color w:val="auto"/>
              </w:rPr>
            </w:pPr>
            <w:r>
              <w:rPr>
                <w:rFonts w:ascii="Times New Roman" w:cs="Times New Roman" w:eastAsia="Times New Roman" w:hAnsi="Times New Roman"/>
                <w:sz w:val="13"/>
                <w:szCs w:val="13"/>
                <w:color w:val="auto"/>
              </w:rPr>
              <w:t>(9,916)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(6,299)</w:t>
            </w:r>
          </w:p>
        </w:tc>
      </w:tr>
      <w:tr>
        <w:trPr>
          <w:trHeight w:val="20"/>
        </w:trPr>
        <w:tc>
          <w:tcPr>
            <w:tcW w:w="13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(9,916)</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(6,299)</w:t>
            </w:r>
          </w:p>
        </w:tc>
      </w:tr>
      <w:tr>
        <w:trPr>
          <w:trHeight w:val="325"/>
        </w:trPr>
        <w:tc>
          <w:tcPr>
            <w:tcW w:w="74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Pension Assumptions</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74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Weighted-average assumptions used to determine benefit obligations at December 31 are as follows:</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6"/>
        </w:trPr>
        <w:tc>
          <w:tcPr>
            <w:tcW w:w="130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2006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14"/>
              <w:spacing w:after="0"/>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17"/>
                <w:szCs w:val="17"/>
                <w:color w:val="auto"/>
              </w:rPr>
            </w:pPr>
          </w:p>
        </w:tc>
      </w:tr>
      <w:tr>
        <w:trPr>
          <w:trHeight w:val="29"/>
        </w:trPr>
        <w:tc>
          <w:tcPr>
            <w:tcW w:w="13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Discount rate</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5.75%</w:t>
            </w:r>
          </w:p>
        </w:tc>
        <w:tc>
          <w:tcPr>
            <w:tcW w:w="80" w:type="dxa"/>
            <w:vAlign w:val="bottom"/>
            <w:shd w:val="clear" w:color="auto" w:fill="CCEEFF"/>
          </w:tcPr>
          <w:p>
            <w:pPr>
              <w:spacing w:after="0"/>
              <w:rPr>
                <w:sz w:val="13"/>
                <w:szCs w:val="13"/>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100" w:type="dxa"/>
            <w:vAlign w:val="bottom"/>
            <w:shd w:val="clear" w:color="auto" w:fill="CCEEFF"/>
          </w:tcPr>
          <w:p>
            <w:pPr>
              <w:spacing w:after="0"/>
              <w:rPr>
                <w:sz w:val="13"/>
                <w:szCs w:val="13"/>
                <w:color w:val="auto"/>
              </w:rPr>
            </w:pPr>
          </w:p>
        </w:tc>
      </w:tr>
      <w:tr>
        <w:trPr>
          <w:trHeight w:val="171"/>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Rate of compensation increase</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N/A(a)</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N/A(a)</w:t>
            </w:r>
          </w:p>
        </w:tc>
      </w:tr>
      <w:tr>
        <w:trPr>
          <w:trHeight w:val="233"/>
        </w:trPr>
        <w:tc>
          <w:tcPr>
            <w:tcW w:w="74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Weighted-average assumptions used to determine net expense for years ended December 31, are as follows: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6"/>
        </w:trPr>
        <w:tc>
          <w:tcPr>
            <w:tcW w:w="130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0"/>
                <w:szCs w:val="10"/>
                <w:b w:val="1"/>
                <w:bCs w:val="1"/>
                <w:color w:val="auto"/>
              </w:rPr>
              <w:t>2006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14"/>
              <w:spacing w:after="0"/>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17"/>
                <w:szCs w:val="17"/>
                <w:color w:val="auto"/>
              </w:rPr>
            </w:pPr>
          </w:p>
        </w:tc>
      </w:tr>
      <w:tr>
        <w:trPr>
          <w:trHeight w:val="29"/>
        </w:trPr>
        <w:tc>
          <w:tcPr>
            <w:tcW w:w="13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Discount rate</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shd w:val="clear" w:color="auto" w:fill="CCEEFF"/>
          </w:tcPr>
          <w:p>
            <w:pPr>
              <w:spacing w:after="0"/>
              <w:rPr>
                <w:sz w:val="13"/>
                <w:szCs w:val="13"/>
                <w:color w:val="auto"/>
              </w:rPr>
            </w:pPr>
          </w:p>
        </w:tc>
        <w:tc>
          <w:tcPr>
            <w:tcW w:w="10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5.75%</w:t>
            </w:r>
          </w:p>
        </w:tc>
        <w:tc>
          <w:tcPr>
            <w:tcW w:w="80" w:type="dxa"/>
            <w:vAlign w:val="bottom"/>
            <w:shd w:val="clear" w:color="auto" w:fill="CCEEFF"/>
          </w:tcPr>
          <w:p>
            <w:pPr>
              <w:spacing w:after="0"/>
              <w:rPr>
                <w:sz w:val="13"/>
                <w:szCs w:val="13"/>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100" w:type="dxa"/>
            <w:vAlign w:val="bottom"/>
            <w:shd w:val="clear" w:color="auto" w:fill="CCEEFF"/>
          </w:tcPr>
          <w:p>
            <w:pPr>
              <w:spacing w:after="0"/>
              <w:rPr>
                <w:sz w:val="13"/>
                <w:szCs w:val="13"/>
                <w:color w:val="auto"/>
              </w:rPr>
            </w:pPr>
          </w:p>
        </w:tc>
      </w:tr>
      <w:tr>
        <w:trPr>
          <w:trHeight w:val="157"/>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Pr>
          <w:p>
            <w:pPr>
              <w:spacing w:after="0"/>
              <w:rPr>
                <w:sz w:val="13"/>
                <w:szCs w:val="13"/>
                <w:color w:val="auto"/>
              </w:rPr>
            </w:pPr>
          </w:p>
        </w:tc>
        <w:tc>
          <w:tcPr>
            <w:tcW w:w="102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3"/>
                <w:szCs w:val="13"/>
                <w:color w:val="auto"/>
              </w:rPr>
            </w:pPr>
          </w:p>
        </w:tc>
      </w:tr>
      <w:tr>
        <w:trPr>
          <w:trHeight w:val="157"/>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Rate of compensation increase</w:t>
            </w:r>
          </w:p>
        </w:tc>
        <w:tc>
          <w:tcPr>
            <w:tcW w:w="70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N/A(a)</w:t>
            </w:r>
          </w:p>
        </w:tc>
        <w:tc>
          <w:tcPr>
            <w:tcW w:w="2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N/A(a)</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N/A(a)</w:t>
            </w:r>
          </w:p>
        </w:tc>
      </w:tr>
      <w:tr>
        <w:trPr>
          <w:trHeight w:val="98"/>
        </w:trPr>
        <w:tc>
          <w:tcPr>
            <w:tcW w:w="1300" w:type="dxa"/>
            <w:vAlign w:val="bottom"/>
            <w:tcBorders>
              <w:bottom w:val="single" w:sz="8" w:color="auto"/>
            </w:tcBorders>
          </w:tcPr>
          <w:p>
            <w:pPr>
              <w:spacing w:after="0"/>
              <w:rPr>
                <w:sz w:val="8"/>
                <w:szCs w:val="8"/>
                <w:color w:val="auto"/>
              </w:rPr>
            </w:pPr>
          </w:p>
        </w:tc>
        <w:tc>
          <w:tcPr>
            <w:tcW w:w="6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36" w:lineRule="exact"/>
        <w:rPr>
          <w:sz w:val="20"/>
          <w:szCs w:val="20"/>
          <w:color w:val="auto"/>
        </w:rPr>
      </w:pPr>
    </w:p>
    <w:p>
      <w:pPr>
        <w:ind w:left="1180" w:hanging="493"/>
        <w:spacing w:after="0"/>
        <w:tabs>
          <w:tab w:leader="none" w:pos="11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Rate of compensation increase is not applicable due to the pension being frozen at December 31, 2000.</w:t>
      </w:r>
    </w:p>
    <w:p>
      <w:pPr>
        <w:spacing w:after="0" w:line="96"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The discount rate used was determined by discounting projections of future benefit payments using annual spot rates from the Citigroup Pension Discount Curve. The discounted cash flows were then used to determine the effective discount rate.</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Pension Plan Assets</w:t>
      </w:r>
    </w:p>
    <w:p>
      <w:pPr>
        <w:spacing w:after="0" w:line="100"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The expected long term rate of return on plan assets was 8.5% in 2006 and 2005, derived using the plan’s asset mix, historical returns by asset category, expectations for future capital market performance, and the fund’s past experience. Both the plan’s investment policy and the expected long-term rate of return assumption are reviewed periodically. The Company’s strategy is to focus on a one to three-year investment horizon, maintaining equity</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8" w:name="page109"/>
    <w:bookmarkEnd w:id="108"/>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7" w:lineRule="exact"/>
        <w:rPr>
          <w:sz w:val="20"/>
          <w:szCs w:val="20"/>
          <w:color w:val="auto"/>
        </w:rPr>
      </w:pPr>
    </w:p>
    <w:p>
      <w:pPr>
        <w:ind w:left="680" w:right="20"/>
        <w:spacing w:after="0" w:line="286" w:lineRule="auto"/>
        <w:rPr>
          <w:sz w:val="20"/>
          <w:szCs w:val="20"/>
          <w:color w:val="auto"/>
        </w:rPr>
      </w:pPr>
      <w:r>
        <w:rPr>
          <w:rFonts w:ascii="Times New Roman" w:cs="Times New Roman" w:eastAsia="Times New Roman" w:hAnsi="Times New Roman"/>
          <w:sz w:val="13"/>
          <w:szCs w:val="13"/>
          <w:color w:val="auto"/>
        </w:rPr>
        <w:t>securities at 65% of total assets while maintaining an average duration in debt securities, extending that duration as interest rates rise and maintaining cash funds at appropriate levels relating to the current economic environment.</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Company’s pension plan asset allocation at December 31, 2006 and 2005 and target allocation for 2007 are as follows: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gridSpan w:val="4"/>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Percentage of</w:t>
            </w:r>
          </w:p>
        </w:tc>
        <w:tc>
          <w:tcPr>
            <w:tcW w:w="0" w:type="dxa"/>
            <w:vAlign w:val="bottom"/>
          </w:tcPr>
          <w:p>
            <w:pPr>
              <w:spacing w:after="0"/>
              <w:rPr>
                <w:sz w:val="1"/>
                <w:szCs w:val="1"/>
                <w:color w:val="auto"/>
              </w:rPr>
            </w:pPr>
          </w:p>
        </w:tc>
      </w:tr>
      <w:tr>
        <w:trPr>
          <w:trHeight w:val="127"/>
        </w:trPr>
        <w:tc>
          <w:tcPr>
            <w:tcW w:w="69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Asset Category</w:t>
            </w:r>
          </w:p>
        </w:tc>
        <w:tc>
          <w:tcPr>
            <w:tcW w:w="1080" w:type="dxa"/>
            <w:vAlign w:val="bottom"/>
          </w:tcPr>
          <w:p>
            <w:pPr>
              <w:jc w:val="center"/>
              <w:ind w:left="168"/>
              <w:spacing w:after="0"/>
              <w:rPr>
                <w:sz w:val="20"/>
                <w:szCs w:val="20"/>
                <w:color w:val="auto"/>
              </w:rPr>
            </w:pPr>
            <w:r>
              <w:rPr>
                <w:rFonts w:ascii="Times New Roman" w:cs="Times New Roman" w:eastAsia="Times New Roman" w:hAnsi="Times New Roman"/>
                <w:sz w:val="10"/>
                <w:szCs w:val="10"/>
                <w:b w:val="1"/>
                <w:bCs w:val="1"/>
                <w:color w:val="auto"/>
              </w:rPr>
              <w:t>Target Allocation</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Plan Assets</w:t>
            </w: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960" w:type="dxa"/>
            <w:vAlign w:val="bottom"/>
            <w:gridSpan w:val="2"/>
            <w:vMerge w:val="continue"/>
          </w:tcPr>
          <w:p>
            <w:pPr>
              <w:spacing w:after="0"/>
              <w:rPr>
                <w:sz w:val="9"/>
                <w:szCs w:val="9"/>
                <w:color w:val="auto"/>
              </w:rPr>
            </w:pPr>
          </w:p>
        </w:tc>
        <w:tc>
          <w:tcPr>
            <w:tcW w:w="1080" w:type="dxa"/>
            <w:vAlign w:val="bottom"/>
          </w:tcPr>
          <w:p>
            <w:pPr>
              <w:jc w:val="right"/>
              <w:ind w:right="268"/>
              <w:spacing w:after="0" w:line="108" w:lineRule="exact"/>
              <w:rPr>
                <w:sz w:val="20"/>
                <w:szCs w:val="20"/>
                <w:color w:val="auto"/>
              </w:rPr>
            </w:pPr>
            <w:r>
              <w:rPr>
                <w:rFonts w:ascii="Times New Roman" w:cs="Times New Roman" w:eastAsia="Times New Roman" w:hAnsi="Times New Roman"/>
                <w:sz w:val="10"/>
                <w:szCs w:val="10"/>
                <w:b w:val="1"/>
                <w:bCs w:val="1"/>
                <w:color w:val="auto"/>
              </w:rPr>
              <w:t>2007</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jc w:val="right"/>
              <w:ind w:right="39"/>
              <w:spacing w:after="0" w:line="108" w:lineRule="exact"/>
              <w:rPr>
                <w:sz w:val="20"/>
                <w:szCs w:val="20"/>
                <w:color w:val="auto"/>
              </w:rPr>
            </w:pPr>
            <w:r>
              <w:rPr>
                <w:rFonts w:ascii="Times New Roman" w:cs="Times New Roman" w:eastAsia="Times New Roman" w:hAnsi="Times New Roman"/>
                <w:sz w:val="10"/>
                <w:szCs w:val="10"/>
                <w:b w:val="1"/>
                <w:bCs w:val="1"/>
                <w:color w:val="auto"/>
              </w:rPr>
              <w:t>2006</w:t>
            </w:r>
          </w:p>
        </w:tc>
        <w:tc>
          <w:tcPr>
            <w:tcW w:w="480" w:type="dxa"/>
            <w:vAlign w:val="bottom"/>
          </w:tcPr>
          <w:p>
            <w:pPr>
              <w:spacing w:after="0"/>
              <w:rPr>
                <w:sz w:val="9"/>
                <w:szCs w:val="9"/>
                <w:color w:val="auto"/>
              </w:rPr>
            </w:pPr>
          </w:p>
        </w:tc>
        <w:tc>
          <w:tcPr>
            <w:tcW w:w="320" w:type="dxa"/>
            <w:vAlign w:val="bottom"/>
          </w:tcPr>
          <w:p>
            <w:pPr>
              <w:jc w:val="right"/>
              <w:ind w:right="17"/>
              <w:spacing w:after="0" w:line="108" w:lineRule="exact"/>
              <w:rPr>
                <w:sz w:val="20"/>
                <w:szCs w:val="20"/>
                <w:color w:val="auto"/>
              </w:rPr>
            </w:pPr>
            <w:r>
              <w:rPr>
                <w:rFonts w:ascii="Times New Roman" w:cs="Times New Roman" w:eastAsia="Times New Roman" w:hAnsi="Times New Roman"/>
                <w:sz w:val="10"/>
                <w:szCs w:val="10"/>
                <w:b w:val="1"/>
                <w:bCs w:val="1"/>
                <w:color w:val="auto"/>
              </w:rPr>
              <w:t>2005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688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securities</w:t>
            </w:r>
          </w:p>
        </w:tc>
        <w:tc>
          <w:tcPr>
            <w:tcW w:w="10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65%</w:t>
            </w:r>
          </w:p>
        </w:tc>
        <w:tc>
          <w:tcPr>
            <w:tcW w:w="8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73.2%</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0" w:type="dxa"/>
            <w:vAlign w:val="bottom"/>
          </w:tcPr>
          <w:p>
            <w:pPr>
              <w:spacing w:after="0"/>
              <w:rPr>
                <w:sz w:val="1"/>
                <w:szCs w:val="1"/>
                <w:color w:val="auto"/>
              </w:rPr>
            </w:pPr>
          </w:p>
        </w:tc>
      </w:tr>
      <w:tr>
        <w:trPr>
          <w:trHeight w:val="157"/>
        </w:trPr>
        <w:tc>
          <w:tcPr>
            <w:tcW w:w="6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Debt securities</w:t>
            </w:r>
          </w:p>
        </w:tc>
        <w:tc>
          <w:tcPr>
            <w:tcW w:w="10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35</w:t>
            </w: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17.6</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18.3</w:t>
            </w:r>
          </w:p>
        </w:tc>
        <w:tc>
          <w:tcPr>
            <w:tcW w:w="0" w:type="dxa"/>
            <w:vAlign w:val="bottom"/>
          </w:tcPr>
          <w:p>
            <w:pPr>
              <w:spacing w:after="0"/>
              <w:rPr>
                <w:sz w:val="1"/>
                <w:szCs w:val="1"/>
                <w:color w:val="auto"/>
              </w:rPr>
            </w:pPr>
          </w:p>
        </w:tc>
      </w:tr>
      <w:tr>
        <w:trPr>
          <w:trHeight w:val="157"/>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Insurance annuities</w:t>
            </w:r>
          </w:p>
        </w:tc>
        <w:tc>
          <w:tcPr>
            <w:tcW w:w="10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6.3</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57"/>
        </w:trPr>
        <w:tc>
          <w:tcPr>
            <w:tcW w:w="6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(Cash)</w:t>
            </w:r>
          </w:p>
        </w:tc>
        <w:tc>
          <w:tcPr>
            <w:tcW w:w="10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1-3%</w:t>
            </w: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2.9</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6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Total</w:t>
            </w: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100.0%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Company does not hold any investments in its own equity securities within its pension plan assets.</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Pension Plan Cash Flows</w:t>
      </w:r>
    </w:p>
    <w:p>
      <w:pPr>
        <w:spacing w:after="0" w:line="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Plan Contributions</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Company’s funding policy is to contribute annually at least the minimum required contribution under the Employee Retirement Income Security Act (ERISA). Contributions are</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intended to provide not only for benefits accrued to date, but also for those expected to be earned in the future. In 2006 and 2005, the Company made contributions of $12.1 million and</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$24.3 million, respectively. The Company is not required to make a contribution to the pension plan in 2007. The Company intends to contribute amounts sufficient to avoid payment of the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PBGC variable premium in 2007.</w:t>
      </w:r>
    </w:p>
    <w:p>
      <w:pPr>
        <w:spacing w:after="0" w:line="157" w:lineRule="exact"/>
        <w:rPr>
          <w:sz w:val="20"/>
          <w:szCs w:val="20"/>
          <w:color w:val="auto"/>
        </w:rPr>
      </w:pPr>
    </w:p>
    <w:tbl>
      <w:tblPr>
        <w:tblLayout w:type="fixed"/>
        <w:tblInd w:w="680" w:type="dxa"/>
        <w:tblCellMar>
          <w:top w:w="0" w:type="dxa"/>
          <w:left w:w="0" w:type="dxa"/>
          <w:bottom w:w="0" w:type="dxa"/>
          <w:right w:w="0" w:type="dxa"/>
        </w:tblCellMar>
      </w:tblPr>
      <w:tr>
        <w:trPr>
          <w:trHeight w:val="175"/>
        </w:trPr>
        <w:tc>
          <w:tcPr>
            <w:tcW w:w="6880" w:type="dxa"/>
            <w:vAlign w:val="bottom"/>
          </w:tcPr>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Plan Benefit Payments</w:t>
            </w:r>
          </w:p>
        </w:tc>
        <w:tc>
          <w:tcPr>
            <w:tcW w:w="25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46"/>
        </w:trPr>
        <w:tc>
          <w:tcPr>
            <w:tcW w:w="6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 detail of actual and expected benefit payments is as follows (in thousands):</w:t>
            </w:r>
          </w:p>
        </w:tc>
        <w:tc>
          <w:tcPr>
            <w:tcW w:w="25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98"/>
        </w:trPr>
        <w:tc>
          <w:tcPr>
            <w:tcW w:w="68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5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Actual Benefit Payments</w:t>
            </w:r>
          </w:p>
        </w:tc>
        <w:tc>
          <w:tcPr>
            <w:tcW w:w="25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57"/>
        </w:trPr>
        <w:tc>
          <w:tcPr>
            <w:tcW w:w="6880" w:type="dxa"/>
            <w:vAlign w:val="bottom"/>
          </w:tcPr>
          <w:p>
            <w:pPr>
              <w:spacing w:after="0"/>
              <w:rPr>
                <w:sz w:val="20"/>
                <w:szCs w:val="20"/>
                <w:color w:val="auto"/>
              </w:rPr>
            </w:pPr>
            <w:r>
              <w:rPr>
                <w:rFonts w:ascii="Times New Roman" w:cs="Times New Roman" w:eastAsia="Times New Roman" w:hAnsi="Times New Roman"/>
                <w:sz w:val="13"/>
                <w:szCs w:val="13"/>
                <w:color w:val="auto"/>
              </w:rPr>
              <w:t>2005</w:t>
            </w:r>
          </w:p>
        </w:tc>
        <w:tc>
          <w:tcPr>
            <w:tcW w:w="25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7,409</w:t>
            </w:r>
          </w:p>
        </w:tc>
      </w:tr>
      <w:tr>
        <w:trPr>
          <w:trHeight w:val="15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2006</w:t>
            </w:r>
          </w:p>
        </w:tc>
        <w:tc>
          <w:tcPr>
            <w:tcW w:w="25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11,283</w:t>
            </w:r>
          </w:p>
        </w:tc>
      </w:tr>
      <w:tr>
        <w:trPr>
          <w:trHeight w:val="157"/>
        </w:trPr>
        <w:tc>
          <w:tcPr>
            <w:tcW w:w="6880" w:type="dxa"/>
            <w:vAlign w:val="bottom"/>
          </w:tcPr>
          <w:p>
            <w:pPr>
              <w:spacing w:after="0"/>
              <w:rPr>
                <w:sz w:val="20"/>
                <w:szCs w:val="20"/>
                <w:color w:val="auto"/>
              </w:rPr>
            </w:pPr>
            <w:r>
              <w:rPr>
                <w:rFonts w:ascii="Times New Roman" w:cs="Times New Roman" w:eastAsia="Times New Roman" w:hAnsi="Times New Roman"/>
                <w:sz w:val="13"/>
                <w:szCs w:val="13"/>
                <w:color w:val="auto"/>
              </w:rPr>
              <w:t>Expected Future Payments</w:t>
            </w:r>
          </w:p>
        </w:tc>
        <w:tc>
          <w:tcPr>
            <w:tcW w:w="25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2007</w:t>
            </w:r>
          </w:p>
        </w:tc>
        <w:tc>
          <w:tcPr>
            <w:tcW w:w="2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10,789</w:t>
            </w:r>
          </w:p>
        </w:tc>
      </w:tr>
      <w:tr>
        <w:trPr>
          <w:trHeight w:val="157"/>
        </w:trPr>
        <w:tc>
          <w:tcPr>
            <w:tcW w:w="6880" w:type="dxa"/>
            <w:vAlign w:val="bottom"/>
          </w:tcPr>
          <w:p>
            <w:pPr>
              <w:spacing w:after="0"/>
              <w:rPr>
                <w:sz w:val="20"/>
                <w:szCs w:val="20"/>
                <w:color w:val="auto"/>
              </w:rPr>
            </w:pPr>
            <w:r>
              <w:rPr>
                <w:rFonts w:ascii="Times New Roman" w:cs="Times New Roman" w:eastAsia="Times New Roman" w:hAnsi="Times New Roman"/>
                <w:sz w:val="13"/>
                <w:szCs w:val="13"/>
                <w:color w:val="auto"/>
              </w:rPr>
              <w:t>2008</w:t>
            </w:r>
          </w:p>
        </w:tc>
        <w:tc>
          <w:tcPr>
            <w:tcW w:w="2560" w:type="dxa"/>
            <w:vAlign w:val="bottom"/>
          </w:tcPr>
          <w:p>
            <w:pPr>
              <w:spacing w:after="0"/>
              <w:rPr>
                <w:sz w:val="13"/>
                <w:szCs w:val="13"/>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14,640</w:t>
            </w:r>
          </w:p>
        </w:tc>
      </w:tr>
      <w:tr>
        <w:trPr>
          <w:trHeight w:val="15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2009</w:t>
            </w:r>
          </w:p>
        </w:tc>
        <w:tc>
          <w:tcPr>
            <w:tcW w:w="25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11,808</w:t>
            </w:r>
          </w:p>
        </w:tc>
      </w:tr>
      <w:tr>
        <w:trPr>
          <w:trHeight w:val="157"/>
        </w:trPr>
        <w:tc>
          <w:tcPr>
            <w:tcW w:w="6880" w:type="dxa"/>
            <w:vAlign w:val="bottom"/>
          </w:tcPr>
          <w:p>
            <w:pPr>
              <w:spacing w:after="0"/>
              <w:rPr>
                <w:sz w:val="20"/>
                <w:szCs w:val="20"/>
                <w:color w:val="auto"/>
              </w:rPr>
            </w:pPr>
            <w:r>
              <w:rPr>
                <w:rFonts w:ascii="Times New Roman" w:cs="Times New Roman" w:eastAsia="Times New Roman" w:hAnsi="Times New Roman"/>
                <w:sz w:val="13"/>
                <w:szCs w:val="13"/>
                <w:color w:val="auto"/>
              </w:rPr>
              <w:t>2010</w:t>
            </w:r>
          </w:p>
        </w:tc>
        <w:tc>
          <w:tcPr>
            <w:tcW w:w="2560" w:type="dxa"/>
            <w:vAlign w:val="bottom"/>
          </w:tcPr>
          <w:p>
            <w:pPr>
              <w:spacing w:after="0"/>
              <w:rPr>
                <w:sz w:val="13"/>
                <w:szCs w:val="13"/>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12,977</w:t>
            </w:r>
          </w:p>
        </w:tc>
      </w:tr>
      <w:tr>
        <w:trPr>
          <w:trHeight w:val="15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2011</w:t>
            </w:r>
          </w:p>
        </w:tc>
        <w:tc>
          <w:tcPr>
            <w:tcW w:w="25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13,752</w:t>
            </w:r>
          </w:p>
        </w:tc>
      </w:tr>
      <w:tr>
        <w:trPr>
          <w:trHeight w:val="171"/>
        </w:trPr>
        <w:tc>
          <w:tcPr>
            <w:tcW w:w="6880" w:type="dxa"/>
            <w:vAlign w:val="bottom"/>
          </w:tcPr>
          <w:p>
            <w:pPr>
              <w:spacing w:after="0"/>
              <w:rPr>
                <w:sz w:val="20"/>
                <w:szCs w:val="20"/>
                <w:color w:val="auto"/>
              </w:rPr>
            </w:pPr>
            <w:r>
              <w:rPr>
                <w:rFonts w:ascii="Times New Roman" w:cs="Times New Roman" w:eastAsia="Times New Roman" w:hAnsi="Times New Roman"/>
                <w:sz w:val="13"/>
                <w:szCs w:val="13"/>
                <w:color w:val="auto"/>
              </w:rPr>
              <w:t>2012-2016</w:t>
            </w:r>
          </w:p>
        </w:tc>
        <w:tc>
          <w:tcPr>
            <w:tcW w:w="2560" w:type="dxa"/>
            <w:vAlign w:val="bottom"/>
          </w:tcPr>
          <w:p>
            <w:pPr>
              <w:spacing w:after="0"/>
              <w:rPr>
                <w:sz w:val="14"/>
                <w:szCs w:val="14"/>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71,272</w:t>
            </w:r>
          </w:p>
        </w:tc>
      </w:tr>
    </w:tbl>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Postretirement Plans</w:t>
      </w:r>
    </w:p>
    <w:p>
      <w:pPr>
        <w:spacing w:after="0" w:line="100" w:lineRule="exact"/>
        <w:rPr>
          <w:sz w:val="20"/>
          <w:szCs w:val="20"/>
          <w:color w:val="auto"/>
        </w:rPr>
      </w:pPr>
    </w:p>
    <w:p>
      <w:pPr>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The Company assumed certain health care and life insurance benefits for retired Chicago Title employees in connection with the Chicago Title merger. Beginning on January 1, 2001, these benefits were offered to all employees who meet specific eligibility requirements. The costs of these benefit plans are accrued during the periods the employees render service.</w:t>
      </w:r>
    </w:p>
    <w:p>
      <w:pPr>
        <w:spacing w:after="0" w:line="47" w:lineRule="exact"/>
        <w:rPr>
          <w:sz w:val="20"/>
          <w:szCs w:val="20"/>
          <w:color w:val="auto"/>
        </w:rPr>
      </w:pPr>
    </w:p>
    <w:p>
      <w:pPr>
        <w:ind w:left="680" w:right="120" w:firstLine="399"/>
        <w:spacing w:after="0" w:line="286" w:lineRule="auto"/>
        <w:rPr>
          <w:sz w:val="20"/>
          <w:szCs w:val="20"/>
          <w:color w:val="auto"/>
        </w:rPr>
      </w:pPr>
      <w:r>
        <w:rPr>
          <w:rFonts w:ascii="Times New Roman" w:cs="Times New Roman" w:eastAsia="Times New Roman" w:hAnsi="Times New Roman"/>
          <w:sz w:val="13"/>
          <w:szCs w:val="13"/>
          <w:color w:val="auto"/>
        </w:rPr>
        <w:t>The Company is both self-insured and fully insured for its postretirement health care and life insurance benefit plans, and the plans are not funded. The health care plans provide for insurance benefits after retirement and are</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9" w:name="page110"/>
    <w:bookmarkEnd w:id="109"/>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7" w:lineRule="exact"/>
        <w:rPr>
          <w:sz w:val="20"/>
          <w:szCs w:val="20"/>
          <w:color w:val="auto"/>
        </w:rPr>
      </w:pPr>
    </w:p>
    <w:p>
      <w:pPr>
        <w:ind w:left="680" w:right="180"/>
        <w:spacing w:after="0" w:line="286" w:lineRule="auto"/>
        <w:rPr>
          <w:sz w:val="20"/>
          <w:szCs w:val="20"/>
          <w:color w:val="auto"/>
        </w:rPr>
      </w:pPr>
      <w:r>
        <w:rPr>
          <w:rFonts w:ascii="Times New Roman" w:cs="Times New Roman" w:eastAsia="Times New Roman" w:hAnsi="Times New Roman"/>
          <w:sz w:val="13"/>
          <w:szCs w:val="13"/>
          <w:color w:val="auto"/>
        </w:rPr>
        <w:t>generally contributory, with contributions adjusted annually. Postretirement life insurance benefits are primarily contributory, with coverage amounts declining with increases in a retiree’s age.</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accrued cost of the accumulated postretirement benefit obligation included in the Company’s Consolidated Balance Sheets at December 31, 2006, 2005 and 2004 is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0"/>
                <w:szCs w:val="10"/>
                <w:b w:val="1"/>
                <w:bCs w:val="1"/>
                <w:color w:val="auto"/>
              </w:rPr>
              <w:t>2006</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11"/>
                <w:szCs w:val="11"/>
                <w:color w:val="auto"/>
              </w:rPr>
            </w:pPr>
          </w:p>
        </w:tc>
      </w:tr>
      <w:tr>
        <w:trPr>
          <w:trHeight w:val="133"/>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Benefit Obligation:</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benefit obligation at beginning of year</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18,235</w:t>
            </w:r>
          </w:p>
        </w:tc>
        <w:tc>
          <w:tcPr>
            <w:tcW w:w="400" w:type="dxa"/>
            <w:vAlign w:val="bottom"/>
            <w:gridSpan w:val="2"/>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21,440</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22,684</w:t>
            </w:r>
          </w:p>
        </w:tc>
      </w:tr>
      <w:tr>
        <w:trPr>
          <w:trHeight w:val="157"/>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Service cost</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43</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161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205</w:t>
            </w: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cost</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1,099</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1,005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1,281</w:t>
            </w:r>
          </w:p>
        </w:tc>
      </w:tr>
      <w:tr>
        <w:trPr>
          <w:trHeight w:val="157"/>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Plan participants’ contributions</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1,631</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1,662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1,513</w:t>
            </w: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Plan amendments</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(2,420)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(782)</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Actuarial (gain) loss</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4,185</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(1,429)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(348)</w:t>
            </w: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Gross benefits paid</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(2,861)</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(3,822)</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(3,895)</w:t>
            </w: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benefit obligation at end of year</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19,912</w:t>
            </w:r>
          </w:p>
        </w:tc>
        <w:tc>
          <w:tcPr>
            <w:tcW w:w="1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18,235</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21,440</w:t>
            </w:r>
          </w:p>
        </w:tc>
      </w:tr>
      <w:tr>
        <w:trPr>
          <w:trHeight w:val="167"/>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Change in Plan Assets:</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Fair value of plan assets at beginning of year</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Employer contributions</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1,230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2,160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2,382</w:t>
            </w:r>
          </w:p>
        </w:tc>
      </w:tr>
      <w:tr>
        <w:trPr>
          <w:trHeight w:val="157"/>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Plan participants’ contributions</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1,631</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1,662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1,513</w:t>
            </w: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Gross benefits paid</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(2,861)</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(3,822)</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(3,895)</w:t>
            </w: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Fair value of plan assets at end of year</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Funded status at end of year</w:t>
            </w:r>
          </w:p>
        </w:tc>
        <w:tc>
          <w:tcPr>
            <w:tcW w:w="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(19,912)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(18,235)</w:t>
            </w:r>
          </w:p>
        </w:tc>
        <w:tc>
          <w:tcPr>
            <w:tcW w:w="400" w:type="dxa"/>
            <w:vAlign w:val="bottom"/>
          </w:tcPr>
          <w:p>
            <w:pPr>
              <w:spacing w:after="0"/>
              <w:rPr>
                <w:sz w:val="14"/>
                <w:szCs w:val="14"/>
                <w:color w:val="auto"/>
              </w:rPr>
            </w:pPr>
          </w:p>
        </w:tc>
        <w:tc>
          <w:tcPr>
            <w:tcW w:w="16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(21,440)</w:t>
            </w:r>
          </w:p>
        </w:tc>
        <w:tc>
          <w:tcPr>
            <w:tcW w:w="100" w:type="dxa"/>
            <w:vAlign w:val="bottom"/>
          </w:tcPr>
          <w:p>
            <w:pPr>
              <w:spacing w:after="0"/>
              <w:rPr>
                <w:sz w:val="14"/>
                <w:szCs w:val="14"/>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Unrecognized net actuarial loss</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N/A</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3,105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4,533</w:t>
            </w: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Unrecognized prior service cost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(856)</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(1,610)</w:t>
            </w: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accrued cost of accumulated postretirement benefit obligation included in accounts payable and accrued liabilities</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(19,912)</w:t>
            </w:r>
          </w:p>
        </w:tc>
        <w:tc>
          <w:tcPr>
            <w:tcW w:w="40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(15,986)</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(18,517)</w:t>
            </w:r>
          </w:p>
        </w:tc>
      </w:tr>
      <w:tr>
        <w:trPr>
          <w:trHeight w:val="29"/>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Under SFAS No. 106, “Accounting for Postretirement Benefits Other Than Pensions,” the measurement date shall be as of the date of the financial statements, or if used consistently from year to year, as of a date not more than three months prior to that date. The Company’s measurement date is December 31. Under SFAS 158, companies must now use the date of the financial statements.</w:t>
      </w:r>
    </w:p>
    <w:p>
      <w:pPr>
        <w:spacing w:after="0" w:line="58" w:lineRule="exact"/>
        <w:rPr>
          <w:sz w:val="20"/>
          <w:szCs w:val="20"/>
          <w:color w:val="auto"/>
        </w:rPr>
      </w:pPr>
    </w:p>
    <w:p>
      <w:pPr>
        <w:ind w:left="680" w:right="320" w:firstLine="399"/>
        <w:spacing w:after="0" w:line="286" w:lineRule="auto"/>
        <w:rPr>
          <w:sz w:val="20"/>
          <w:szCs w:val="20"/>
          <w:color w:val="auto"/>
        </w:rPr>
      </w:pPr>
      <w:r>
        <w:rPr>
          <w:rFonts w:ascii="Times New Roman" w:cs="Times New Roman" w:eastAsia="Times New Roman" w:hAnsi="Times New Roman"/>
          <w:sz w:val="13"/>
          <w:szCs w:val="13"/>
          <w:color w:val="auto"/>
        </w:rPr>
        <w:t>Pursuant to the required implementation of SFAS 158 for this fiscal year end, the liability recorded on the Company’s balance sheet at December 31, 2006 is equal to the funded status. Adoption SFAS 158 resulted in a $5.8 million increase accounts payable and accrued liabilities and $3.6 million in other accumulated comprehensive loss.</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10" w:name="page111"/>
    <w:bookmarkEnd w:id="110"/>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7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Company’s postretirement health care and life insurance costs included in the results of operations for 2006, 2005 and 2004 are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rPr>
              <w:t>2006</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11"/>
                <w:szCs w:val="11"/>
                <w:color w:val="auto"/>
              </w:rPr>
            </w:pPr>
          </w:p>
        </w:tc>
      </w:tr>
      <w:tr>
        <w:trPr>
          <w:trHeight w:val="133"/>
        </w:trPr>
        <w:tc>
          <w:tcPr>
            <w:tcW w:w="7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 cost</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43</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161</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205</w:t>
            </w:r>
          </w:p>
        </w:tc>
      </w:tr>
      <w:tr>
        <w:trPr>
          <w:trHeight w:val="157"/>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Interest cost</w:t>
            </w:r>
          </w:p>
        </w:tc>
        <w:tc>
          <w:tcPr>
            <w:tcW w:w="14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1,099</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1,005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1,281</w:t>
            </w:r>
          </w:p>
        </w:tc>
      </w:tr>
      <w:tr>
        <w:trPr>
          <w:trHeight w:val="15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prior service cost</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(3,225)</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(1,535)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(2,704)</w:t>
            </w:r>
          </w:p>
        </w:tc>
      </w:tr>
      <w:tr>
        <w:trPr>
          <w:trHeight w:val="157"/>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actuarial loss</w:t>
            </w:r>
          </w:p>
        </w:tc>
        <w:tc>
          <w:tcPr>
            <w:tcW w:w="14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1,487</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330</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net periodic income</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(596)</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(369)</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(888)</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The components of amounts recognized in other comprehensive income, showing separately the net transition asset or obligation, the net gain or loss and the net prior service cost or credit, are as shown below, on both a before tax and net of tax basis.</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8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101"/>
              <w:spacing w:after="0"/>
              <w:rPr>
                <w:sz w:val="20"/>
                <w:szCs w:val="20"/>
                <w:color w:val="auto"/>
              </w:rPr>
            </w:pPr>
            <w:r>
              <w:rPr>
                <w:rFonts w:ascii="Times New Roman" w:cs="Times New Roman" w:eastAsia="Times New Roman" w:hAnsi="Times New Roman"/>
                <w:sz w:val="10"/>
                <w:szCs w:val="10"/>
                <w:b w:val="1"/>
                <w:bCs w:val="1"/>
                <w:color w:val="auto"/>
              </w:rPr>
              <w:t>Before Tax</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Net of Tax</w:t>
            </w:r>
          </w:p>
        </w:tc>
        <w:tc>
          <w:tcPr>
            <w:tcW w:w="100" w:type="dxa"/>
            <w:vAlign w:val="bottom"/>
          </w:tcPr>
          <w:p>
            <w:pPr>
              <w:spacing w:after="0"/>
              <w:rPr>
                <w:sz w:val="11"/>
                <w:szCs w:val="11"/>
                <w:color w:val="auto"/>
              </w:rPr>
            </w:pPr>
          </w:p>
        </w:tc>
      </w:tr>
      <w:tr>
        <w:trPr>
          <w:trHeight w:val="133"/>
        </w:trPr>
        <w:tc>
          <w:tcPr>
            <w:tcW w:w="7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8"/>
          </w:tcPr>
          <w:p>
            <w:pPr>
              <w:jc w:val="right"/>
              <w:ind w:right="640"/>
              <w:spacing w:after="0"/>
              <w:rPr>
                <w:sz w:val="20"/>
                <w:szCs w:val="20"/>
                <w:color w:val="auto"/>
              </w:rPr>
            </w:pPr>
            <w:r>
              <w:rPr>
                <w:rFonts w:ascii="Times New Roman" w:cs="Times New Roman" w:eastAsia="Times New Roman" w:hAnsi="Times New Roman"/>
                <w:sz w:val="10"/>
                <w:szCs w:val="10"/>
                <w:b w:val="1"/>
                <w:bCs w:val="1"/>
                <w:color w:val="auto"/>
              </w:rPr>
              <w:t>(Dollars in thousands)</w:t>
            </w:r>
          </w:p>
        </w:tc>
      </w:tr>
      <w:tr>
        <w:trPr>
          <w:trHeight w:val="161"/>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other comprehensive income at December 31</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5,751</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3,652</w:t>
            </w:r>
          </w:p>
        </w:tc>
      </w:tr>
      <w:tr>
        <w:trPr>
          <w:trHeight w:val="157"/>
        </w:trPr>
        <w:tc>
          <w:tcPr>
            <w:tcW w:w="7800" w:type="dxa"/>
            <w:vAlign w:val="bottom"/>
          </w:tcPr>
          <w:p>
            <w:pPr>
              <w:spacing w:after="0"/>
              <w:rPr>
                <w:sz w:val="20"/>
                <w:szCs w:val="20"/>
                <w:color w:val="auto"/>
              </w:rPr>
            </w:pPr>
            <w:r>
              <w:rPr>
                <w:rFonts w:ascii="Times New Roman" w:cs="Times New Roman" w:eastAsia="Times New Roman" w:hAnsi="Times New Roman"/>
                <w:sz w:val="13"/>
                <w:szCs w:val="13"/>
                <w:color w:val="auto"/>
              </w:rPr>
              <w:t>Adjustment to apply SFAS 158</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5,751</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3,652</w:t>
            </w:r>
          </w:p>
        </w:tc>
      </w:tr>
      <w:tr>
        <w:trPr>
          <w:trHeight w:val="157"/>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Amounts expected to be recognized in the following year:</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transition obligation/asset</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prior service cost/credit</w:t>
            </w:r>
          </w:p>
        </w:tc>
        <w:tc>
          <w:tcPr>
            <w:tcW w:w="1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(52)</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(33)</w:t>
            </w:r>
          </w:p>
        </w:tc>
      </w:tr>
      <w:tr>
        <w:trPr>
          <w:trHeight w:val="157"/>
        </w:trPr>
        <w:tc>
          <w:tcPr>
            <w:tcW w:w="7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loss/gain</w:t>
            </w:r>
          </w:p>
        </w:tc>
        <w:tc>
          <w:tcPr>
            <w:tcW w:w="140" w:type="dxa"/>
            <w:vAlign w:val="bottom"/>
          </w:tcPr>
          <w:p>
            <w:pPr>
              <w:spacing w:after="0"/>
              <w:rPr>
                <w:sz w:val="13"/>
                <w:szCs w:val="13"/>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1,262</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801</w:t>
            </w:r>
          </w:p>
        </w:tc>
      </w:tr>
      <w:tr>
        <w:trPr>
          <w:trHeight w:val="157"/>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1,210</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768</w:t>
            </w:r>
          </w:p>
        </w:tc>
      </w:tr>
      <w:tr>
        <w:trPr>
          <w:trHeight w:val="325"/>
        </w:trPr>
        <w:tc>
          <w:tcPr>
            <w:tcW w:w="78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Postretirement Benefit Assumptions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7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Weighted-average assumptions used to determine benefit obligations at December 31 are as follows:</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6"/>
        </w:trPr>
        <w:tc>
          <w:tcPr>
            <w:tcW w:w="7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2006</w:t>
            </w:r>
          </w:p>
        </w:tc>
        <w:tc>
          <w:tcPr>
            <w:tcW w:w="140" w:type="dxa"/>
            <w:vAlign w:val="bottom"/>
          </w:tcPr>
          <w:p>
            <w:pPr>
              <w:spacing w:after="0"/>
              <w:rPr>
                <w:sz w:val="17"/>
                <w:szCs w:val="17"/>
                <w:color w:val="auto"/>
              </w:rPr>
            </w:pPr>
          </w:p>
        </w:tc>
        <w:tc>
          <w:tcPr>
            <w:tcW w:w="640" w:type="dxa"/>
            <w:vAlign w:val="bottom"/>
            <w:gridSpan w:val="2"/>
          </w:tcPr>
          <w:p>
            <w:pPr>
              <w:jc w:val="right"/>
              <w:ind w:right="14"/>
              <w:spacing w:after="0"/>
              <w:rPr>
                <w:sz w:val="20"/>
                <w:szCs w:val="20"/>
                <w:color w:val="auto"/>
              </w:rPr>
            </w:pPr>
            <w:r>
              <w:rPr>
                <w:rFonts w:ascii="Times New Roman" w:cs="Times New Roman" w:eastAsia="Times New Roman" w:hAnsi="Times New Roman"/>
                <w:sz w:val="10"/>
                <w:szCs w:val="10"/>
                <w:b w:val="1"/>
                <w:bCs w:val="1"/>
                <w:color w:val="auto"/>
              </w:rPr>
              <w:t>2005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
        </w:trPr>
        <w:tc>
          <w:tcPr>
            <w:tcW w:w="7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Discount rate</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5.75%</w:t>
            </w: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w:t>
            </w:r>
          </w:p>
        </w:tc>
      </w:tr>
      <w:tr>
        <w:trPr>
          <w:trHeight w:val="157"/>
        </w:trPr>
        <w:tc>
          <w:tcPr>
            <w:tcW w:w="7800" w:type="dxa"/>
            <w:vAlign w:val="bottom"/>
          </w:tcPr>
          <w:p>
            <w:pPr>
              <w:spacing w:after="0"/>
              <w:rPr>
                <w:sz w:val="20"/>
                <w:szCs w:val="20"/>
                <w:color w:val="auto"/>
              </w:rPr>
            </w:pPr>
            <w:r>
              <w:rPr>
                <w:rFonts w:ascii="Times New Roman" w:cs="Times New Roman" w:eastAsia="Times New Roman" w:hAnsi="Times New Roman"/>
                <w:sz w:val="13"/>
                <w:szCs w:val="13"/>
                <w:color w:val="auto"/>
              </w:rPr>
              <w:t>Health care cost trend rate assumed for next year</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57"/>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Rate that the cost trend rate gradually declines to</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w:t>
            </w: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1"/>
        </w:trPr>
        <w:tc>
          <w:tcPr>
            <w:tcW w:w="7800" w:type="dxa"/>
            <w:vAlign w:val="bottom"/>
          </w:tcPr>
          <w:p>
            <w:pPr>
              <w:spacing w:after="0"/>
              <w:rPr>
                <w:sz w:val="20"/>
                <w:szCs w:val="20"/>
                <w:color w:val="auto"/>
              </w:rPr>
            </w:pPr>
            <w:r>
              <w:rPr>
                <w:rFonts w:ascii="Times New Roman" w:cs="Times New Roman" w:eastAsia="Times New Roman" w:hAnsi="Times New Roman"/>
                <w:sz w:val="13"/>
                <w:szCs w:val="13"/>
                <w:color w:val="auto"/>
              </w:rPr>
              <w:t>Year that the rate reaches the rate it is assumed to remain at</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2012</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2012</w:t>
            </w:r>
          </w:p>
        </w:tc>
        <w:tc>
          <w:tcPr>
            <w:tcW w:w="100" w:type="dxa"/>
            <w:vAlign w:val="bottom"/>
          </w:tcPr>
          <w:p>
            <w:pPr>
              <w:spacing w:after="0"/>
              <w:rPr>
                <w:sz w:val="14"/>
                <w:szCs w:val="14"/>
                <w:color w:val="auto"/>
              </w:rPr>
            </w:pPr>
          </w:p>
        </w:tc>
      </w:tr>
      <w:tr>
        <w:trPr>
          <w:trHeight w:val="233"/>
        </w:trPr>
        <w:tc>
          <w:tcPr>
            <w:tcW w:w="7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Weighted-average assumptions used to determine net expense for years ended December 31, are as follows:</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6"/>
        </w:trPr>
        <w:tc>
          <w:tcPr>
            <w:tcW w:w="7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jc w:val="right"/>
              <w:ind w:right="17"/>
              <w:spacing w:after="0"/>
              <w:rPr>
                <w:sz w:val="20"/>
                <w:szCs w:val="20"/>
                <w:color w:val="auto"/>
              </w:rPr>
            </w:pPr>
            <w:r>
              <w:rPr>
                <w:rFonts w:ascii="Times New Roman" w:cs="Times New Roman" w:eastAsia="Times New Roman" w:hAnsi="Times New Roman"/>
                <w:sz w:val="10"/>
                <w:szCs w:val="10"/>
                <w:b w:val="1"/>
                <w:bCs w:val="1"/>
                <w:color w:val="auto"/>
              </w:rPr>
              <w:t>2006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2005</w:t>
            </w:r>
          </w:p>
        </w:tc>
        <w:tc>
          <w:tcPr>
            <w:tcW w:w="140" w:type="dxa"/>
            <w:vAlign w:val="bottom"/>
          </w:tcPr>
          <w:p>
            <w:pPr>
              <w:spacing w:after="0"/>
              <w:rPr>
                <w:sz w:val="17"/>
                <w:szCs w:val="17"/>
                <w:color w:val="auto"/>
              </w:rPr>
            </w:pPr>
          </w:p>
        </w:tc>
        <w:tc>
          <w:tcPr>
            <w:tcW w:w="640" w:type="dxa"/>
            <w:vAlign w:val="bottom"/>
            <w:gridSpan w:val="2"/>
          </w:tcPr>
          <w:p>
            <w:pPr>
              <w:jc w:val="right"/>
              <w:ind w:right="14"/>
              <w:spacing w:after="0"/>
              <w:rPr>
                <w:sz w:val="20"/>
                <w:szCs w:val="20"/>
                <w:color w:val="auto"/>
              </w:rPr>
            </w:pPr>
            <w:r>
              <w:rPr>
                <w:rFonts w:ascii="Times New Roman" w:cs="Times New Roman" w:eastAsia="Times New Roman" w:hAnsi="Times New Roman"/>
                <w:sz w:val="10"/>
                <w:szCs w:val="10"/>
                <w:b w:val="1"/>
                <w:bCs w:val="1"/>
                <w:color w:val="auto"/>
              </w:rPr>
              <w:t>2004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
        </w:trPr>
        <w:tc>
          <w:tcPr>
            <w:tcW w:w="7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Discount rate</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3"/>
                <w:szCs w:val="13"/>
                <w:color w:val="auto"/>
              </w:rPr>
              <w:t>5.50%</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5.75%</w:t>
            </w: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w:t>
            </w:r>
          </w:p>
        </w:tc>
      </w:tr>
      <w:tr>
        <w:trPr>
          <w:trHeight w:val="157"/>
        </w:trPr>
        <w:tc>
          <w:tcPr>
            <w:tcW w:w="7800" w:type="dxa"/>
            <w:vAlign w:val="bottom"/>
          </w:tcPr>
          <w:p>
            <w:pPr>
              <w:spacing w:after="0"/>
              <w:rPr>
                <w:sz w:val="20"/>
                <w:szCs w:val="20"/>
                <w:color w:val="auto"/>
              </w:rPr>
            </w:pPr>
            <w:r>
              <w:rPr>
                <w:rFonts w:ascii="Times New Roman" w:cs="Times New Roman" w:eastAsia="Times New Roman" w:hAnsi="Times New Roman"/>
                <w:sz w:val="13"/>
                <w:szCs w:val="13"/>
                <w:color w:val="auto"/>
              </w:rPr>
              <w:t>Health care cost trend rate assumed for next year</w:t>
            </w:r>
          </w:p>
        </w:tc>
        <w:tc>
          <w:tcPr>
            <w:tcW w:w="140" w:type="dxa"/>
            <w:vAlign w:val="bottom"/>
          </w:tcPr>
          <w:p>
            <w:pPr>
              <w:spacing w:after="0"/>
              <w:rPr>
                <w:sz w:val="13"/>
                <w:szCs w:val="13"/>
                <w:color w:val="auto"/>
              </w:rPr>
            </w:pPr>
          </w:p>
        </w:tc>
        <w:tc>
          <w:tcPr>
            <w:tcW w:w="660" w:type="dxa"/>
            <w:vAlign w:val="bottom"/>
            <w:gridSpan w:val="2"/>
          </w:tcPr>
          <w:p>
            <w:pPr>
              <w:jc w:val="right"/>
              <w:ind w:right="121"/>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7"/>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Rate that the cost trend rate gradually declines to</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w:t>
            </w: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1"/>
        </w:trPr>
        <w:tc>
          <w:tcPr>
            <w:tcW w:w="7800" w:type="dxa"/>
            <w:vAlign w:val="bottom"/>
          </w:tcPr>
          <w:p>
            <w:pPr>
              <w:spacing w:after="0"/>
              <w:rPr>
                <w:sz w:val="20"/>
                <w:szCs w:val="20"/>
                <w:color w:val="auto"/>
              </w:rPr>
            </w:pPr>
            <w:r>
              <w:rPr>
                <w:rFonts w:ascii="Times New Roman" w:cs="Times New Roman" w:eastAsia="Times New Roman" w:hAnsi="Times New Roman"/>
                <w:sz w:val="13"/>
                <w:szCs w:val="13"/>
                <w:color w:val="auto"/>
              </w:rPr>
              <w:t>Year that the rate reaches the rate it is assumed to remain at</w:t>
            </w:r>
          </w:p>
        </w:tc>
        <w:tc>
          <w:tcPr>
            <w:tcW w:w="140" w:type="dxa"/>
            <w:vAlign w:val="bottom"/>
          </w:tcPr>
          <w:p>
            <w:pPr>
              <w:spacing w:after="0"/>
              <w:rPr>
                <w:sz w:val="14"/>
                <w:szCs w:val="14"/>
                <w:color w:val="auto"/>
              </w:rPr>
            </w:pPr>
          </w:p>
        </w:tc>
        <w:tc>
          <w:tcPr>
            <w:tcW w:w="660" w:type="dxa"/>
            <w:vAlign w:val="bottom"/>
            <w:gridSpan w:val="2"/>
          </w:tcPr>
          <w:p>
            <w:pPr>
              <w:jc w:val="right"/>
              <w:ind w:right="221"/>
              <w:spacing w:after="0"/>
              <w:rPr>
                <w:sz w:val="20"/>
                <w:szCs w:val="20"/>
                <w:color w:val="auto"/>
              </w:rPr>
            </w:pPr>
            <w:r>
              <w:rPr>
                <w:rFonts w:ascii="Times New Roman" w:cs="Times New Roman" w:eastAsia="Times New Roman" w:hAnsi="Times New Roman"/>
                <w:sz w:val="13"/>
                <w:szCs w:val="13"/>
                <w:color w:val="auto"/>
              </w:rPr>
              <w:t>2012</w:t>
            </w:r>
          </w:p>
        </w:tc>
        <w:tc>
          <w:tcPr>
            <w:tcW w:w="12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2009</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2009</w:t>
            </w:r>
          </w:p>
        </w:tc>
        <w:tc>
          <w:tcPr>
            <w:tcW w:w="100" w:type="dxa"/>
            <w:vAlign w:val="bottom"/>
          </w:tcPr>
          <w:p>
            <w:pPr>
              <w:spacing w:after="0"/>
              <w:rPr>
                <w:sz w:val="14"/>
                <w:szCs w:val="14"/>
                <w:color w:val="auto"/>
              </w:rPr>
            </w:pPr>
          </w:p>
        </w:tc>
      </w:tr>
    </w:tbl>
    <w:p>
      <w:pPr>
        <w:spacing w:after="0" w:line="62" w:lineRule="exact"/>
        <w:rPr>
          <w:sz w:val="20"/>
          <w:szCs w:val="20"/>
          <w:color w:val="auto"/>
        </w:rPr>
      </w:pPr>
    </w:p>
    <w:p>
      <w:pPr>
        <w:jc w:val="both"/>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The discount rate used was determined by discounting projections of future benefit payments using annual spot rates derived from a yield curve created from yields on a large number of U.S. Aa rated bonds. The discounted cash flows were then used to determine the effective discount rate.</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11" w:name="page112"/>
    <w:bookmarkEnd w:id="111"/>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77" w:lineRule="exact"/>
        <w:rPr>
          <w:sz w:val="20"/>
          <w:szCs w:val="20"/>
          <w:color w:val="auto"/>
        </w:rPr>
      </w:pPr>
    </w:p>
    <w:p>
      <w:pPr>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Assumed health care cost trend rates have a significant effect on the amounts reported for the health care plans. A one-percentage-point change in assumed health care cost trend rates would have the following effects:</w:t>
      </w:r>
    </w:p>
    <w:p>
      <w:pPr>
        <w:spacing w:after="0" w:line="4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One-Percentage-Point</w:t>
            </w: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One-Percentage-Point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7"/>
        </w:trPr>
        <w:tc>
          <w:tcPr>
            <w:tcW w:w="6100" w:type="dxa"/>
            <w:vAlign w:val="bottom"/>
          </w:tcPr>
          <w:p>
            <w:pPr>
              <w:spacing w:after="0"/>
              <w:rPr>
                <w:sz w:val="11"/>
                <w:szCs w:val="11"/>
                <w:color w:val="auto"/>
              </w:rPr>
            </w:pPr>
          </w:p>
        </w:tc>
        <w:tc>
          <w:tcPr>
            <w:tcW w:w="138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0"/>
                <w:szCs w:val="10"/>
                <w:b w:val="1"/>
                <w:bCs w:val="1"/>
                <w:color w:val="auto"/>
              </w:rPr>
              <w:t>Increase</w:t>
            </w:r>
          </w:p>
        </w:tc>
        <w:tc>
          <w:tcPr>
            <w:tcW w:w="3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0"/>
                <w:szCs w:val="10"/>
                <w:b w:val="1"/>
                <w:bCs w:val="1"/>
                <w:color w:val="auto"/>
              </w:rPr>
              <w:t>Decrease</w:t>
            </w: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3"/>
        </w:trPr>
        <w:tc>
          <w:tcPr>
            <w:tcW w:w="6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w w:val="81"/>
              </w:rPr>
              <w:t>(Dollars</w:t>
            </w:r>
          </w:p>
        </w:tc>
        <w:tc>
          <w:tcPr>
            <w:tcW w:w="1740" w:type="dxa"/>
            <w:vAlign w:val="bottom"/>
            <w:gridSpan w:val="2"/>
          </w:tcPr>
          <w:p>
            <w:pPr>
              <w:jc w:val="right"/>
              <w:ind w:right="1003"/>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on total of service and interest cost</w:t>
            </w:r>
          </w:p>
        </w:tc>
        <w:tc>
          <w:tcPr>
            <w:tcW w:w="1380" w:type="dxa"/>
            <w:vAlign w:val="bottom"/>
            <w:shd w:val="clear" w:color="auto" w:fill="CCEEFF"/>
          </w:tcPr>
          <w:p>
            <w:pPr>
              <w:jc w:val="right"/>
              <w:ind w:right="12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82</w:t>
            </w:r>
          </w:p>
        </w:tc>
        <w:tc>
          <w:tcPr>
            <w:tcW w:w="1340" w:type="dxa"/>
            <w:vAlign w:val="bottom"/>
            <w:shd w:val="clear" w:color="auto" w:fill="CCEEFF"/>
          </w:tcPr>
          <w:p>
            <w:pPr>
              <w:jc w:val="right"/>
              <w:ind w:right="122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(71)</w:t>
            </w:r>
          </w:p>
        </w:tc>
      </w:tr>
      <w:tr>
        <w:trPr>
          <w:trHeight w:val="171"/>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Effect on postretirement benefit obligation</w:t>
            </w:r>
          </w:p>
        </w:tc>
        <w:tc>
          <w:tcPr>
            <w:tcW w:w="1380" w:type="dxa"/>
            <w:vAlign w:val="bottom"/>
          </w:tcPr>
          <w:p>
            <w:pPr>
              <w:jc w:val="right"/>
              <w:ind w:right="12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1,375</w:t>
            </w:r>
          </w:p>
        </w:tc>
        <w:tc>
          <w:tcPr>
            <w:tcW w:w="134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(1,205)</w:t>
            </w:r>
          </w:p>
        </w:tc>
      </w:tr>
      <w:tr>
        <w:trPr>
          <w:trHeight w:val="312"/>
        </w:trPr>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Postretirement Benefit Cash Flows</w:t>
            </w: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1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 detail of actual and expected benefit payments is as follows (in thousands):</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98"/>
        </w:trPr>
        <w:tc>
          <w:tcPr>
            <w:tcW w:w="6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Benefit Payments</w:t>
            </w:r>
          </w:p>
        </w:tc>
        <w:tc>
          <w:tcPr>
            <w:tcW w:w="1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2005</w:t>
            </w: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2,160</w:t>
            </w: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2006</w:t>
            </w:r>
          </w:p>
        </w:tc>
        <w:tc>
          <w:tcPr>
            <w:tcW w:w="1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1,230</w:t>
            </w: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Expected Future Payments</w:t>
            </w: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2007</w:t>
            </w:r>
          </w:p>
        </w:tc>
        <w:tc>
          <w:tcPr>
            <w:tcW w:w="1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1,819</w:t>
            </w: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2008</w:t>
            </w: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1,987</w:t>
            </w: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2009</w:t>
            </w:r>
          </w:p>
        </w:tc>
        <w:tc>
          <w:tcPr>
            <w:tcW w:w="1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2,106</w:t>
            </w:r>
          </w:p>
        </w:tc>
      </w:tr>
      <w:tr>
        <w:trPr>
          <w:trHeight w:val="157"/>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2010</w:t>
            </w: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2,167</w:t>
            </w: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2011</w:t>
            </w:r>
          </w:p>
        </w:tc>
        <w:tc>
          <w:tcPr>
            <w:tcW w:w="1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2,167</w:t>
            </w:r>
          </w:p>
        </w:tc>
      </w:tr>
      <w:tr>
        <w:trPr>
          <w:trHeight w:val="171"/>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2012-2016</w:t>
            </w: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8,294</w:t>
            </w:r>
          </w:p>
        </w:tc>
      </w:tr>
    </w:tbl>
    <w:p>
      <w:pPr>
        <w:spacing w:after="0" w:line="139" w:lineRule="exact"/>
        <w:rPr>
          <w:sz w:val="20"/>
          <w:szCs w:val="20"/>
          <w:color w:val="auto"/>
        </w:rPr>
      </w:pPr>
    </w:p>
    <w:p>
      <w:pPr>
        <w:ind w:left="1080" w:hanging="393"/>
        <w:spacing w:after="0"/>
        <w:tabs>
          <w:tab w:leader="none" w:pos="1080" w:val="left"/>
        </w:tabs>
        <w:numPr>
          <w:ilvl w:val="0"/>
          <w:numId w:val="4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Supplementary Cash Flow Information</w:t>
      </w:r>
    </w:p>
    <w:p>
      <w:pPr>
        <w:spacing w:after="0" w:line="98" w:lineRule="exact"/>
        <w:rPr>
          <w:rFonts w:ascii="Times New Roman" w:cs="Times New Roman" w:eastAsia="Times New Roman" w:hAnsi="Times New Roman"/>
          <w:sz w:val="13"/>
          <w:szCs w:val="13"/>
          <w:b w:val="1"/>
          <w:bCs w:val="1"/>
          <w:color w:val="auto"/>
        </w:rPr>
      </w:pPr>
    </w:p>
    <w:p>
      <w:pPr>
        <w:ind w:left="108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following supplemental cash flow information is provided with respect to interest and tax payments, as well as certain non-cash investing and financing activities.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6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6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6"/>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8"/>
                <w:szCs w:val="8"/>
                <w:color w:val="auto"/>
              </w:rPr>
            </w:pPr>
          </w:p>
        </w:tc>
      </w:tr>
      <w:tr>
        <w:trPr>
          <w:trHeight w:val="133"/>
        </w:trPr>
        <w:tc>
          <w:tcPr>
            <w:tcW w:w="6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during the year:</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57,636</w:t>
            </w:r>
          </w:p>
        </w:tc>
        <w:tc>
          <w:tcPr>
            <w:tcW w:w="5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163,604</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47,108</w:t>
            </w:r>
          </w:p>
        </w:tc>
      </w:tr>
      <w:tr>
        <w:trPr>
          <w:trHeight w:val="157"/>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taxes</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354,711</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364,400</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394,900</w:t>
            </w:r>
          </w:p>
        </w:tc>
      </w:tr>
      <w:tr>
        <w:trPr>
          <w:trHeight w:val="157"/>
        </w:trPr>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rPr>
              <w:t>Non-cash investing and financing activities: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Fair value of shares issued in connection with acquisitions</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237,480</w:t>
            </w:r>
          </w:p>
        </w:tc>
      </w:tr>
      <w:tr>
        <w:trPr>
          <w:trHeight w:val="157"/>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16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192</w:t>
            </w:r>
          </w:p>
        </w:tc>
      </w:tr>
      <w:tr>
        <w:trPr>
          <w:trHeight w:val="157"/>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Liabilities assumed in connection with acquisitions: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Fair value of assets acquired</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396,738</w:t>
            </w:r>
          </w:p>
        </w:tc>
        <w:tc>
          <w:tcPr>
            <w:tcW w:w="5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211,664</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1,610,754</w:t>
            </w:r>
          </w:p>
        </w:tc>
      </w:tr>
      <w:tr>
        <w:trPr>
          <w:trHeight w:val="157"/>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Less: Total purchase price</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290,091</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191,158</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1,302,317</w:t>
            </w:r>
          </w:p>
        </w:tc>
      </w:tr>
      <w:tr>
        <w:trPr>
          <w:trHeight w:val="166"/>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Liabilities assumed</w:t>
            </w: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106,647</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20,506</w:t>
            </w:r>
          </w:p>
        </w:tc>
        <w:tc>
          <w:tcPr>
            <w:tcW w:w="4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308,437</w:t>
            </w:r>
          </w:p>
        </w:tc>
        <w:tc>
          <w:tcPr>
            <w:tcW w:w="100" w:type="dxa"/>
            <w:vAlign w:val="bottom"/>
          </w:tcPr>
          <w:p>
            <w:pPr>
              <w:spacing w:after="0"/>
              <w:rPr>
                <w:sz w:val="14"/>
                <w:szCs w:val="14"/>
                <w:color w:val="auto"/>
              </w:rPr>
            </w:pPr>
          </w:p>
        </w:tc>
      </w:tr>
    </w:tbl>
    <w:p>
      <w:pPr>
        <w:spacing w:after="0" w:line="162" w:lineRule="exact"/>
        <w:rPr>
          <w:sz w:val="20"/>
          <w:szCs w:val="20"/>
          <w:color w:val="auto"/>
        </w:rPr>
      </w:pPr>
    </w:p>
    <w:p>
      <w:pPr>
        <w:ind w:left="1080" w:hanging="393"/>
        <w:spacing w:after="0"/>
        <w:tabs>
          <w:tab w:leader="none" w:pos="1080" w:val="left"/>
        </w:tabs>
        <w:numPr>
          <w:ilvl w:val="0"/>
          <w:numId w:val="4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Financial Instruments with Off-Balance Sheet Risk and Concentration of Risk</w:t>
      </w:r>
    </w:p>
    <w:p>
      <w:pPr>
        <w:spacing w:after="0" w:line="98" w:lineRule="exact"/>
        <w:rPr>
          <w:sz w:val="20"/>
          <w:szCs w:val="20"/>
          <w:color w:val="auto"/>
        </w:rPr>
      </w:pPr>
    </w:p>
    <w:p>
      <w:pPr>
        <w:ind w:left="680" w:right="340" w:firstLine="399"/>
        <w:spacing w:after="0" w:line="286" w:lineRule="auto"/>
        <w:rPr>
          <w:sz w:val="20"/>
          <w:szCs w:val="20"/>
          <w:color w:val="auto"/>
        </w:rPr>
      </w:pPr>
      <w:r>
        <w:rPr>
          <w:rFonts w:ascii="Times New Roman" w:cs="Times New Roman" w:eastAsia="Times New Roman" w:hAnsi="Times New Roman"/>
          <w:sz w:val="13"/>
          <w:szCs w:val="13"/>
          <w:color w:val="auto"/>
        </w:rPr>
        <w:t>In the normal course of business the Company and certain of its subsidiaries enter into off-balance sheet credit arrangements associated with certain aspects of its title insurance business and other activities.</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12" w:name="page113"/>
    <w:bookmarkEnd w:id="112"/>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77" w:lineRule="exact"/>
        <w:rPr>
          <w:sz w:val="20"/>
          <w:szCs w:val="20"/>
          <w:color w:val="auto"/>
        </w:rPr>
      </w:pPr>
    </w:p>
    <w:p>
      <w:pPr>
        <w:ind w:left="680" w:right="1120" w:firstLine="399"/>
        <w:spacing w:after="0" w:line="286" w:lineRule="auto"/>
        <w:rPr>
          <w:sz w:val="20"/>
          <w:szCs w:val="20"/>
          <w:color w:val="auto"/>
        </w:rPr>
      </w:pPr>
      <w:r>
        <w:rPr>
          <w:rFonts w:ascii="Times New Roman" w:cs="Times New Roman" w:eastAsia="Times New Roman" w:hAnsi="Times New Roman"/>
          <w:sz w:val="13"/>
          <w:szCs w:val="13"/>
          <w:color w:val="auto"/>
        </w:rPr>
        <w:t>The Company generates a significant amount of title insurance premiums in California, Florida, Texas, and New York. Title insurance premiums as a percentage of the total title insurance premiums written from those four states are detailed as follows:</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8040" w:type="dxa"/>
            <w:vAlign w:val="bottom"/>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2006</w:t>
            </w:r>
          </w:p>
        </w:tc>
        <w:tc>
          <w:tcPr>
            <w:tcW w:w="400" w:type="dxa"/>
            <w:vAlign w:val="bottom"/>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2005</w:t>
            </w:r>
          </w:p>
        </w:tc>
        <w:tc>
          <w:tcPr>
            <w:tcW w:w="420" w:type="dxa"/>
            <w:vAlign w:val="bottom"/>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2004</w:t>
            </w:r>
          </w:p>
        </w:tc>
        <w:tc>
          <w:tcPr>
            <w:tcW w:w="120" w:type="dxa"/>
            <w:vAlign w:val="bottom"/>
          </w:tcPr>
          <w:p>
            <w:pPr>
              <w:spacing w:after="0"/>
              <w:rPr>
                <w:sz w:val="11"/>
                <w:szCs w:val="11"/>
                <w:color w:val="auto"/>
              </w:rPr>
            </w:pPr>
          </w:p>
        </w:tc>
      </w:tr>
      <w:tr>
        <w:trPr>
          <w:trHeight w:val="29"/>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California</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17.6%</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20.9%</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r>
      <w:tr>
        <w:trPr>
          <w:trHeight w:val="157"/>
        </w:trPr>
        <w:tc>
          <w:tcPr>
            <w:tcW w:w="8040" w:type="dxa"/>
            <w:vAlign w:val="bottom"/>
          </w:tcPr>
          <w:p>
            <w:pPr>
              <w:spacing w:after="0"/>
              <w:rPr>
                <w:sz w:val="20"/>
                <w:szCs w:val="20"/>
                <w:color w:val="auto"/>
              </w:rPr>
            </w:pPr>
            <w:r>
              <w:rPr>
                <w:rFonts w:ascii="Times New Roman" w:cs="Times New Roman" w:eastAsia="Times New Roman" w:hAnsi="Times New Roman"/>
                <w:sz w:val="13"/>
                <w:szCs w:val="13"/>
                <w:color w:val="auto"/>
              </w:rPr>
              <w:t>Florida</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13.8%</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14.1%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57"/>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Texas</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11.1%</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9.6%</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171"/>
        </w:trPr>
        <w:tc>
          <w:tcPr>
            <w:tcW w:w="8040" w:type="dxa"/>
            <w:vAlign w:val="bottom"/>
          </w:tcPr>
          <w:p>
            <w:pPr>
              <w:spacing w:after="0"/>
              <w:rPr>
                <w:sz w:val="20"/>
                <w:szCs w:val="20"/>
                <w:color w:val="auto"/>
              </w:rPr>
            </w:pPr>
            <w:r>
              <w:rPr>
                <w:rFonts w:ascii="Times New Roman" w:cs="Times New Roman" w:eastAsia="Times New Roman" w:hAnsi="Times New Roman"/>
                <w:sz w:val="13"/>
                <w:szCs w:val="13"/>
                <w:color w:val="auto"/>
              </w:rPr>
              <w:t>New York</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7.8%</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8.1%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8.6%</w:t>
            </w:r>
          </w:p>
        </w:tc>
      </w:tr>
    </w:tbl>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Financial instruments that potentially subject the Company to concentrations of credit risk consist primarily of cash equivalents, short-term investments, and trade receivables.</w:t>
      </w:r>
    </w:p>
    <w:p>
      <w:pPr>
        <w:spacing w:after="0" w:line="96" w:lineRule="exact"/>
        <w:rPr>
          <w:sz w:val="20"/>
          <w:szCs w:val="20"/>
          <w:color w:val="auto"/>
        </w:rPr>
      </w:pPr>
    </w:p>
    <w:p>
      <w:pPr>
        <w:ind w:left="680" w:right="960" w:firstLine="399"/>
        <w:spacing w:after="0" w:line="286" w:lineRule="auto"/>
        <w:rPr>
          <w:sz w:val="20"/>
          <w:szCs w:val="20"/>
          <w:color w:val="auto"/>
        </w:rPr>
      </w:pPr>
      <w:r>
        <w:rPr>
          <w:rFonts w:ascii="Times New Roman" w:cs="Times New Roman" w:eastAsia="Times New Roman" w:hAnsi="Times New Roman"/>
          <w:sz w:val="13"/>
          <w:szCs w:val="13"/>
          <w:color w:val="auto"/>
        </w:rPr>
        <w:t>The Company places its cash equivalents and short-term investments with high credit quality financial institutions and, by policy, limits the amount of credit exposure with any one financial institution. Investments in commercial paper of industrial firms and financial institutions are rated investment grade by nationally recognized rating agencies.</w:t>
      </w:r>
    </w:p>
    <w:p>
      <w:pPr>
        <w:spacing w:after="0" w:line="47" w:lineRule="exact"/>
        <w:rPr>
          <w:sz w:val="20"/>
          <w:szCs w:val="20"/>
          <w:color w:val="auto"/>
        </w:rPr>
      </w:pPr>
    </w:p>
    <w:p>
      <w:pPr>
        <w:ind w:left="680" w:right="1000" w:firstLine="399"/>
        <w:spacing w:after="0" w:line="286" w:lineRule="auto"/>
        <w:rPr>
          <w:sz w:val="20"/>
          <w:szCs w:val="20"/>
          <w:color w:val="auto"/>
        </w:rPr>
      </w:pPr>
      <w:r>
        <w:rPr>
          <w:rFonts w:ascii="Times New Roman" w:cs="Times New Roman" w:eastAsia="Times New Roman" w:hAnsi="Times New Roman"/>
          <w:sz w:val="13"/>
          <w:szCs w:val="13"/>
          <w:color w:val="auto"/>
        </w:rPr>
        <w:t>Concentrations of credit risk with respect to trade receivables are limited because a large number of geographically diverse customers make up the Company’s customer base, thus spreading the trade receivables credit risk. The Company controls credit risk through monitoring procedures.</w:t>
      </w:r>
    </w:p>
    <w:p>
      <w:pPr>
        <w:spacing w:after="0" w:line="123" w:lineRule="exact"/>
        <w:rPr>
          <w:sz w:val="20"/>
          <w:szCs w:val="20"/>
          <w:color w:val="auto"/>
        </w:rPr>
      </w:pPr>
    </w:p>
    <w:p>
      <w:pPr>
        <w:ind w:left="1000" w:hanging="313"/>
        <w:spacing w:after="0"/>
        <w:tabs>
          <w:tab w:leader="none" w:pos="1000" w:val="left"/>
        </w:tabs>
        <w:numPr>
          <w:ilvl w:val="0"/>
          <w:numId w:val="4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Segment Information</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Summarized financial information concerning the Company’s reportable segments is shown in the following table.</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As of and for the year ended December 31, 2006 (dollars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Fidelity National</w:t>
            </w:r>
          </w:p>
        </w:tc>
        <w:tc>
          <w:tcPr>
            <w:tcW w:w="100" w:type="dxa"/>
            <w:vAlign w:val="bottom"/>
          </w:tcPr>
          <w:p>
            <w:pPr>
              <w:spacing w:after="0"/>
              <w:rPr>
                <w:sz w:val="10"/>
                <w:szCs w:val="10"/>
                <w:color w:val="auto"/>
              </w:rPr>
            </w:pPr>
          </w:p>
        </w:tc>
        <w:tc>
          <w:tcPr>
            <w:tcW w:w="8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Specialty</w:t>
            </w:r>
          </w:p>
        </w:tc>
        <w:tc>
          <w:tcPr>
            <w:tcW w:w="100" w:type="dxa"/>
            <w:vAlign w:val="bottom"/>
          </w:tcPr>
          <w:p>
            <w:pPr>
              <w:spacing w:after="0"/>
              <w:rPr>
                <w:sz w:val="10"/>
                <w:szCs w:val="10"/>
                <w:color w:val="auto"/>
              </w:rPr>
            </w:pPr>
          </w:p>
        </w:tc>
        <w:tc>
          <w:tcPr>
            <w:tcW w:w="9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Corporate</w:t>
            </w:r>
          </w:p>
        </w:tc>
        <w:tc>
          <w:tcPr>
            <w:tcW w:w="120" w:type="dxa"/>
            <w:vAlign w:val="bottom"/>
          </w:tcPr>
          <w:p>
            <w:pPr>
              <w:spacing w:after="0"/>
              <w:rPr>
                <w:sz w:val="10"/>
                <w:szCs w:val="10"/>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Fidelity National</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tcPr>
          <w:p>
            <w:pPr>
              <w:jc w:val="center"/>
              <w:ind w:right="420"/>
              <w:spacing w:after="0" w:line="108" w:lineRule="exact"/>
              <w:rPr>
                <w:sz w:val="20"/>
                <w:szCs w:val="20"/>
                <w:color w:val="auto"/>
              </w:rPr>
            </w:pPr>
            <w:r>
              <w:rPr>
                <w:rFonts w:ascii="Times New Roman" w:cs="Times New Roman" w:eastAsia="Times New Roman" w:hAnsi="Times New Roman"/>
                <w:sz w:val="10"/>
                <w:szCs w:val="10"/>
                <w:b w:val="1"/>
                <w:bCs w:val="1"/>
                <w:color w:val="auto"/>
              </w:rPr>
              <w:t>Information</w:t>
            </w:r>
          </w:p>
        </w:tc>
        <w:tc>
          <w:tcPr>
            <w:tcW w:w="80" w:type="dxa"/>
            <w:vAlign w:val="bottom"/>
          </w:tcPr>
          <w:p>
            <w:pPr>
              <w:spacing w:after="0"/>
              <w:rPr>
                <w:sz w:val="9"/>
                <w:szCs w:val="9"/>
                <w:color w:val="auto"/>
              </w:rPr>
            </w:pPr>
          </w:p>
        </w:tc>
        <w:tc>
          <w:tcPr>
            <w:tcW w:w="10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Eliminations</w:t>
            </w:r>
          </w:p>
        </w:tc>
        <w:tc>
          <w:tcPr>
            <w:tcW w:w="180" w:type="dxa"/>
            <w:vAlign w:val="bottom"/>
          </w:tcPr>
          <w:p>
            <w:pPr>
              <w:spacing w:after="0"/>
              <w:rPr>
                <w:sz w:val="9"/>
                <w:szCs w:val="9"/>
                <w:color w:val="auto"/>
              </w:rPr>
            </w:pPr>
          </w:p>
        </w:tc>
        <w:tc>
          <w:tcPr>
            <w:tcW w:w="7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Title Group, Inc.</w:t>
            </w:r>
          </w:p>
        </w:tc>
        <w:tc>
          <w:tcPr>
            <w:tcW w:w="100" w:type="dxa"/>
            <w:vAlign w:val="bottom"/>
          </w:tcPr>
          <w:p>
            <w:pPr>
              <w:spacing w:after="0"/>
              <w:rPr>
                <w:sz w:val="11"/>
                <w:szCs w:val="11"/>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Insurance</w:t>
            </w:r>
          </w:p>
        </w:tc>
        <w:tc>
          <w:tcPr>
            <w:tcW w:w="100" w:type="dxa"/>
            <w:vAlign w:val="bottom"/>
          </w:tcPr>
          <w:p>
            <w:pPr>
              <w:spacing w:after="0"/>
              <w:rPr>
                <w:sz w:val="11"/>
                <w:szCs w:val="11"/>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and Other</w:t>
            </w:r>
          </w:p>
        </w:tc>
        <w:tc>
          <w:tcPr>
            <w:tcW w:w="120" w:type="dxa"/>
            <w:vAlign w:val="bottom"/>
          </w:tcPr>
          <w:p>
            <w:pPr>
              <w:spacing w:after="0"/>
              <w:rPr>
                <w:sz w:val="11"/>
                <w:szCs w:val="11"/>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Services, Inc.</w:t>
            </w: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Title premiums</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4,608,329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(2,372)</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64,964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(64,721)</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4,606,200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Other revenues</w:t>
            </w:r>
          </w:p>
        </w:tc>
        <w:tc>
          <w:tcPr>
            <w:tcW w:w="120" w:type="dxa"/>
            <w:vAlign w:val="bottom"/>
          </w:tcPr>
          <w:p>
            <w:pPr>
              <w:spacing w:after="0"/>
              <w:rPr>
                <w:sz w:val="13"/>
                <w:szCs w:val="13"/>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1,109,293</w:t>
            </w:r>
          </w:p>
        </w:tc>
        <w:tc>
          <w:tcPr>
            <w:tcW w:w="10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394,613</w:t>
            </w:r>
          </w:p>
        </w:tc>
        <w:tc>
          <w:tcPr>
            <w:tcW w:w="10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4,754</w:t>
            </w:r>
          </w:p>
        </w:tc>
        <w:tc>
          <w:tcPr>
            <w:tcW w:w="120" w:type="dxa"/>
            <w:vAlign w:val="bottom"/>
          </w:tcPr>
          <w:p>
            <w:pPr>
              <w:spacing w:after="0"/>
              <w:rPr>
                <w:sz w:val="13"/>
                <w:szCs w:val="13"/>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3,215,409</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(121,039)</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4,603,030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Intersegment revenue</w:t>
            </w:r>
          </w:p>
        </w:tc>
        <w:tc>
          <w:tcPr>
            <w:tcW w:w="1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(185,760)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185,760</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5,717,622</w:t>
            </w:r>
          </w:p>
        </w:tc>
        <w:tc>
          <w:tcPr>
            <w:tcW w:w="3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394,613</w:t>
            </w:r>
          </w:p>
        </w:tc>
        <w:tc>
          <w:tcPr>
            <w:tcW w:w="2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2,382</w:t>
            </w:r>
          </w:p>
        </w:tc>
        <w:tc>
          <w:tcPr>
            <w:tcW w:w="300" w:type="dxa"/>
            <w:vAlign w:val="bottom"/>
          </w:tcPr>
          <w:p>
            <w:pPr>
              <w:spacing w:after="0"/>
              <w:rPr>
                <w:sz w:val="13"/>
                <w:szCs w:val="13"/>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3,094,613</w:t>
            </w:r>
          </w:p>
        </w:tc>
        <w:tc>
          <w:tcPr>
            <w:tcW w:w="3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9,209,230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Gain on issuance of subsidiary stock</w:t>
            </w:r>
          </w:p>
        </w:tc>
        <w:tc>
          <w:tcPr>
            <w:tcW w:w="1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32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Interest and investment income, including realized gains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3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and (losses)</w:t>
            </w:r>
          </w:p>
        </w:tc>
        <w:tc>
          <w:tcPr>
            <w:tcW w:w="12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181,634</w:t>
            </w:r>
          </w:p>
        </w:tc>
        <w:tc>
          <w:tcPr>
            <w:tcW w:w="10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15,582</w:t>
            </w:r>
          </w:p>
        </w:tc>
        <w:tc>
          <w:tcPr>
            <w:tcW w:w="1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20,881</w:t>
            </w:r>
          </w:p>
        </w:tc>
        <w:tc>
          <w:tcPr>
            <w:tcW w:w="12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8,774</w:t>
            </w:r>
          </w:p>
        </w:tc>
        <w:tc>
          <w:tcPr>
            <w:tcW w:w="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226,871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revenues</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5,899,256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410,195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23,263</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3,103,387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9,436,101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110,486</w:t>
            </w: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6,254</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343,563</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460,750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12,232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1,443</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42,102</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154,195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209,972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Earnings (loss) before income tax and minority interest</w:t>
            </w:r>
          </w:p>
        </w:tc>
        <w:tc>
          <w:tcPr>
            <w:tcW w:w="12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650,800</w:t>
            </w:r>
          </w:p>
        </w:tc>
        <w:tc>
          <w:tcPr>
            <w:tcW w:w="10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72,026</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(97,990)</w:t>
            </w:r>
          </w:p>
        </w:tc>
        <w:tc>
          <w:tcPr>
            <w:tcW w:w="12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318,366</w:t>
            </w:r>
          </w:p>
        </w:tc>
        <w:tc>
          <w:tcPr>
            <w:tcW w:w="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943,202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6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rPr>
              <w:t>110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2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113" w:name="page114"/>
    <w:bookmarkEnd w:id="113"/>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Fidelity National</w:t>
            </w:r>
          </w:p>
        </w:tc>
        <w:tc>
          <w:tcPr>
            <w:tcW w:w="100" w:type="dxa"/>
            <w:vAlign w:val="bottom"/>
          </w:tcPr>
          <w:p>
            <w:pPr>
              <w:spacing w:after="0"/>
              <w:rPr>
                <w:sz w:val="10"/>
                <w:szCs w:val="10"/>
                <w:color w:val="auto"/>
              </w:rPr>
            </w:pPr>
          </w:p>
        </w:tc>
        <w:tc>
          <w:tcPr>
            <w:tcW w:w="8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Specialty</w:t>
            </w: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Corporate</w:t>
            </w:r>
          </w:p>
        </w:tc>
        <w:tc>
          <w:tcPr>
            <w:tcW w:w="120" w:type="dxa"/>
            <w:vAlign w:val="bottom"/>
          </w:tcPr>
          <w:p>
            <w:pPr>
              <w:spacing w:after="0"/>
              <w:rPr>
                <w:sz w:val="10"/>
                <w:szCs w:val="10"/>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Fidelity National</w:t>
            </w: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tcPr>
          <w:p>
            <w:pPr>
              <w:jc w:val="center"/>
              <w:ind w:right="420"/>
              <w:spacing w:after="0" w:line="108" w:lineRule="exact"/>
              <w:rPr>
                <w:sz w:val="20"/>
                <w:szCs w:val="20"/>
                <w:color w:val="auto"/>
              </w:rPr>
            </w:pPr>
            <w:r>
              <w:rPr>
                <w:rFonts w:ascii="Times New Roman" w:cs="Times New Roman" w:eastAsia="Times New Roman" w:hAnsi="Times New Roman"/>
                <w:sz w:val="10"/>
                <w:szCs w:val="10"/>
                <w:b w:val="1"/>
                <w:bCs w:val="1"/>
                <w:color w:val="auto"/>
              </w:rPr>
              <w:t>Information</w:t>
            </w: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Eliminations</w:t>
            </w:r>
          </w:p>
        </w:tc>
        <w:tc>
          <w:tcPr>
            <w:tcW w:w="9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7"/>
        </w:trPr>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Title Group, Inc.</w:t>
            </w:r>
          </w:p>
        </w:tc>
        <w:tc>
          <w:tcPr>
            <w:tcW w:w="100" w:type="dxa"/>
            <w:vAlign w:val="bottom"/>
          </w:tcPr>
          <w:p>
            <w:pPr>
              <w:spacing w:after="0"/>
              <w:rPr>
                <w:sz w:val="11"/>
                <w:szCs w:val="11"/>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Insurance</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and Other</w:t>
            </w:r>
          </w:p>
        </w:tc>
        <w:tc>
          <w:tcPr>
            <w:tcW w:w="120" w:type="dxa"/>
            <w:vAlign w:val="bottom"/>
          </w:tcPr>
          <w:p>
            <w:pPr>
              <w:spacing w:after="0"/>
              <w:rPr>
                <w:sz w:val="11"/>
                <w:szCs w:val="11"/>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Services, Inc.</w:t>
            </w:r>
          </w:p>
        </w:tc>
        <w:tc>
          <w:tcPr>
            <w:tcW w:w="108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3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231,034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28,920</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(27,515)</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118,432</w:t>
            </w: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350,871</w:t>
            </w:r>
          </w:p>
        </w:tc>
        <w:tc>
          <w:tcPr>
            <w:tcW w:w="0" w:type="dxa"/>
            <w:vAlign w:val="bottom"/>
          </w:tcPr>
          <w:p>
            <w:pPr>
              <w:spacing w:after="0"/>
              <w:rPr>
                <w:sz w:val="1"/>
                <w:szCs w:val="1"/>
                <w:color w:val="auto"/>
              </w:rPr>
            </w:pPr>
          </w:p>
        </w:tc>
      </w:tr>
      <w:tr>
        <w:trPr>
          <w:trHeight w:val="157"/>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Minority interest</w:t>
            </w:r>
          </w:p>
        </w:tc>
        <w:tc>
          <w:tcPr>
            <w:tcW w:w="120" w:type="dxa"/>
            <w:vAlign w:val="bottom"/>
          </w:tcPr>
          <w:p>
            <w:pPr>
              <w:spacing w:after="0"/>
              <w:rPr>
                <w:sz w:val="13"/>
                <w:szCs w:val="13"/>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1,354</w:t>
            </w:r>
          </w:p>
        </w:tc>
        <w:tc>
          <w:tcPr>
            <w:tcW w:w="10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153,246</w:t>
            </w:r>
          </w:p>
        </w:tc>
        <w:tc>
          <w:tcPr>
            <w:tcW w:w="12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(30)</w:t>
            </w: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154,570</w:t>
            </w:r>
          </w:p>
        </w:tc>
        <w:tc>
          <w:tcPr>
            <w:tcW w:w="0" w:type="dxa"/>
            <w:vAlign w:val="bottom"/>
          </w:tcPr>
          <w:p>
            <w:pPr>
              <w:spacing w:after="0"/>
              <w:rPr>
                <w:sz w:val="1"/>
                <w:szCs w:val="1"/>
                <w:color w:val="auto"/>
              </w:rPr>
            </w:pPr>
          </w:p>
        </w:tc>
      </w:tr>
      <w:tr>
        <w:trPr>
          <w:trHeight w:val="15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earnings (loss)</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418,412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43,106</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  (223,721)</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199,964</w:t>
            </w: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437,761</w:t>
            </w:r>
          </w:p>
        </w:tc>
        <w:tc>
          <w:tcPr>
            <w:tcW w:w="0" w:type="dxa"/>
            <w:vAlign w:val="bottom"/>
          </w:tcPr>
          <w:p>
            <w:pPr>
              <w:spacing w:after="0"/>
              <w:rPr>
                <w:sz w:val="1"/>
                <w:szCs w:val="1"/>
                <w:color w:val="auto"/>
              </w:rPr>
            </w:pPr>
          </w:p>
        </w:tc>
      </w:tr>
      <w:tr>
        <w:trPr>
          <w:trHeight w:val="157"/>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Assets</w:t>
            </w:r>
          </w:p>
        </w:tc>
        <w:tc>
          <w:tcPr>
            <w:tcW w:w="120" w:type="dxa"/>
            <w:vAlign w:val="bottom"/>
          </w:tcPr>
          <w:p>
            <w:pPr>
              <w:spacing w:after="0"/>
              <w:rPr>
                <w:sz w:val="13"/>
                <w:szCs w:val="13"/>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6,023,461</w:t>
            </w:r>
          </w:p>
        </w:tc>
        <w:tc>
          <w:tcPr>
            <w:tcW w:w="10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455,057</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781,041</w:t>
            </w:r>
          </w:p>
        </w:tc>
        <w:tc>
          <w:tcPr>
            <w:tcW w:w="120" w:type="dxa"/>
            <w:vAlign w:val="bottom"/>
          </w:tcPr>
          <w:p>
            <w:pPr>
              <w:spacing w:after="0"/>
              <w:rPr>
                <w:sz w:val="13"/>
                <w:szCs w:val="13"/>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7,259,559</w:t>
            </w:r>
          </w:p>
        </w:tc>
        <w:tc>
          <w:tcPr>
            <w:tcW w:w="0" w:type="dxa"/>
            <w:vAlign w:val="bottom"/>
          </w:tcPr>
          <w:p>
            <w:pPr>
              <w:spacing w:after="0"/>
              <w:rPr>
                <w:sz w:val="1"/>
                <w:szCs w:val="1"/>
                <w:color w:val="auto"/>
              </w:rPr>
            </w:pPr>
          </w:p>
        </w:tc>
      </w:tr>
      <w:tr>
        <w:trPr>
          <w:trHeight w:val="15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1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1,087,813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44,856</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21,629</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1,154,298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As of and for the year ended December 31, 2005 (dollars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Fidelity National</w:t>
            </w:r>
          </w:p>
        </w:tc>
        <w:tc>
          <w:tcPr>
            <w:tcW w:w="100" w:type="dxa"/>
            <w:vAlign w:val="bottom"/>
          </w:tcPr>
          <w:p>
            <w:pPr>
              <w:spacing w:after="0"/>
              <w:rPr>
                <w:sz w:val="10"/>
                <w:szCs w:val="10"/>
                <w:color w:val="auto"/>
              </w:rPr>
            </w:pPr>
          </w:p>
        </w:tc>
        <w:tc>
          <w:tcPr>
            <w:tcW w:w="9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Specialty</w:t>
            </w:r>
          </w:p>
        </w:tc>
        <w:tc>
          <w:tcPr>
            <w:tcW w:w="80" w:type="dxa"/>
            <w:vAlign w:val="bottom"/>
          </w:tcPr>
          <w:p>
            <w:pPr>
              <w:spacing w:after="0"/>
              <w:rPr>
                <w:sz w:val="10"/>
                <w:szCs w:val="10"/>
                <w:color w:val="auto"/>
              </w:rPr>
            </w:pPr>
          </w:p>
        </w:tc>
        <w:tc>
          <w:tcPr>
            <w:tcW w:w="9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Corporate</w:t>
            </w:r>
          </w:p>
        </w:tc>
        <w:tc>
          <w:tcPr>
            <w:tcW w:w="120" w:type="dxa"/>
            <w:vAlign w:val="bottom"/>
          </w:tcPr>
          <w:p>
            <w:pPr>
              <w:spacing w:after="0"/>
              <w:rPr>
                <w:sz w:val="10"/>
                <w:szCs w:val="10"/>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Fidelity National</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tcPr>
          <w:p>
            <w:pPr>
              <w:jc w:val="center"/>
              <w:ind w:right="420"/>
              <w:spacing w:after="0" w:line="108" w:lineRule="exact"/>
              <w:rPr>
                <w:sz w:val="20"/>
                <w:szCs w:val="20"/>
                <w:color w:val="auto"/>
              </w:rPr>
            </w:pPr>
            <w:r>
              <w:rPr>
                <w:rFonts w:ascii="Times New Roman" w:cs="Times New Roman" w:eastAsia="Times New Roman" w:hAnsi="Times New Roman"/>
                <w:sz w:val="10"/>
                <w:szCs w:val="10"/>
                <w:b w:val="1"/>
                <w:bCs w:val="1"/>
                <w:color w:val="auto"/>
              </w:rPr>
              <w:t>Information</w:t>
            </w:r>
          </w:p>
        </w:tc>
        <w:tc>
          <w:tcPr>
            <w:tcW w:w="100" w:type="dxa"/>
            <w:vAlign w:val="bottom"/>
          </w:tcPr>
          <w:p>
            <w:pPr>
              <w:spacing w:after="0"/>
              <w:rPr>
                <w:sz w:val="9"/>
                <w:szCs w:val="9"/>
                <w:color w:val="auto"/>
              </w:rPr>
            </w:pP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Eliminations</w:t>
            </w:r>
          </w:p>
        </w:tc>
        <w:tc>
          <w:tcPr>
            <w:tcW w:w="220" w:type="dxa"/>
            <w:vAlign w:val="bottom"/>
          </w:tcPr>
          <w:p>
            <w:pPr>
              <w:spacing w:after="0"/>
              <w:rPr>
                <w:sz w:val="9"/>
                <w:szCs w:val="9"/>
                <w:color w:val="auto"/>
              </w:rPr>
            </w:pPr>
          </w:p>
        </w:tc>
        <w:tc>
          <w:tcPr>
            <w:tcW w:w="8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Title Group, Inc.</w:t>
            </w:r>
          </w:p>
        </w:tc>
        <w:tc>
          <w:tcPr>
            <w:tcW w:w="100" w:type="dxa"/>
            <w:vAlign w:val="bottom"/>
          </w:tcPr>
          <w:p>
            <w:pPr>
              <w:spacing w:after="0"/>
              <w:rPr>
                <w:sz w:val="11"/>
                <w:szCs w:val="11"/>
                <w:color w:val="auto"/>
              </w:rPr>
            </w:pP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Insurance</w:t>
            </w:r>
          </w:p>
        </w:tc>
        <w:tc>
          <w:tcPr>
            <w:tcW w:w="80" w:type="dxa"/>
            <w:vAlign w:val="bottom"/>
          </w:tcPr>
          <w:p>
            <w:pPr>
              <w:spacing w:after="0"/>
              <w:rPr>
                <w:sz w:val="11"/>
                <w:szCs w:val="11"/>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and Other</w:t>
            </w:r>
          </w:p>
        </w:tc>
        <w:tc>
          <w:tcPr>
            <w:tcW w:w="120" w:type="dxa"/>
            <w:vAlign w:val="bottom"/>
          </w:tcPr>
          <w:p>
            <w:pPr>
              <w:spacing w:after="0"/>
              <w:rPr>
                <w:sz w:val="11"/>
                <w:szCs w:val="11"/>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Services, Inc.</w:t>
            </w: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Title premiums</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4,948,966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(3,922)</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80,835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(80,835)</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4,945,044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Other revenues</w:t>
            </w:r>
          </w:p>
        </w:tc>
        <w:tc>
          <w:tcPr>
            <w:tcW w:w="120" w:type="dxa"/>
            <w:vAlign w:val="bottom"/>
          </w:tcPr>
          <w:p>
            <w:pPr>
              <w:spacing w:after="0"/>
              <w:rPr>
                <w:sz w:val="13"/>
                <w:szCs w:val="13"/>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1,204,128</w:t>
            </w:r>
          </w:p>
        </w:tc>
        <w:tc>
          <w:tcPr>
            <w:tcW w:w="10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428,939</w:t>
            </w:r>
          </w:p>
        </w:tc>
        <w:tc>
          <w:tcPr>
            <w:tcW w:w="8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(7,998)</w:t>
            </w:r>
          </w:p>
        </w:tc>
        <w:tc>
          <w:tcPr>
            <w:tcW w:w="120" w:type="dxa"/>
            <w:vAlign w:val="bottom"/>
          </w:tcPr>
          <w:p>
            <w:pPr>
              <w:spacing w:after="0"/>
              <w:rPr>
                <w:sz w:val="13"/>
                <w:szCs w:val="13"/>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2,685,250</w:t>
            </w:r>
          </w:p>
        </w:tc>
        <w:tc>
          <w:tcPr>
            <w:tcW w:w="100" w:type="dxa"/>
            <w:vAlign w:val="bottom"/>
          </w:tcPr>
          <w:p>
            <w:pPr>
              <w:spacing w:after="0"/>
              <w:rPr>
                <w:sz w:val="13"/>
                <w:szCs w:val="13"/>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(105,029)</w:t>
            </w:r>
          </w:p>
        </w:tc>
        <w:tc>
          <w:tcPr>
            <w:tcW w:w="2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4,205,290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Intersegment revenue</w:t>
            </w:r>
          </w:p>
        </w:tc>
        <w:tc>
          <w:tcPr>
            <w:tcW w:w="1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(185,864)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185,864</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6,153,094</w:t>
            </w:r>
          </w:p>
        </w:tc>
        <w:tc>
          <w:tcPr>
            <w:tcW w:w="3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428,939</w:t>
            </w:r>
          </w:p>
        </w:tc>
        <w:tc>
          <w:tcPr>
            <w:tcW w:w="3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(11,920)</w:t>
            </w:r>
          </w:p>
        </w:tc>
        <w:tc>
          <w:tcPr>
            <w:tcW w:w="300" w:type="dxa"/>
            <w:vAlign w:val="bottom"/>
          </w:tcPr>
          <w:p>
            <w:pPr>
              <w:spacing w:after="0"/>
              <w:rPr>
                <w:sz w:val="13"/>
                <w:szCs w:val="13"/>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2,580,221</w:t>
            </w:r>
          </w:p>
        </w:tc>
        <w:tc>
          <w:tcPr>
            <w:tcW w:w="3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220" w:type="dxa"/>
            <w:vAlign w:val="bottom"/>
            <w:tcBorders>
              <w:top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9,150,334</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Gain on issuance of subsidiary stock</w:t>
            </w:r>
          </w:p>
        </w:tc>
        <w:tc>
          <w:tcPr>
            <w:tcW w:w="1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318,209</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318,209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30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Interest and investment income, including realized</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gains and (losses)</w:t>
            </w:r>
          </w:p>
        </w:tc>
        <w:tc>
          <w:tcPr>
            <w:tcW w:w="12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148,409</w:t>
            </w:r>
          </w:p>
        </w:tc>
        <w:tc>
          <w:tcPr>
            <w:tcW w:w="1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9,064</w:t>
            </w:r>
          </w:p>
        </w:tc>
        <w:tc>
          <w:tcPr>
            <w:tcW w:w="8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18,404</w:t>
            </w:r>
          </w:p>
        </w:tc>
        <w:tc>
          <w:tcPr>
            <w:tcW w:w="12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10,160</w:t>
            </w: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186,037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revenues</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6,301,503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438,003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324,693</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2,590,381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9,654,580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102,105</w:t>
            </w: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4,279</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299,637</w:t>
            </w: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406,259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16,663</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377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28,509</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126,778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172,327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30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Earnings (loss) before income tax and minority</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12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868,304</w:t>
            </w:r>
          </w:p>
        </w:tc>
        <w:tc>
          <w:tcPr>
            <w:tcW w:w="1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133,521</w:t>
            </w:r>
          </w:p>
        </w:tc>
        <w:tc>
          <w:tcPr>
            <w:tcW w:w="8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286,052</w:t>
            </w:r>
          </w:p>
        </w:tc>
        <w:tc>
          <w:tcPr>
            <w:tcW w:w="12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320,063</w:t>
            </w: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1,607,940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327,351</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50,204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76,773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119,063</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573,391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Minority interest</w:t>
            </w:r>
          </w:p>
        </w:tc>
        <w:tc>
          <w:tcPr>
            <w:tcW w:w="120" w:type="dxa"/>
            <w:vAlign w:val="bottom"/>
          </w:tcPr>
          <w:p>
            <w:pPr>
              <w:spacing w:after="0"/>
              <w:rPr>
                <w:sz w:val="13"/>
                <w:szCs w:val="13"/>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1,972</w:t>
            </w:r>
          </w:p>
        </w:tc>
        <w:tc>
          <w:tcPr>
            <w:tcW w:w="10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64,021</w:t>
            </w:r>
          </w:p>
        </w:tc>
        <w:tc>
          <w:tcPr>
            <w:tcW w:w="120" w:type="dxa"/>
            <w:vAlign w:val="bottom"/>
          </w:tcPr>
          <w:p>
            <w:pPr>
              <w:spacing w:after="0"/>
              <w:rPr>
                <w:sz w:val="13"/>
                <w:szCs w:val="13"/>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4,450</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70,443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earnings (loss)</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538,981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83,317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145,258</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196,550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964,106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Assets</w:t>
            </w:r>
          </w:p>
        </w:tc>
        <w:tc>
          <w:tcPr>
            <w:tcW w:w="120" w:type="dxa"/>
            <w:vAlign w:val="bottom"/>
          </w:tcPr>
          <w:p>
            <w:pPr>
              <w:spacing w:after="0"/>
              <w:rPr>
                <w:sz w:val="13"/>
                <w:szCs w:val="13"/>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5,900,533</w:t>
            </w:r>
          </w:p>
        </w:tc>
        <w:tc>
          <w:tcPr>
            <w:tcW w:w="10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428,203</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586,860</w:t>
            </w:r>
          </w:p>
        </w:tc>
        <w:tc>
          <w:tcPr>
            <w:tcW w:w="120" w:type="dxa"/>
            <w:vAlign w:val="bottom"/>
          </w:tcPr>
          <w:p>
            <w:pPr>
              <w:spacing w:after="0"/>
              <w:rPr>
                <w:sz w:val="13"/>
                <w:szCs w:val="13"/>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4,189,021</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11,104,617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1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1,051,526</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23,842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10,780</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1,787,713</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2,873,861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6"/>
        </w:trPr>
        <w:tc>
          <w:tcPr>
            <w:tcW w:w="6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0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114" w:name="page115"/>
    <w:bookmarkEnd w:id="114"/>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As of and for the year ended December 31, 2004 (dollars in thousands):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Fidelity National</w:t>
            </w:r>
          </w:p>
        </w:tc>
        <w:tc>
          <w:tcPr>
            <w:tcW w:w="100" w:type="dxa"/>
            <w:vAlign w:val="bottom"/>
          </w:tcPr>
          <w:p>
            <w:pPr>
              <w:spacing w:after="0"/>
              <w:rPr>
                <w:sz w:val="10"/>
                <w:szCs w:val="10"/>
                <w:color w:val="auto"/>
              </w:rPr>
            </w:pPr>
          </w:p>
        </w:tc>
        <w:tc>
          <w:tcPr>
            <w:tcW w:w="8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Specialty</w:t>
            </w:r>
          </w:p>
        </w:tc>
        <w:tc>
          <w:tcPr>
            <w:tcW w:w="9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Corporate</w:t>
            </w:r>
          </w:p>
        </w:tc>
        <w:tc>
          <w:tcPr>
            <w:tcW w:w="120" w:type="dxa"/>
            <w:vAlign w:val="bottom"/>
          </w:tcPr>
          <w:p>
            <w:pPr>
              <w:spacing w:after="0"/>
              <w:rPr>
                <w:sz w:val="10"/>
                <w:szCs w:val="10"/>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Fidelity National</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tcPr>
          <w:p>
            <w:pPr>
              <w:jc w:val="center"/>
              <w:ind w:right="420"/>
              <w:spacing w:after="0" w:line="108" w:lineRule="exact"/>
              <w:rPr>
                <w:sz w:val="20"/>
                <w:szCs w:val="20"/>
                <w:color w:val="auto"/>
              </w:rPr>
            </w:pPr>
            <w:r>
              <w:rPr>
                <w:rFonts w:ascii="Times New Roman" w:cs="Times New Roman" w:eastAsia="Times New Roman" w:hAnsi="Times New Roman"/>
                <w:sz w:val="10"/>
                <w:szCs w:val="10"/>
                <w:b w:val="1"/>
                <w:bCs w:val="1"/>
                <w:color w:val="auto"/>
              </w:rPr>
              <w:t>Information</w:t>
            </w:r>
          </w:p>
        </w:tc>
        <w:tc>
          <w:tcPr>
            <w:tcW w:w="80" w:type="dxa"/>
            <w:vAlign w:val="bottom"/>
          </w:tcPr>
          <w:p>
            <w:pPr>
              <w:spacing w:after="0"/>
              <w:rPr>
                <w:sz w:val="9"/>
                <w:szCs w:val="9"/>
                <w:color w:val="auto"/>
              </w:rPr>
            </w:pPr>
          </w:p>
        </w:tc>
        <w:tc>
          <w:tcPr>
            <w:tcW w:w="10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Eliminations</w:t>
            </w:r>
          </w:p>
        </w:tc>
        <w:tc>
          <w:tcPr>
            <w:tcW w:w="180" w:type="dxa"/>
            <w:vAlign w:val="bottom"/>
          </w:tcPr>
          <w:p>
            <w:pPr>
              <w:spacing w:after="0"/>
              <w:rPr>
                <w:sz w:val="9"/>
                <w:szCs w:val="9"/>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Title Group, Inc.</w:t>
            </w:r>
          </w:p>
        </w:tc>
        <w:tc>
          <w:tcPr>
            <w:tcW w:w="100" w:type="dxa"/>
            <w:vAlign w:val="bottom"/>
          </w:tcPr>
          <w:p>
            <w:pPr>
              <w:spacing w:after="0"/>
              <w:rPr>
                <w:sz w:val="11"/>
                <w:szCs w:val="11"/>
                <w:color w:val="auto"/>
              </w:rPr>
            </w:pP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Insurance</w:t>
            </w:r>
          </w:p>
        </w:tc>
        <w:tc>
          <w:tcPr>
            <w:tcW w:w="80" w:type="dxa"/>
            <w:vAlign w:val="bottom"/>
          </w:tcPr>
          <w:p>
            <w:pPr>
              <w:spacing w:after="0"/>
              <w:rPr>
                <w:sz w:val="11"/>
                <w:szCs w:val="11"/>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w w:val="99"/>
              </w:rPr>
              <w:t>and Other</w:t>
            </w:r>
          </w:p>
        </w:tc>
        <w:tc>
          <w:tcPr>
            <w:tcW w:w="120" w:type="dxa"/>
            <w:vAlign w:val="bottom"/>
          </w:tcPr>
          <w:p>
            <w:pPr>
              <w:spacing w:after="0"/>
              <w:rPr>
                <w:sz w:val="11"/>
                <w:szCs w:val="11"/>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Services, Inc.</w:t>
            </w: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3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Title premiums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4,718,217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21,111</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94,296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(94,296)</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4,739,328</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Other revenues</w:t>
            </w:r>
          </w:p>
        </w:tc>
        <w:tc>
          <w:tcPr>
            <w:tcW w:w="140" w:type="dxa"/>
            <w:vAlign w:val="bottom"/>
          </w:tcPr>
          <w:p>
            <w:pPr>
              <w:spacing w:after="0"/>
              <w:rPr>
                <w:sz w:val="13"/>
                <w:szCs w:val="13"/>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1,083,363</w:t>
            </w:r>
          </w:p>
        </w:tc>
        <w:tc>
          <w:tcPr>
            <w:tcW w:w="10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239,256</w:t>
            </w:r>
          </w:p>
        </w:tc>
        <w:tc>
          <w:tcPr>
            <w:tcW w:w="8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(9,156)</w:t>
            </w:r>
          </w:p>
        </w:tc>
        <w:tc>
          <w:tcPr>
            <w:tcW w:w="120" w:type="dxa"/>
            <w:vAlign w:val="bottom"/>
          </w:tcPr>
          <w:p>
            <w:pPr>
              <w:spacing w:after="0"/>
              <w:rPr>
                <w:sz w:val="13"/>
                <w:szCs w:val="13"/>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2,237,231</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(101,855)</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3,448,839</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Intersegment revenue</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(196,151)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196,151</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5,801,580</w:t>
            </w:r>
          </w:p>
        </w:tc>
        <w:tc>
          <w:tcPr>
            <w:tcW w:w="3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239,256</w:t>
            </w:r>
          </w:p>
        </w:tc>
        <w:tc>
          <w:tcPr>
            <w:tcW w:w="2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11,955</w:t>
            </w:r>
          </w:p>
        </w:tc>
        <w:tc>
          <w:tcPr>
            <w:tcW w:w="300" w:type="dxa"/>
            <w:vAlign w:val="bottom"/>
          </w:tcPr>
          <w:p>
            <w:pPr>
              <w:spacing w:after="0"/>
              <w:rPr>
                <w:sz w:val="13"/>
                <w:szCs w:val="13"/>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2,135,376</w:t>
            </w:r>
          </w:p>
        </w:tc>
        <w:tc>
          <w:tcPr>
            <w:tcW w:w="3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96"/>
              </w:rPr>
              <w:t>8,188,167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Interest and investment income, including realized gains</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and (losses)</w:t>
            </w: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87,651</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3,564</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2,332</w:t>
            </w: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14,106</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107,653</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5,889,231</w:t>
            </w: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242,820</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14,287</w:t>
            </w:r>
          </w:p>
        </w:tc>
        <w:tc>
          <w:tcPr>
            <w:tcW w:w="3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2,149,482</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96"/>
              </w:rPr>
              <w:t>8,295,820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95,718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3,259</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1,057</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238,400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338,434</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40" w:type="dxa"/>
            <w:vAlign w:val="bottom"/>
          </w:tcPr>
          <w:p>
            <w:pPr>
              <w:spacing w:after="0"/>
              <w:rPr>
                <w:sz w:val="13"/>
                <w:szCs w:val="13"/>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3,885</w:t>
            </w:r>
          </w:p>
        </w:tc>
        <w:tc>
          <w:tcPr>
            <w:tcW w:w="10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38,829</w:t>
            </w:r>
          </w:p>
        </w:tc>
        <w:tc>
          <w:tcPr>
            <w:tcW w:w="120" w:type="dxa"/>
            <w:vAlign w:val="bottom"/>
          </w:tcPr>
          <w:p>
            <w:pPr>
              <w:spacing w:after="0"/>
              <w:rPr>
                <w:sz w:val="13"/>
                <w:szCs w:val="13"/>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4,496</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47,214</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(loss) before income tax and minority interest</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882,927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31,552</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(39,827)</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309,439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1,184,091</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40" w:type="dxa"/>
            <w:vAlign w:val="bottom"/>
          </w:tcPr>
          <w:p>
            <w:pPr>
              <w:spacing w:after="0"/>
              <w:rPr>
                <w:sz w:val="13"/>
                <w:szCs w:val="13"/>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323,598</w:t>
            </w:r>
          </w:p>
        </w:tc>
        <w:tc>
          <w:tcPr>
            <w:tcW w:w="10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11,674</w:t>
            </w:r>
          </w:p>
        </w:tc>
        <w:tc>
          <w:tcPr>
            <w:tcW w:w="8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(13,508)</w:t>
            </w:r>
          </w:p>
        </w:tc>
        <w:tc>
          <w:tcPr>
            <w:tcW w:w="120" w:type="dxa"/>
            <w:vAlign w:val="bottom"/>
          </w:tcPr>
          <w:p>
            <w:pPr>
              <w:spacing w:after="0"/>
              <w:rPr>
                <w:sz w:val="13"/>
                <w:szCs w:val="13"/>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116,350</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438,114</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Minority interest</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1,165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177</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3,673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5,015</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Net earnings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558,164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19,878</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(26,496)</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189,416</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740,962</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Assets</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5,074,091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201,140</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(7,552)</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4,002,856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9,270,535</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Goodwill</w:t>
            </w:r>
          </w:p>
        </w:tc>
        <w:tc>
          <w:tcPr>
            <w:tcW w:w="14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959,600</w:t>
            </w:r>
          </w:p>
        </w:tc>
        <w:tc>
          <w:tcPr>
            <w:tcW w:w="10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22,669</w:t>
            </w:r>
          </w:p>
        </w:tc>
        <w:tc>
          <w:tcPr>
            <w:tcW w:w="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58,223</w:t>
            </w:r>
          </w:p>
        </w:tc>
        <w:tc>
          <w:tcPr>
            <w:tcW w:w="12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1,757,757</w:t>
            </w:r>
          </w:p>
        </w:tc>
        <w:tc>
          <w:tcPr>
            <w:tcW w:w="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2,798,249</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activities of the reportable segments include the following:</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Fidelity National Title Group</w:t>
      </w:r>
    </w:p>
    <w:p>
      <w:pPr>
        <w:spacing w:after="0" w:line="100" w:lineRule="exact"/>
        <w:rPr>
          <w:sz w:val="20"/>
          <w:szCs w:val="20"/>
          <w:color w:val="auto"/>
        </w:rPr>
      </w:pPr>
    </w:p>
    <w:p>
      <w:pPr>
        <w:ind w:left="680" w:right="300" w:firstLine="399"/>
        <w:spacing w:after="0" w:line="269" w:lineRule="auto"/>
        <w:rPr>
          <w:sz w:val="20"/>
          <w:szCs w:val="20"/>
          <w:color w:val="auto"/>
        </w:rPr>
      </w:pPr>
      <w:r>
        <w:rPr>
          <w:rFonts w:ascii="Times New Roman" w:cs="Times New Roman" w:eastAsia="Times New Roman" w:hAnsi="Times New Roman"/>
          <w:sz w:val="13"/>
          <w:szCs w:val="13"/>
          <w:color w:val="auto"/>
        </w:rPr>
        <w:t>This segment consists of the operation of FNF’s title insurance underwriters — Fidelity National Title, Chicago Title, Ticor Title, Security Union Title and Alamo Title — which together issued approximately 29.0% of all title insurance policies issued nationally during 2005. This segment provides core title insurance and escrow and other title related services including collection and trust activities, trustee’s sales guarantees, recordings and reconveyances.</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Specialty Insurance</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This segment, consisting of FNF’s various non-title insurance subsidiaries, issues flood, home warranty, homeowners, automobile, and certain niche person lines insurance policies.</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Corporate and Other</w:t>
      </w:r>
    </w:p>
    <w:p>
      <w:pPr>
        <w:spacing w:after="0" w:line="100" w:lineRule="exact"/>
        <w:rPr>
          <w:sz w:val="20"/>
          <w:szCs w:val="20"/>
          <w:color w:val="auto"/>
        </w:rPr>
      </w:pPr>
    </w:p>
    <w:p>
      <w:pPr>
        <w:ind w:left="680" w:right="160" w:firstLine="399"/>
        <w:spacing w:after="0" w:line="286" w:lineRule="auto"/>
        <w:rPr>
          <w:sz w:val="20"/>
          <w:szCs w:val="20"/>
          <w:color w:val="auto"/>
        </w:rPr>
      </w:pPr>
      <w:r>
        <w:rPr>
          <w:rFonts w:ascii="Times New Roman" w:cs="Times New Roman" w:eastAsia="Times New Roman" w:hAnsi="Times New Roman"/>
          <w:sz w:val="13"/>
          <w:szCs w:val="13"/>
          <w:color w:val="auto"/>
        </w:rPr>
        <w:t>The corporate and other segment consists of the operations of the FNF parent holding company, certain other unallocated corporate overhead expenses, and the Company’s share in the operations of certain equity investments, including Sedgwick and Fidelity National Real Estate Solutions.</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15" w:name="page116"/>
    <w:bookmarkEnd w:id="115"/>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 (Continued)</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Fidelity National Information Services, Inc.</w:t>
      </w:r>
    </w:p>
    <w:p>
      <w:pPr>
        <w:spacing w:after="0" w:line="100"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Through October 24, 2006, this segment consisted of the operations of Old FNF’s majority owned subsidiary, FIS, which provided transaction processing services, consisting principally of technology solutions for banks and other financial institutions, credit and debit card services and check risk management and related services for retailers and others. FIS also provided lender processing services, consisting principally of technology solutions for mortgage lenders, selected mortgage origination services such as title agency and closing services, default management and mortgage information services. FIS’s credit and debit card services and check risk management services were added through its merger with Certegy, which closed on February 1, 2006. As a result of that merger, for periods prior to February 1, 2006, these businesses are not included in the financial information in this report. Included in this segment for the years ended December 31, 2005 and 2004 is $9.3 million and $6.3 million, respectively, of pre-tax expenses relating to asset impairment charges pursuant to SFAS No. 144.</w:t>
      </w:r>
    </w:p>
    <w:p>
      <w:pPr>
        <w:spacing w:after="0" w:line="141" w:lineRule="exact"/>
        <w:rPr>
          <w:sz w:val="20"/>
          <w:szCs w:val="20"/>
          <w:color w:val="auto"/>
        </w:rPr>
      </w:pPr>
    </w:p>
    <w:p>
      <w:pPr>
        <w:ind w:left="1080" w:hanging="393"/>
        <w:spacing w:after="0"/>
        <w:tabs>
          <w:tab w:leader="none" w:pos="1080" w:val="left"/>
        </w:tabs>
        <w:numPr>
          <w:ilvl w:val="0"/>
          <w:numId w:val="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Recent Accounting Pronouncements</w:t>
      </w:r>
    </w:p>
    <w:p>
      <w:pPr>
        <w:spacing w:after="0" w:line="98" w:lineRule="exact"/>
        <w:rPr>
          <w:sz w:val="20"/>
          <w:szCs w:val="20"/>
          <w:color w:val="auto"/>
        </w:rPr>
      </w:pPr>
    </w:p>
    <w:p>
      <w:pPr>
        <w:ind w:left="680" w:right="80" w:firstLine="399"/>
        <w:spacing w:after="0" w:line="258" w:lineRule="auto"/>
        <w:rPr>
          <w:sz w:val="20"/>
          <w:szCs w:val="20"/>
          <w:color w:val="auto"/>
        </w:rPr>
      </w:pPr>
      <w:r>
        <w:rPr>
          <w:rFonts w:ascii="Times New Roman" w:cs="Times New Roman" w:eastAsia="Times New Roman" w:hAnsi="Times New Roman"/>
          <w:sz w:val="13"/>
          <w:szCs w:val="13"/>
          <w:color w:val="auto"/>
        </w:rPr>
        <w:t>In September 2006, the Securities and Exchange Commission (“SEC”) issued Staff Accounting Bulletin No. 108 (Topic 1N), “Considering the Effects of Prior Year Misstatements when Quantifying Misstatements in Current Year Financial Statements” (SAB 108). This SAB addresses how the effects of prior-year uncorrected misstatements should be considered when quantifying misstatements in current-year financial statements. SAB 108 requires registrants to quantify misstatements using both the balance sheet and income statement approaches and to evaluate whether either approach results in quantifying an error that is material in light of relevant quantitative and qualitative factors. When the effect of initial adoption is determined to be material, the SAB allows registrants to record that effect as a cumulative effect adjustment to beginning-of-year retained earnings. SAB 108 is effective for annual financial statements covering the first fiscal year ending after November 15, 2006. Management has analyzed the effects of SAB 108 and determined that there are no adjustments required to be made to the Company’s statements of financial condition or results of operations pursuant to SAB 108.</w:t>
      </w:r>
    </w:p>
    <w:p>
      <w:pPr>
        <w:spacing w:after="0" w:line="64"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In June 2006, the FASB issued Interpretation No. 48, “Accounting for Uncertainty in Income Taxes — an interpretation of FASB Statement No. 109” (“FIN 48”). FIN 48 requires an evaluation to determine the likelihood that an uncertain tax position will be sustained upon examination, including resolution of any related appeals or litigation processes. If it is determined that it is more likely than not that an uncertain tax position will be sustained upon examination, the next step is to determine the amount to be recognized. FIN 48 prescribes recognition of the largest amount of tax benefit that is greater than 50 percent likely of being recognized upon ultimate settlement of an uncertain tax position. Such amounts are to be recognized as of the first financial reporting period during which the more-likely-than-not recognition threshold is met. Similarly, an amount that has previously been recognized will be derecognized as of the first financial reporting period during which the more-likely-than-not recognition threshold is not met. FIN 48 is effective for fiscal years beginning after December 15, 2006. Management is currently evaluating the impact on the Company’s statements of financial position and operations.</w:t>
      </w:r>
    </w:p>
    <w:p>
      <w:pPr>
        <w:spacing w:after="0" w:line="2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16" w:name="page117"/>
    <w:bookmarkEnd w:id="116"/>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31" w:lineRule="exact"/>
        <w:rPr>
          <w:sz w:val="20"/>
          <w:szCs w:val="20"/>
          <w:color w:val="auto"/>
        </w:rPr>
      </w:pPr>
    </w:p>
    <w:p>
      <w:pPr>
        <w:ind w:left="680"/>
        <w:spacing w:after="0"/>
        <w:tabs>
          <w:tab w:leader="none" w:pos="1480" w:val="left"/>
        </w:tabs>
        <w:rPr>
          <w:sz w:val="20"/>
          <w:szCs w:val="20"/>
          <w:color w:val="auto"/>
        </w:rPr>
      </w:pPr>
      <w:r>
        <w:rPr>
          <w:rFonts w:ascii="Times New Roman" w:cs="Times New Roman" w:eastAsia="Times New Roman" w:hAnsi="Times New Roman"/>
          <w:sz w:val="13"/>
          <w:szCs w:val="13"/>
          <w:b w:val="1"/>
          <w:bCs w:val="1"/>
          <w:color w:val="auto"/>
        </w:rPr>
        <w:t>Item 9.</w:t>
      </w:r>
      <w:r>
        <w:rPr>
          <w:sz w:val="20"/>
          <w:szCs w:val="20"/>
          <w:color w:val="auto"/>
        </w:rPr>
        <w:tab/>
      </w:r>
      <w:r>
        <w:rPr>
          <w:rFonts w:ascii="Times New Roman" w:cs="Times New Roman" w:eastAsia="Times New Roman" w:hAnsi="Times New Roman"/>
          <w:sz w:val="13"/>
          <w:szCs w:val="13"/>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Times New Roman" w:cs="Times New Roman" w:eastAsia="Times New Roman" w:hAnsi="Times New Roman"/>
          <w:sz w:val="13"/>
          <w:szCs w:val="13"/>
          <w:b w:val="1"/>
          <w:bCs w:val="1"/>
          <w:color w:val="auto"/>
        </w:rPr>
        <w:t>Item 9A.</w:t>
      </w:r>
      <w:r>
        <w:rPr>
          <w:sz w:val="20"/>
          <w:szCs w:val="20"/>
          <w:color w:val="auto"/>
        </w:rPr>
        <w:tab/>
      </w:r>
      <w:r>
        <w:rPr>
          <w:rFonts w:ascii="Times New Roman" w:cs="Times New Roman" w:eastAsia="Times New Roman" w:hAnsi="Times New Roman"/>
          <w:sz w:val="13"/>
          <w:szCs w:val="13"/>
          <w:b w:val="1"/>
          <w:bCs w:val="1"/>
          <w:i w:val="1"/>
          <w:iCs w:val="1"/>
          <w:color w:val="auto"/>
        </w:rPr>
        <w:t>Controls and Procedures</w:t>
      </w:r>
    </w:p>
    <w:p>
      <w:pPr>
        <w:spacing w:after="0" w:line="100"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As of the end of the year covered by this report, the Company carried out an evaluation, under the supervision and with the participation of its principal executive officer and principal financial officer, of the effectiveness of the design and operation of its disclosure controls and procedures, as such term is defined in Rule 13a-15(e) under the Exchange Act. Based on this evaluation, the Company’s principal executive officer and principal financial officer concluded that its disclosure controls and procedures are effective to provide reasonable assurance that its disclosure controls and procedures will timely alert them to material information required to be included in the Company’s periodic SEC reports.</w:t>
      </w:r>
    </w:p>
    <w:p>
      <w:pPr>
        <w:spacing w:after="0" w:line="62" w:lineRule="exact"/>
        <w:rPr>
          <w:sz w:val="20"/>
          <w:szCs w:val="20"/>
          <w:color w:val="auto"/>
        </w:rPr>
      </w:pPr>
    </w:p>
    <w:p>
      <w:pPr>
        <w:ind w:left="680" w:right="320" w:firstLine="399"/>
        <w:spacing w:after="0" w:line="286" w:lineRule="auto"/>
        <w:rPr>
          <w:sz w:val="20"/>
          <w:szCs w:val="20"/>
          <w:color w:val="auto"/>
        </w:rPr>
      </w:pPr>
      <w:r>
        <w:rPr>
          <w:rFonts w:ascii="Times New Roman" w:cs="Times New Roman" w:eastAsia="Times New Roman" w:hAnsi="Times New Roman"/>
          <w:sz w:val="13"/>
          <w:szCs w:val="13"/>
          <w:color w:val="auto"/>
        </w:rPr>
        <w:t>There were no changes in our internal control over financial reporting that occurred during the quarter ended December 31, 2006 that have materially affected, or are reasonably likely to materially affect, our internal control over financial reporting.</w:t>
      </w:r>
    </w:p>
    <w:p>
      <w:pPr>
        <w:spacing w:after="0" w:line="202"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MANAGEMENT’S REPORT ON INTERNAL CONTROL OVER FINANCIAL REPORTING</w:t>
      </w:r>
    </w:p>
    <w:p>
      <w:pPr>
        <w:spacing w:after="0" w:line="98" w:lineRule="exact"/>
        <w:rPr>
          <w:sz w:val="20"/>
          <w:szCs w:val="20"/>
          <w:color w:val="auto"/>
        </w:rPr>
      </w:pPr>
    </w:p>
    <w:p>
      <w:pPr>
        <w:ind w:left="680" w:right="240" w:firstLine="399"/>
        <w:spacing w:after="0" w:line="259" w:lineRule="auto"/>
        <w:rPr>
          <w:sz w:val="20"/>
          <w:szCs w:val="20"/>
          <w:color w:val="auto"/>
        </w:rPr>
      </w:pPr>
      <w:r>
        <w:rPr>
          <w:rFonts w:ascii="Times New Roman" w:cs="Times New Roman" w:eastAsia="Times New Roman" w:hAnsi="Times New Roman"/>
          <w:sz w:val="13"/>
          <w:szCs w:val="13"/>
          <w:color w:val="auto"/>
        </w:rPr>
        <w:t xml:space="preserve">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Management has adopted the framework in </w:t>
      </w:r>
      <w:r>
        <w:rPr>
          <w:rFonts w:ascii="Times New Roman" w:cs="Times New Roman" w:eastAsia="Times New Roman" w:hAnsi="Times New Roman"/>
          <w:sz w:val="13"/>
          <w:szCs w:val="13"/>
          <w:i w:val="1"/>
          <w:iCs w:val="1"/>
          <w:color w:val="auto"/>
        </w:rPr>
        <w:t>Internal Control-Integrated Framework</w:t>
      </w:r>
      <w:r>
        <w:rPr>
          <w:rFonts w:ascii="Times New Roman" w:cs="Times New Roman" w:eastAsia="Times New Roman" w:hAnsi="Times New Roman"/>
          <w:sz w:val="13"/>
          <w:szCs w:val="13"/>
          <w:color w:val="auto"/>
        </w:rPr>
        <w:t xml:space="preserve"> issued by the Committee of Sponsoring Organizations of the Treadway Commission (COSO). Based on our evaluation under this framework, our management concluded that our internal control over financial reporting was effective as of December 31, 2006. Our management’s assessment of the effectiveness of our internal control over financial reporting as of December 31, 2006 has been audited by KPMG LLP, an independent registered public accounting firm, as stated in their report which is included herein.</w:t>
      </w:r>
    </w:p>
    <w:p>
      <w:pPr>
        <w:spacing w:after="0" w:line="139" w:lineRule="exact"/>
        <w:rPr>
          <w:sz w:val="20"/>
          <w:szCs w:val="20"/>
          <w:color w:val="auto"/>
        </w:rPr>
      </w:pPr>
    </w:p>
    <w:p>
      <w:pPr>
        <w:ind w:left="680"/>
        <w:spacing w:after="0"/>
        <w:tabs>
          <w:tab w:leader="none" w:pos="1580" w:val="left"/>
        </w:tabs>
        <w:rPr>
          <w:sz w:val="20"/>
          <w:szCs w:val="20"/>
          <w:color w:val="auto"/>
        </w:rPr>
      </w:pPr>
      <w:r>
        <w:rPr>
          <w:rFonts w:ascii="Times New Roman" w:cs="Times New Roman" w:eastAsia="Times New Roman" w:hAnsi="Times New Roman"/>
          <w:sz w:val="13"/>
          <w:szCs w:val="13"/>
          <w:b w:val="1"/>
          <w:bCs w:val="1"/>
          <w:color w:val="auto"/>
        </w:rPr>
        <w:t>Item 9B.</w:t>
      </w:r>
      <w:r>
        <w:rPr>
          <w:sz w:val="20"/>
          <w:szCs w:val="20"/>
          <w:color w:val="auto"/>
        </w:rPr>
        <w:tab/>
      </w:r>
      <w:r>
        <w:rPr>
          <w:rFonts w:ascii="Times New Roman" w:cs="Times New Roman" w:eastAsia="Times New Roman" w:hAnsi="Times New Roman"/>
          <w:sz w:val="12"/>
          <w:szCs w:val="12"/>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None.</w:t>
      </w:r>
    </w:p>
    <w:p>
      <w:pPr>
        <w:spacing w:after="0" w:line="3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17" w:name="page118"/>
    <w:bookmarkEnd w:id="117"/>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3"/>
          <w:szCs w:val="13"/>
          <w:b w:val="1"/>
          <w:bCs w:val="1"/>
          <w:color w:val="auto"/>
        </w:rPr>
        <w:t>PART III</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Items 10-14.</w:t>
      </w:r>
    </w:p>
    <w:p>
      <w:pPr>
        <w:spacing w:after="0" w:line="98"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Within 120 days after the close of its fiscal year, the Company intends to file with the Securities and Exchange Commission a definitive proxy statement pursuant to Regulation 14A of the Securities Exchange Act of 1934 as amended, which will include the matters required by these items.</w:t>
      </w:r>
    </w:p>
    <w:p>
      <w:pPr>
        <w:spacing w:after="0" w:line="20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3"/>
          <w:szCs w:val="13"/>
          <w:b w:val="1"/>
          <w:bCs w:val="1"/>
          <w:color w:val="auto"/>
        </w:rPr>
        <w:t>PART IV</w:t>
      </w:r>
    </w:p>
    <w:p>
      <w:pPr>
        <w:spacing w:after="0" w:line="173" w:lineRule="exact"/>
        <w:rPr>
          <w:sz w:val="20"/>
          <w:szCs w:val="20"/>
          <w:color w:val="auto"/>
        </w:rPr>
      </w:pPr>
    </w:p>
    <w:p>
      <w:pPr>
        <w:ind w:left="680"/>
        <w:spacing w:after="0"/>
        <w:tabs>
          <w:tab w:leader="none" w:pos="1580" w:val="left"/>
        </w:tabs>
        <w:rPr>
          <w:sz w:val="20"/>
          <w:szCs w:val="20"/>
          <w:color w:val="auto"/>
        </w:rPr>
      </w:pPr>
      <w:r>
        <w:rPr>
          <w:rFonts w:ascii="Times New Roman" w:cs="Times New Roman" w:eastAsia="Times New Roman" w:hAnsi="Times New Roman"/>
          <w:sz w:val="13"/>
          <w:szCs w:val="13"/>
          <w:b w:val="1"/>
          <w:bCs w:val="1"/>
          <w:color w:val="auto"/>
        </w:rPr>
        <w:t>Item 15.</w:t>
      </w:r>
      <w:r>
        <w:rPr>
          <w:sz w:val="20"/>
          <w:szCs w:val="20"/>
          <w:color w:val="auto"/>
        </w:rPr>
        <w:tab/>
      </w:r>
      <w:r>
        <w:rPr>
          <w:rFonts w:ascii="Times New Roman" w:cs="Times New Roman" w:eastAsia="Times New Roman" w:hAnsi="Times New Roman"/>
          <w:sz w:val="13"/>
          <w:szCs w:val="13"/>
          <w:b w:val="1"/>
          <w:bCs w:val="1"/>
          <w:i w:val="1"/>
          <w:iCs w:val="1"/>
          <w:color w:val="auto"/>
        </w:rPr>
        <w:t>Exhibits, Financial Statement Schedules and Reports on Form 8-K</w:t>
      </w:r>
    </w:p>
    <w:p>
      <w:pPr>
        <w:spacing w:after="0" w:line="98" w:lineRule="exact"/>
        <w:rPr>
          <w:sz w:val="20"/>
          <w:szCs w:val="20"/>
          <w:color w:val="auto"/>
        </w:rPr>
      </w:pPr>
    </w:p>
    <w:p>
      <w:pPr>
        <w:ind w:left="1080" w:right="260" w:firstLine="6"/>
        <w:spacing w:after="0" w:line="396" w:lineRule="auto"/>
        <w:tabs>
          <w:tab w:leader="none" w:pos="1258"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 </w:t>
      </w:r>
      <w:r>
        <w:rPr>
          <w:rFonts w:ascii="Times New Roman" w:cs="Times New Roman" w:eastAsia="Times New Roman" w:hAnsi="Times New Roman"/>
          <w:sz w:val="13"/>
          <w:szCs w:val="13"/>
          <w:i w:val="1"/>
          <w:iCs w:val="1"/>
          <w:color w:val="auto"/>
        </w:rPr>
        <w:t>Financial Statements.</w:t>
      </w:r>
      <w:r>
        <w:rPr>
          <w:rFonts w:ascii="Times New Roman" w:cs="Times New Roman" w:eastAsia="Times New Roman" w:hAnsi="Times New Roman"/>
          <w:sz w:val="13"/>
          <w:szCs w:val="13"/>
          <w:color w:val="auto"/>
        </w:rPr>
        <w:t xml:space="preserve"> The following is a list of the Consolidated Financial Statements of Fidelity National Financial, Inc. and its subsidiaries included in Item 8 of Part II: Report of Independent Registered Public Accounting Firm on Effectiveness of Internal Control over Financial Reporting</w:t>
      </w:r>
    </w:p>
    <w:p>
      <w:pPr>
        <w:ind w:left="1080" w:right="5220"/>
        <w:spacing w:after="0" w:line="39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 of Independent Registered Public Accounting Firm on Financial Statements Consolidated Balance Sheets as of December 31, 2006 and 2005</w:t>
      </w:r>
    </w:p>
    <w:p>
      <w:pPr>
        <w:ind w:left="10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Consolidated Statements of Earnings for the years ended December 31, 2006, 2005 and 2004</w:t>
      </w:r>
    </w:p>
    <w:p>
      <w:pPr>
        <w:spacing w:after="0" w:line="96" w:lineRule="exact"/>
        <w:rPr>
          <w:rFonts w:ascii="Times New Roman" w:cs="Times New Roman" w:eastAsia="Times New Roman" w:hAnsi="Times New Roman"/>
          <w:sz w:val="13"/>
          <w:szCs w:val="13"/>
          <w:color w:val="auto"/>
        </w:rPr>
      </w:pPr>
    </w:p>
    <w:p>
      <w:pPr>
        <w:ind w:left="1080" w:right="3840"/>
        <w:spacing w:after="0" w:line="39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Consolidated Statements of Comprehensive Earnings for the years ended December 31, 2006, 2005 and 2004 Consolidated Statements of Stockholders’ Equity for the years ended December 31, 2006, 2005 and 2004 Consolidated Statements of Cash Flows for the years ended December 31, 2006, 2005 and 2004</w:t>
      </w:r>
    </w:p>
    <w:p>
      <w:pPr>
        <w:ind w:left="10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Notes to Consolidated Financial Statements</w:t>
      </w:r>
    </w:p>
    <w:p>
      <w:pPr>
        <w:spacing w:after="0" w:line="94" w:lineRule="exact"/>
        <w:rPr>
          <w:rFonts w:ascii="Times New Roman" w:cs="Times New Roman" w:eastAsia="Times New Roman" w:hAnsi="Times New Roman"/>
          <w:sz w:val="13"/>
          <w:szCs w:val="13"/>
          <w:color w:val="auto"/>
        </w:rPr>
      </w:pPr>
    </w:p>
    <w:p>
      <w:pPr>
        <w:ind w:left="1460" w:right="2080" w:hanging="374"/>
        <w:spacing w:after="0" w:line="394" w:lineRule="auto"/>
        <w:tabs>
          <w:tab w:leader="none" w:pos="1255"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(2) </w:t>
      </w:r>
      <w:r>
        <w:rPr>
          <w:rFonts w:ascii="Times New Roman" w:cs="Times New Roman" w:eastAsia="Times New Roman" w:hAnsi="Times New Roman"/>
          <w:sz w:val="13"/>
          <w:szCs w:val="13"/>
          <w:i w:val="1"/>
          <w:iCs w:val="1"/>
          <w:color w:val="auto"/>
        </w:rPr>
        <w:t>Financial Statement Schedules.</w:t>
      </w:r>
      <w:r>
        <w:rPr>
          <w:rFonts w:ascii="Times New Roman" w:cs="Times New Roman" w:eastAsia="Times New Roman" w:hAnsi="Times New Roman"/>
          <w:sz w:val="13"/>
          <w:szCs w:val="13"/>
          <w:color w:val="auto"/>
        </w:rPr>
        <w:t xml:space="preserve"> The following is a list of financial statement schedules filed as part of this annual report on Form 10-K: </w:t>
      </w:r>
      <w:r>
        <w:rPr>
          <w:rFonts w:ascii="Times New Roman" w:cs="Times New Roman" w:eastAsia="Times New Roman" w:hAnsi="Times New Roman"/>
          <w:sz w:val="13"/>
          <w:szCs w:val="13"/>
          <w:i w:val="1"/>
          <w:iCs w:val="1"/>
          <w:color w:val="auto"/>
        </w:rPr>
        <w:t xml:space="preserve">Schedule II: </w:t>
      </w:r>
      <w:r>
        <w:rPr>
          <w:rFonts w:ascii="Times New Roman" w:cs="Times New Roman" w:eastAsia="Times New Roman" w:hAnsi="Times New Roman"/>
          <w:sz w:val="13"/>
          <w:szCs w:val="13"/>
          <w:color w:val="auto"/>
        </w:rPr>
        <w:t>Fidelity National Financial, Inc. (Parent Company Financial Statements)</w:t>
      </w:r>
    </w:p>
    <w:p>
      <w:pPr>
        <w:ind w:left="14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Schedule V: </w:t>
      </w:r>
      <w:r>
        <w:rPr>
          <w:rFonts w:ascii="Times New Roman" w:cs="Times New Roman" w:eastAsia="Times New Roman" w:hAnsi="Times New Roman"/>
          <w:sz w:val="13"/>
          <w:szCs w:val="13"/>
          <w:color w:val="auto"/>
        </w:rPr>
        <w:t>Valuation and Qualifying Accounts</w:t>
      </w:r>
    </w:p>
    <w:p>
      <w:pPr>
        <w:spacing w:after="0" w:line="98" w:lineRule="exact"/>
        <w:rPr>
          <w:rFonts w:ascii="Times New Roman" w:cs="Times New Roman" w:eastAsia="Times New Roman" w:hAnsi="Times New Roman"/>
          <w:sz w:val="13"/>
          <w:szCs w:val="13"/>
          <w:color w:val="auto"/>
        </w:rPr>
      </w:pPr>
    </w:p>
    <w:p>
      <w:pPr>
        <w:ind w:left="10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schedules are omitted because they are not applicable or not required, or because the required information is included in the Consolidated Financial Statements or notes</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thereto.</w:t>
      </w:r>
    </w:p>
    <w:p>
      <w:pPr>
        <w:spacing w:after="0" w:line="8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 (3) The following exhibits are incorporated by reference or are set forth on pages to this Form 10-K:</w:t>
      </w:r>
    </w:p>
    <w:p>
      <w:pPr>
        <w:spacing w:after="0" w:line="172" w:lineRule="exact"/>
        <w:rPr>
          <w:sz w:val="20"/>
          <w:szCs w:val="20"/>
          <w:color w:val="auto"/>
        </w:rPr>
      </w:pPr>
    </w:p>
    <w:tbl>
      <w:tblPr>
        <w:tblLayout w:type="fixed"/>
        <w:tblInd w:w="880" w:type="dxa"/>
        <w:tblCellMar>
          <w:top w:w="0" w:type="dxa"/>
          <w:left w:w="0" w:type="dxa"/>
          <w:bottom w:w="0" w:type="dxa"/>
          <w:right w:w="0" w:type="dxa"/>
        </w:tblCellMar>
      </w:tblPr>
      <w:tr>
        <w:trPr>
          <w:trHeight w:val="115"/>
        </w:trPr>
        <w:tc>
          <w:tcPr>
            <w:tcW w:w="2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2860" w:type="dxa"/>
            <w:vAlign w:val="bottom"/>
            <w:vMerge w:val="restart"/>
          </w:tcPr>
          <w:p>
            <w:pPr>
              <w:ind w:left="2340"/>
              <w:spacing w:after="0"/>
              <w:rPr>
                <w:sz w:val="20"/>
                <w:szCs w:val="20"/>
                <w:color w:val="auto"/>
              </w:rPr>
            </w:pPr>
            <w:r>
              <w:rPr>
                <w:rFonts w:ascii="Times New Roman" w:cs="Times New Roman" w:eastAsia="Times New Roman" w:hAnsi="Times New Roman"/>
                <w:sz w:val="10"/>
                <w:szCs w:val="10"/>
                <w:b w:val="1"/>
                <w:bCs w:val="1"/>
                <w:u w:val="single" w:color="auto"/>
                <w:color w:val="auto"/>
              </w:rPr>
              <w:t>D</w:t>
            </w:r>
            <w:r>
              <w:rPr>
                <w:rFonts w:ascii="Times New Roman" w:cs="Times New Roman" w:eastAsia="Times New Roman" w:hAnsi="Times New Roman"/>
                <w:sz w:val="10"/>
                <w:szCs w:val="10"/>
                <w:b w:val="1"/>
                <w:bCs w:val="1"/>
                <w:color w:val="auto"/>
              </w:rPr>
              <w:t>escription</w:t>
            </w:r>
          </w:p>
        </w:tc>
        <w:tc>
          <w:tcPr>
            <w:tcW w:w="0" w:type="dxa"/>
            <w:vAlign w:val="bottom"/>
          </w:tcPr>
          <w:p>
            <w:pPr>
              <w:spacing w:after="0"/>
              <w:rPr>
                <w:sz w:val="1"/>
                <w:szCs w:val="1"/>
                <w:color w:val="auto"/>
              </w:rPr>
            </w:pPr>
          </w:p>
        </w:tc>
      </w:tr>
      <w:tr>
        <w:trPr>
          <w:trHeight w:val="139"/>
        </w:trPr>
        <w:tc>
          <w:tcPr>
            <w:tcW w:w="286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2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wp:posOffset>
            </wp:positionV>
            <wp:extent cx="635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4" w:lineRule="exact"/>
        <w:rPr>
          <w:sz w:val="20"/>
          <w:szCs w:val="20"/>
          <w:color w:val="auto"/>
        </w:rPr>
      </w:pPr>
    </w:p>
    <w:p>
      <w:pPr>
        <w:ind w:left="1600" w:right="20" w:hanging="556"/>
        <w:spacing w:after="0" w:line="263" w:lineRule="auto"/>
        <w:tabs>
          <w:tab w:leader="none" w:pos="1580" w:val="left"/>
        </w:tabs>
        <w:rPr>
          <w:sz w:val="20"/>
          <w:szCs w:val="20"/>
          <w:color w:val="auto"/>
        </w:rPr>
      </w:pPr>
      <w:r>
        <w:rPr>
          <w:rFonts w:ascii="Times New Roman" w:cs="Times New Roman" w:eastAsia="Times New Roman" w:hAnsi="Times New Roman"/>
          <w:sz w:val="13"/>
          <w:szCs w:val="13"/>
          <w:color w:val="auto"/>
        </w:rPr>
        <w:t>2.1</w:t>
      </w:r>
      <w:r>
        <w:rPr>
          <w:sz w:val="20"/>
          <w:szCs w:val="20"/>
          <w:color w:val="auto"/>
        </w:rPr>
        <w:tab/>
      </w:r>
      <w:r>
        <w:rPr>
          <w:rFonts w:ascii="Times New Roman" w:cs="Times New Roman" w:eastAsia="Times New Roman" w:hAnsi="Times New Roman"/>
          <w:sz w:val="13"/>
          <w:szCs w:val="13"/>
          <w:color w:val="auto"/>
        </w:rPr>
        <w:t>Amended and Restated Securities Exchange and Distribution Agreement dated as of September 18, 2006, as amended (incorporated by reference to Annex A to Registrant’s Schedule 14C filed on September 19, 2006).</w:t>
      </w:r>
    </w:p>
    <w:p>
      <w:pPr>
        <w:ind w:left="1600" w:right="40" w:hanging="556"/>
        <w:spacing w:after="0" w:line="252" w:lineRule="auto"/>
        <w:tabs>
          <w:tab w:leader="none" w:pos="1580" w:val="left"/>
        </w:tabs>
        <w:rPr>
          <w:sz w:val="20"/>
          <w:szCs w:val="20"/>
          <w:color w:val="auto"/>
        </w:rPr>
      </w:pPr>
      <w:r>
        <w:rPr>
          <w:rFonts w:ascii="Times New Roman" w:cs="Times New Roman" w:eastAsia="Times New Roman" w:hAnsi="Times New Roman"/>
          <w:sz w:val="13"/>
          <w:szCs w:val="13"/>
          <w:color w:val="auto"/>
        </w:rPr>
        <w:t>3.1</w:t>
      </w:r>
      <w:r>
        <w:rPr>
          <w:sz w:val="20"/>
          <w:szCs w:val="20"/>
          <w:color w:val="auto"/>
        </w:rPr>
        <w:tab/>
      </w:r>
      <w:r>
        <w:rPr>
          <w:rFonts w:ascii="Times New Roman" w:cs="Times New Roman" w:eastAsia="Times New Roman" w:hAnsi="Times New Roman"/>
          <w:sz w:val="13"/>
          <w:szCs w:val="13"/>
          <w:color w:val="auto"/>
        </w:rPr>
        <w:t>Amended and Restated Certificate of Incorporation, incorporated by reference to Annex C to the Registrant’s Schedule 14C (File No. 1-32630) filed on September 19, 2006 (the “Information Statement”).</w:t>
      </w:r>
    </w:p>
    <w:p>
      <w:pPr>
        <w:spacing w:after="0" w:line="1" w:lineRule="exact"/>
        <w:rPr>
          <w:sz w:val="20"/>
          <w:szCs w:val="20"/>
          <w:color w:val="auto"/>
        </w:rPr>
      </w:pPr>
    </w:p>
    <w:p>
      <w:pPr>
        <w:ind w:left="1040"/>
        <w:spacing w:after="0"/>
        <w:tabs>
          <w:tab w:leader="none" w:pos="1580" w:val="left"/>
        </w:tabs>
        <w:rPr>
          <w:sz w:val="20"/>
          <w:szCs w:val="20"/>
          <w:color w:val="auto"/>
        </w:rPr>
      </w:pPr>
      <w:r>
        <w:rPr>
          <w:rFonts w:ascii="Times New Roman" w:cs="Times New Roman" w:eastAsia="Times New Roman" w:hAnsi="Times New Roman"/>
          <w:sz w:val="13"/>
          <w:szCs w:val="13"/>
          <w:color w:val="auto"/>
        </w:rPr>
        <w:t>3.2</w:t>
      </w:r>
      <w:r>
        <w:rPr>
          <w:sz w:val="20"/>
          <w:szCs w:val="20"/>
          <w:color w:val="auto"/>
        </w:rPr>
        <w:tab/>
      </w:r>
      <w:r>
        <w:rPr>
          <w:rFonts w:ascii="Times New Roman" w:cs="Times New Roman" w:eastAsia="Times New Roman" w:hAnsi="Times New Roman"/>
          <w:sz w:val="13"/>
          <w:szCs w:val="13"/>
          <w:color w:val="auto"/>
        </w:rPr>
        <w:t>Amended and Restated Bylaws of the Registrant.†</w:t>
      </w:r>
    </w:p>
    <w:p>
      <w:pPr>
        <w:spacing w:after="0" w:line="8" w:lineRule="exact"/>
        <w:rPr>
          <w:sz w:val="20"/>
          <w:szCs w:val="20"/>
          <w:color w:val="auto"/>
        </w:rPr>
      </w:pPr>
    </w:p>
    <w:p>
      <w:pPr>
        <w:ind w:left="1600" w:right="220" w:hanging="556"/>
        <w:spacing w:after="0" w:line="252" w:lineRule="auto"/>
        <w:tabs>
          <w:tab w:leader="none" w:pos="1580" w:val="left"/>
        </w:tabs>
        <w:rPr>
          <w:sz w:val="20"/>
          <w:szCs w:val="20"/>
          <w:color w:val="auto"/>
        </w:rPr>
      </w:pPr>
      <w:r>
        <w:rPr>
          <w:rFonts w:ascii="Times New Roman" w:cs="Times New Roman" w:eastAsia="Times New Roman" w:hAnsi="Times New Roman"/>
          <w:sz w:val="13"/>
          <w:szCs w:val="13"/>
          <w:color w:val="auto"/>
        </w:rPr>
        <w:t>4.1</w:t>
      </w:r>
      <w:r>
        <w:rPr>
          <w:sz w:val="20"/>
          <w:szCs w:val="20"/>
          <w:color w:val="auto"/>
        </w:rPr>
        <w:tab/>
      </w:r>
      <w:r>
        <w:rPr>
          <w:rFonts w:ascii="Times New Roman" w:cs="Times New Roman" w:eastAsia="Times New Roman" w:hAnsi="Times New Roman"/>
          <w:sz w:val="13"/>
          <w:szCs w:val="13"/>
          <w:color w:val="auto"/>
        </w:rPr>
        <w:t>Indenture between the Registrant and The Bank of New York Trust Company, N.A. relating to the notes referred to below, incorporated by reference to Exhibit 4.1 to the Registrant’s annual report on Form 10-K for the year ended December 31, 2005.</w:t>
      </w:r>
    </w:p>
    <w:p>
      <w:pPr>
        <w:spacing w:after="0" w:line="1" w:lineRule="exact"/>
        <w:rPr>
          <w:sz w:val="20"/>
          <w:szCs w:val="20"/>
          <w:color w:val="auto"/>
        </w:rPr>
      </w:pPr>
    </w:p>
    <w:p>
      <w:pPr>
        <w:ind w:left="1600" w:hanging="556"/>
        <w:spacing w:after="0" w:line="252" w:lineRule="auto"/>
        <w:tabs>
          <w:tab w:leader="none" w:pos="1580" w:val="left"/>
        </w:tabs>
        <w:rPr>
          <w:sz w:val="20"/>
          <w:szCs w:val="20"/>
          <w:color w:val="auto"/>
        </w:rPr>
      </w:pPr>
      <w:r>
        <w:rPr>
          <w:rFonts w:ascii="Times New Roman" w:cs="Times New Roman" w:eastAsia="Times New Roman" w:hAnsi="Times New Roman"/>
          <w:sz w:val="13"/>
          <w:szCs w:val="13"/>
          <w:color w:val="auto"/>
        </w:rPr>
        <w:t>4.2</w:t>
      </w:r>
      <w:r>
        <w:rPr>
          <w:sz w:val="20"/>
          <w:szCs w:val="20"/>
          <w:color w:val="auto"/>
        </w:rPr>
        <w:tab/>
      </w:r>
      <w:r>
        <w:rPr>
          <w:rFonts w:ascii="Times New Roman" w:cs="Times New Roman" w:eastAsia="Times New Roman" w:hAnsi="Times New Roman"/>
          <w:sz w:val="13"/>
          <w:szCs w:val="13"/>
          <w:color w:val="auto"/>
        </w:rPr>
        <w:t>Supplemental Indenture, dated as of January 6, 2006, between the Registrant and the Bank of New York Trust Company, N.A. incorporated by reference to Exhibit 4.1 to the Registrant’s current report on Form 8-K (File No. 1-32630) filed on January 24, 2006.</w:t>
      </w:r>
    </w:p>
    <w:p>
      <w:pPr>
        <w:spacing w:after="0" w:line="1" w:lineRule="exact"/>
        <w:rPr>
          <w:sz w:val="20"/>
          <w:szCs w:val="20"/>
          <w:color w:val="auto"/>
        </w:rPr>
      </w:pPr>
    </w:p>
    <w:p>
      <w:pPr>
        <w:ind w:left="1040"/>
        <w:spacing w:after="0"/>
        <w:tabs>
          <w:tab w:leader="none" w:pos="1580" w:val="left"/>
        </w:tabs>
        <w:rPr>
          <w:sz w:val="20"/>
          <w:szCs w:val="20"/>
          <w:color w:val="auto"/>
        </w:rPr>
      </w:pPr>
      <w:r>
        <w:rPr>
          <w:rFonts w:ascii="Times New Roman" w:cs="Times New Roman" w:eastAsia="Times New Roman" w:hAnsi="Times New Roman"/>
          <w:sz w:val="13"/>
          <w:szCs w:val="13"/>
          <w:color w:val="auto"/>
        </w:rPr>
        <w:t>4.3</w:t>
      </w:r>
      <w:r>
        <w:rPr>
          <w:sz w:val="20"/>
          <w:szCs w:val="20"/>
          <w:color w:val="auto"/>
        </w:rPr>
        <w:tab/>
      </w:r>
      <w:r>
        <w:rPr>
          <w:rFonts w:ascii="Times New Roman" w:cs="Times New Roman" w:eastAsia="Times New Roman" w:hAnsi="Times New Roman"/>
          <w:sz w:val="13"/>
          <w:szCs w:val="13"/>
          <w:color w:val="auto"/>
        </w:rPr>
        <w:t>Form of 7.30% note due August 15, 2011.††</w:t>
      </w:r>
    </w:p>
    <w:p>
      <w:pPr>
        <w:spacing w:after="0" w:line="8" w:lineRule="exact"/>
        <w:rPr>
          <w:sz w:val="20"/>
          <w:szCs w:val="20"/>
          <w:color w:val="auto"/>
        </w:rPr>
      </w:pPr>
    </w:p>
    <w:p>
      <w:pPr>
        <w:ind w:left="1040"/>
        <w:spacing w:after="0"/>
        <w:tabs>
          <w:tab w:leader="none" w:pos="1580" w:val="left"/>
        </w:tabs>
        <w:rPr>
          <w:sz w:val="20"/>
          <w:szCs w:val="20"/>
          <w:color w:val="auto"/>
        </w:rPr>
      </w:pPr>
      <w:r>
        <w:rPr>
          <w:rFonts w:ascii="Times New Roman" w:cs="Times New Roman" w:eastAsia="Times New Roman" w:hAnsi="Times New Roman"/>
          <w:sz w:val="13"/>
          <w:szCs w:val="13"/>
          <w:color w:val="auto"/>
        </w:rPr>
        <w:t>4.4</w:t>
      </w:r>
      <w:r>
        <w:rPr>
          <w:sz w:val="20"/>
          <w:szCs w:val="20"/>
          <w:color w:val="auto"/>
        </w:rPr>
        <w:tab/>
      </w:r>
      <w:r>
        <w:rPr>
          <w:rFonts w:ascii="Times New Roman" w:cs="Times New Roman" w:eastAsia="Times New Roman" w:hAnsi="Times New Roman"/>
          <w:sz w:val="13"/>
          <w:szCs w:val="13"/>
          <w:color w:val="auto"/>
        </w:rPr>
        <w:t>Form of 5.25% note due March 15, 2013.††</w:t>
      </w:r>
    </w:p>
    <w:p>
      <w:pPr>
        <w:spacing w:after="0" w:line="8" w:lineRule="exact"/>
        <w:rPr>
          <w:sz w:val="20"/>
          <w:szCs w:val="20"/>
          <w:color w:val="auto"/>
        </w:rPr>
      </w:pPr>
    </w:p>
    <w:p>
      <w:pPr>
        <w:ind w:left="1040"/>
        <w:spacing w:after="0"/>
        <w:tabs>
          <w:tab w:leader="none" w:pos="1580" w:val="left"/>
        </w:tabs>
        <w:rPr>
          <w:sz w:val="20"/>
          <w:szCs w:val="20"/>
          <w:color w:val="auto"/>
        </w:rPr>
      </w:pPr>
      <w:r>
        <w:rPr>
          <w:rFonts w:ascii="Times New Roman" w:cs="Times New Roman" w:eastAsia="Times New Roman" w:hAnsi="Times New Roman"/>
          <w:sz w:val="13"/>
          <w:szCs w:val="13"/>
          <w:color w:val="auto"/>
        </w:rPr>
        <w:t>4.5</w:t>
      </w:r>
      <w:r>
        <w:rPr>
          <w:sz w:val="20"/>
          <w:szCs w:val="20"/>
          <w:color w:val="auto"/>
        </w:rPr>
        <w:tab/>
      </w:r>
      <w:r>
        <w:rPr>
          <w:rFonts w:ascii="Times New Roman" w:cs="Times New Roman" w:eastAsia="Times New Roman" w:hAnsi="Times New Roman"/>
          <w:sz w:val="13"/>
          <w:szCs w:val="13"/>
          <w:color w:val="auto"/>
        </w:rPr>
        <w:t>Form of Specimen Common Stock Certificate.</w:t>
      </w:r>
    </w:p>
    <w:p>
      <w:pPr>
        <w:spacing w:after="0" w:line="2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18" w:name="page119"/>
    <w:bookmarkEnd w:id="118"/>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900" w:type="dxa"/>
        <w:tblCellMar>
          <w:top w:w="0" w:type="dxa"/>
          <w:left w:w="0" w:type="dxa"/>
          <w:bottom w:w="0" w:type="dxa"/>
          <w:right w:w="0" w:type="dxa"/>
        </w:tblCellMar>
      </w:tblPr>
      <w:tr>
        <w:trPr>
          <w:trHeight w:val="115"/>
        </w:trPr>
        <w:tc>
          <w:tcPr>
            <w:tcW w:w="2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2860" w:type="dxa"/>
            <w:vAlign w:val="bottom"/>
            <w:vMerge w:val="restart"/>
          </w:tcPr>
          <w:p>
            <w:pPr>
              <w:ind w:left="2340"/>
              <w:spacing w:after="0"/>
              <w:rPr>
                <w:sz w:val="20"/>
                <w:szCs w:val="20"/>
                <w:color w:val="auto"/>
              </w:rPr>
            </w:pPr>
            <w:r>
              <w:rPr>
                <w:rFonts w:ascii="Times New Roman" w:cs="Times New Roman" w:eastAsia="Times New Roman" w:hAnsi="Times New Roman"/>
                <w:sz w:val="10"/>
                <w:szCs w:val="10"/>
                <w:b w:val="1"/>
                <w:bCs w:val="1"/>
                <w:u w:val="single" w:color="auto"/>
                <w:color w:val="auto"/>
              </w:rPr>
              <w:t>D</w:t>
            </w:r>
            <w:r>
              <w:rPr>
                <w:rFonts w:ascii="Times New Roman" w:cs="Times New Roman" w:eastAsia="Times New Roman" w:hAnsi="Times New Roman"/>
                <w:sz w:val="10"/>
                <w:szCs w:val="10"/>
                <w:b w:val="1"/>
                <w:bCs w:val="1"/>
                <w:color w:val="auto"/>
              </w:rPr>
              <w:t>escription</w:t>
            </w:r>
          </w:p>
        </w:tc>
        <w:tc>
          <w:tcPr>
            <w:tcW w:w="0" w:type="dxa"/>
            <w:vAlign w:val="bottom"/>
          </w:tcPr>
          <w:p>
            <w:pPr>
              <w:spacing w:after="0"/>
              <w:rPr>
                <w:sz w:val="1"/>
                <w:szCs w:val="1"/>
                <w:color w:val="auto"/>
              </w:rPr>
            </w:pPr>
          </w:p>
        </w:tc>
      </w:tr>
      <w:tr>
        <w:trPr>
          <w:trHeight w:val="139"/>
        </w:trPr>
        <w:tc>
          <w:tcPr>
            <w:tcW w:w="286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2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-1270</wp:posOffset>
            </wp:positionV>
            <wp:extent cx="635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4" w:lineRule="exact"/>
        <w:rPr>
          <w:sz w:val="20"/>
          <w:szCs w:val="20"/>
          <w:color w:val="auto"/>
        </w:rPr>
      </w:pPr>
    </w:p>
    <w:p>
      <w:pPr>
        <w:jc w:val="center"/>
        <w:ind w:left="1360"/>
        <w:spacing w:after="0" w:line="262" w:lineRule="auto"/>
        <w:rPr>
          <w:sz w:val="20"/>
          <w:szCs w:val="20"/>
          <w:color w:val="auto"/>
        </w:rPr>
      </w:pPr>
      <w:r>
        <w:rPr>
          <w:rFonts w:ascii="Times New Roman" w:cs="Times New Roman" w:eastAsia="Times New Roman" w:hAnsi="Times New Roman"/>
          <w:sz w:val="13"/>
          <w:szCs w:val="13"/>
          <w:color w:val="auto"/>
        </w:rPr>
        <w:t>10.1    Credit Agreement, dated as of September 12, 2006 between the Registrant, Bank of America, N.A., as Administrative Agent and Swing Line Lender, and certain agents and other lenders party thereto, incorporated by reference to Exhibit 10.1 to the Registrant’s current report on Form 8-K (File No. 1-32630) filed on October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-198755</wp:posOffset>
            </wp:positionV>
            <wp:extent cx="6335395" cy="2000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35395" cy="200025"/>
                    </a:xfrm>
                    <a:prstGeom prst="rect">
                      <a:avLst/>
                    </a:prstGeom>
                    <a:noFill/>
                  </pic:spPr>
                </pic:pic>
              </a:graphicData>
            </a:graphic>
          </wp:anchor>
        </w:drawing>
      </w:r>
    </w:p>
    <w:p>
      <w:pPr>
        <w:ind w:left="1140"/>
        <w:spacing w:after="0"/>
        <w:tabs>
          <w:tab w:leader="none" w:pos="1620" w:val="left"/>
        </w:tabs>
        <w:rPr>
          <w:sz w:val="20"/>
          <w:szCs w:val="20"/>
          <w:color w:val="auto"/>
        </w:rPr>
      </w:pPr>
      <w:r>
        <w:rPr>
          <w:rFonts w:ascii="Times New Roman" w:cs="Times New Roman" w:eastAsia="Times New Roman" w:hAnsi="Times New Roman"/>
          <w:sz w:val="13"/>
          <w:szCs w:val="13"/>
          <w:color w:val="auto"/>
        </w:rPr>
        <w:t>10.2</w:t>
      </w:r>
      <w:r>
        <w:rPr>
          <w:sz w:val="20"/>
          <w:szCs w:val="20"/>
          <w:color w:val="auto"/>
        </w:rPr>
        <w:tab/>
      </w:r>
      <w:r>
        <w:rPr>
          <w:rFonts w:ascii="Times New Roman" w:cs="Times New Roman" w:eastAsia="Times New Roman" w:hAnsi="Times New Roman"/>
          <w:sz w:val="13"/>
          <w:szCs w:val="13"/>
          <w:color w:val="auto"/>
        </w:rPr>
        <w:t>Fidelity National Title Group, Inc. 2005 Omnibus Incentive Plan, as amended, incorporated by reference to Annex D to the Information Statement.</w:t>
      </w:r>
      <w:r>
        <w:rPr>
          <w:rFonts w:ascii="Times New Roman" w:cs="Times New Roman" w:eastAsia="Times New Roman" w:hAnsi="Times New Roman"/>
          <w:sz w:val="11"/>
          <w:szCs w:val="11"/>
          <w:color w:val="auto"/>
        </w:rPr>
        <w:t>(1)</w:t>
      </w:r>
    </w:p>
    <w:p>
      <w:pPr>
        <w:spacing w:after="0" w:line="8" w:lineRule="exact"/>
        <w:rPr>
          <w:sz w:val="20"/>
          <w:szCs w:val="20"/>
          <w:color w:val="auto"/>
        </w:rPr>
      </w:pPr>
    </w:p>
    <w:p>
      <w:pPr>
        <w:ind w:left="1140"/>
        <w:spacing w:after="0"/>
        <w:tabs>
          <w:tab w:leader="none" w:pos="1620" w:val="left"/>
        </w:tabs>
        <w:rPr>
          <w:sz w:val="20"/>
          <w:szCs w:val="20"/>
          <w:color w:val="auto"/>
        </w:rPr>
      </w:pPr>
      <w:r>
        <w:rPr>
          <w:rFonts w:ascii="Times New Roman" w:cs="Times New Roman" w:eastAsia="Times New Roman" w:hAnsi="Times New Roman"/>
          <w:sz w:val="13"/>
          <w:szCs w:val="13"/>
          <w:color w:val="auto"/>
        </w:rPr>
        <w:t>10.3</w:t>
      </w:r>
      <w:r>
        <w:rPr>
          <w:sz w:val="20"/>
          <w:szCs w:val="20"/>
          <w:color w:val="auto"/>
        </w:rPr>
        <w:tab/>
      </w:r>
      <w:r>
        <w:rPr>
          <w:rFonts w:ascii="Times New Roman" w:cs="Times New Roman" w:eastAsia="Times New Roman" w:hAnsi="Times New Roman"/>
          <w:sz w:val="13"/>
          <w:szCs w:val="13"/>
          <w:color w:val="auto"/>
        </w:rPr>
        <w:t>Fidelity National Title Group, Inc. Employee Stock Purchase Plan.†</w:t>
      </w: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-93980</wp:posOffset>
            </wp:positionV>
            <wp:extent cx="6335395" cy="996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1640" w:right="180" w:hanging="494"/>
        <w:spacing w:after="0" w:line="251" w:lineRule="auto"/>
        <w:tabs>
          <w:tab w:leader="none" w:pos="162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Form of Notice of Restricted Stock Grant and Restricted Stock Grant Agreement, incorporated by reference to the Registrant’s Registration Statement on Form S-1 (File No. 333-126402) filed on September 15, 2005.</w:t>
      </w:r>
      <w:r>
        <w:rPr>
          <w:rFonts w:ascii="Times New Roman" w:cs="Times New Roman" w:eastAsia="Times New Roman" w:hAnsi="Times New Roman"/>
          <w:sz w:val="11"/>
          <w:szCs w:val="11"/>
          <w:color w:val="auto"/>
        </w:rPr>
        <w:t>(1)</w:t>
      </w:r>
    </w:p>
    <w:p>
      <w:pPr>
        <w:ind w:left="1140"/>
        <w:spacing w:after="0"/>
        <w:tabs>
          <w:tab w:leader="none" w:pos="1620" w:val="left"/>
        </w:tabs>
        <w:rPr>
          <w:sz w:val="20"/>
          <w:szCs w:val="20"/>
          <w:color w:val="auto"/>
        </w:rPr>
      </w:pPr>
      <w:r>
        <w:rPr>
          <w:rFonts w:ascii="Times New Roman" w:cs="Times New Roman" w:eastAsia="Times New Roman" w:hAnsi="Times New Roman"/>
          <w:sz w:val="13"/>
          <w:szCs w:val="13"/>
          <w:color w:val="auto"/>
        </w:rPr>
        <w:t>10.5</w:t>
      </w:r>
      <w:r>
        <w:rPr>
          <w:sz w:val="20"/>
          <w:szCs w:val="20"/>
          <w:color w:val="auto"/>
        </w:rPr>
        <w:tab/>
      </w:r>
      <w:r>
        <w:rPr>
          <w:rFonts w:ascii="Times New Roman" w:cs="Times New Roman" w:eastAsia="Times New Roman" w:hAnsi="Times New Roman"/>
          <w:sz w:val="13"/>
          <w:szCs w:val="13"/>
          <w:color w:val="auto"/>
        </w:rPr>
        <w:t>Fidelity Sedgwick Holdings, Inc. 2006 Stock Incentive Plan (the “FSH Plan”), incorporated by reference from Current Report on Form 8-K dated February 6, 2006.</w:t>
      </w: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-93980</wp:posOffset>
            </wp:positionV>
            <wp:extent cx="6335395" cy="996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1140"/>
        <w:spacing w:after="0"/>
        <w:tabs>
          <w:tab w:leader="none" w:pos="1620" w:val="left"/>
        </w:tabs>
        <w:rPr>
          <w:sz w:val="20"/>
          <w:szCs w:val="20"/>
          <w:color w:val="auto"/>
        </w:rPr>
      </w:pPr>
      <w:r>
        <w:rPr>
          <w:rFonts w:ascii="Times New Roman" w:cs="Times New Roman" w:eastAsia="Times New Roman" w:hAnsi="Times New Roman"/>
          <w:sz w:val="13"/>
          <w:szCs w:val="13"/>
          <w:color w:val="auto"/>
        </w:rPr>
        <w:t>10.6</w:t>
      </w:r>
      <w:r>
        <w:rPr>
          <w:sz w:val="20"/>
          <w:szCs w:val="20"/>
          <w:color w:val="auto"/>
        </w:rPr>
        <w:tab/>
      </w:r>
      <w:r>
        <w:rPr>
          <w:rFonts w:ascii="Times New Roman" w:cs="Times New Roman" w:eastAsia="Times New Roman" w:hAnsi="Times New Roman"/>
          <w:sz w:val="13"/>
          <w:szCs w:val="13"/>
          <w:color w:val="auto"/>
        </w:rPr>
        <w:t>Form of Award Agreement under the FSH Plan, incorporated by reference from Current Report on Form 8-K dated February 6, 2006.</w:t>
      </w: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5715</wp:posOffset>
            </wp:positionV>
            <wp:extent cx="6335395" cy="2000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335395" cy="200025"/>
                    </a:xfrm>
                    <a:prstGeom prst="rect">
                      <a:avLst/>
                    </a:prstGeom>
                    <a:noFill/>
                  </pic:spPr>
                </pic:pic>
              </a:graphicData>
            </a:graphic>
          </wp:anchor>
        </w:drawing>
      </w:r>
    </w:p>
    <w:p>
      <w:pPr>
        <w:ind w:left="1640" w:right="400" w:hanging="494"/>
        <w:spacing w:after="0" w:line="252" w:lineRule="auto"/>
        <w:tabs>
          <w:tab w:leader="none" w:pos="1620" w:val="left"/>
        </w:tabs>
        <w:rPr>
          <w:sz w:val="20"/>
          <w:szCs w:val="20"/>
          <w:color w:val="auto"/>
        </w:rPr>
      </w:pPr>
      <w:r>
        <w:rPr>
          <w:rFonts w:ascii="Times New Roman" w:cs="Times New Roman" w:eastAsia="Times New Roman" w:hAnsi="Times New Roman"/>
          <w:sz w:val="13"/>
          <w:szCs w:val="13"/>
          <w:color w:val="auto"/>
        </w:rPr>
        <w:t>10.7</w:t>
      </w:r>
      <w:r>
        <w:rPr>
          <w:sz w:val="20"/>
          <w:szCs w:val="20"/>
          <w:color w:val="auto"/>
        </w:rPr>
        <w:tab/>
      </w:r>
      <w:r>
        <w:rPr>
          <w:rFonts w:ascii="Times New Roman" w:cs="Times New Roman" w:eastAsia="Times New Roman" w:hAnsi="Times New Roman"/>
          <w:sz w:val="13"/>
          <w:szCs w:val="13"/>
          <w:color w:val="auto"/>
        </w:rPr>
        <w:t>Tax Disaffiliation Agreement, dated as of October 23, 2006, by and among Old FNF, the Registrant and FIS (incorporated by reference to Exhibit 99.1 to Old FNF’s Form 8-K, filed October 27, 2006).</w:t>
      </w:r>
    </w:p>
    <w:p>
      <w:pPr>
        <w:spacing w:after="0" w:line="1" w:lineRule="exact"/>
        <w:rPr>
          <w:sz w:val="20"/>
          <w:szCs w:val="20"/>
          <w:color w:val="auto"/>
        </w:rPr>
      </w:pPr>
    </w:p>
    <w:p>
      <w:pPr>
        <w:ind w:left="1640" w:right="40" w:hanging="494"/>
        <w:spacing w:after="0" w:line="251" w:lineRule="auto"/>
        <w:tabs>
          <w:tab w:leader="none" w:pos="1620" w:val="left"/>
        </w:tabs>
        <w:rPr>
          <w:sz w:val="20"/>
          <w:szCs w:val="20"/>
          <w:color w:val="auto"/>
        </w:rPr>
      </w:pPr>
      <w:r>
        <w:rPr>
          <w:rFonts w:ascii="Times New Roman" w:cs="Times New Roman" w:eastAsia="Times New Roman" w:hAnsi="Times New Roman"/>
          <w:sz w:val="13"/>
          <w:szCs w:val="13"/>
          <w:color w:val="auto"/>
        </w:rPr>
        <w:t>10.8</w:t>
      </w:r>
      <w:r>
        <w:rPr>
          <w:sz w:val="20"/>
          <w:szCs w:val="20"/>
          <w:color w:val="auto"/>
        </w:rPr>
        <w:tab/>
      </w:r>
      <w:r>
        <w:rPr>
          <w:rFonts w:ascii="Times New Roman" w:cs="Times New Roman" w:eastAsia="Times New Roman" w:hAnsi="Times New Roman"/>
          <w:sz w:val="13"/>
          <w:szCs w:val="13"/>
          <w:color w:val="auto"/>
        </w:rPr>
        <w:t>Cross Indemnity Agreement, dated as of October 23, 2006, by and between the Registrant and FIS (incorporated by reference to Exhibit 99.2 to Old FNF’s Form 8-K, filed October 27, 2006).</w:t>
      </w:r>
    </w:p>
    <w:p>
      <w:pPr>
        <w:ind w:left="1140"/>
        <w:spacing w:after="0"/>
        <w:tabs>
          <w:tab w:leader="none" w:pos="1620" w:val="left"/>
        </w:tabs>
        <w:rPr>
          <w:sz w:val="20"/>
          <w:szCs w:val="20"/>
          <w:color w:val="auto"/>
        </w:rPr>
      </w:pPr>
      <w:r>
        <w:rPr>
          <w:rFonts w:ascii="Times New Roman" w:cs="Times New Roman" w:eastAsia="Times New Roman" w:hAnsi="Times New Roman"/>
          <w:sz w:val="13"/>
          <w:szCs w:val="13"/>
          <w:color w:val="auto"/>
        </w:rPr>
        <w:t>10.9</w:t>
      </w:r>
      <w:r>
        <w:rPr>
          <w:sz w:val="20"/>
          <w:szCs w:val="20"/>
          <w:color w:val="auto"/>
        </w:rPr>
        <w:tab/>
      </w:r>
      <w:r>
        <w:rPr>
          <w:rFonts w:ascii="Times New Roman" w:cs="Times New Roman" w:eastAsia="Times New Roman" w:hAnsi="Times New Roman"/>
          <w:sz w:val="13"/>
          <w:szCs w:val="13"/>
          <w:color w:val="auto"/>
        </w:rPr>
        <w:t>Employment Agreement effective as of December 22, 2006 between the Registrant and Anthony J. Park.</w:t>
      </w: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-93980</wp:posOffset>
            </wp:positionV>
            <wp:extent cx="6335395" cy="996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1140"/>
        <w:spacing w:after="0"/>
        <w:tabs>
          <w:tab w:leader="none" w:pos="1620" w:val="left"/>
        </w:tabs>
        <w:rPr>
          <w:sz w:val="20"/>
          <w:szCs w:val="20"/>
          <w:color w:val="auto"/>
        </w:rPr>
      </w:pPr>
      <w:r>
        <w:rPr>
          <w:rFonts w:ascii="Times New Roman" w:cs="Times New Roman" w:eastAsia="Times New Roman" w:hAnsi="Times New Roman"/>
          <w:sz w:val="13"/>
          <w:szCs w:val="13"/>
          <w:color w:val="auto"/>
        </w:rPr>
        <w:t>10.10</w:t>
        <w:tab/>
        <w:t>Employment Agreement effective as of October 24, 2006 between the Registrant and Brent B. Bickett.</w:t>
      </w:r>
      <w:r>
        <w:rPr>
          <w:rFonts w:ascii="Times New Roman" w:cs="Times New Roman" w:eastAsia="Times New Roman" w:hAnsi="Times New Roman"/>
          <w:sz w:val="11"/>
          <w:szCs w:val="11"/>
          <w:color w:val="auto"/>
        </w:rPr>
        <w:t>(1)</w:t>
      </w:r>
    </w:p>
    <w:p>
      <w:pPr>
        <w:spacing w:after="0" w:line="8" w:lineRule="exact"/>
        <w:rPr>
          <w:sz w:val="20"/>
          <w:szCs w:val="20"/>
          <w:color w:val="auto"/>
        </w:rPr>
      </w:pPr>
    </w:p>
    <w:p>
      <w:pPr>
        <w:ind w:left="1140"/>
        <w:spacing w:after="0"/>
        <w:tabs>
          <w:tab w:leader="none" w:pos="1620" w:val="left"/>
        </w:tabs>
        <w:rPr>
          <w:sz w:val="20"/>
          <w:szCs w:val="20"/>
          <w:color w:val="auto"/>
        </w:rPr>
      </w:pPr>
      <w:r>
        <w:rPr>
          <w:rFonts w:ascii="Times New Roman" w:cs="Times New Roman" w:eastAsia="Times New Roman" w:hAnsi="Times New Roman"/>
          <w:sz w:val="13"/>
          <w:szCs w:val="13"/>
          <w:color w:val="auto"/>
        </w:rPr>
        <w:t>10.11</w:t>
      </w:r>
      <w:r>
        <w:rPr>
          <w:sz w:val="20"/>
          <w:szCs w:val="20"/>
          <w:color w:val="auto"/>
        </w:rPr>
        <w:tab/>
      </w:r>
      <w:r>
        <w:rPr>
          <w:rFonts w:ascii="Times New Roman" w:cs="Times New Roman" w:eastAsia="Times New Roman" w:hAnsi="Times New Roman"/>
          <w:sz w:val="13"/>
          <w:szCs w:val="13"/>
          <w:color w:val="auto"/>
        </w:rPr>
        <w:t>Employment Agreement effective as of October 24, 2006 between the Registrant and Peter T. Sadowski.</w:t>
      </w: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-93980</wp:posOffset>
            </wp:positionV>
            <wp:extent cx="6335395" cy="996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1140"/>
        <w:spacing w:after="0"/>
        <w:tabs>
          <w:tab w:leader="none" w:pos="1620" w:val="left"/>
        </w:tabs>
        <w:rPr>
          <w:sz w:val="20"/>
          <w:szCs w:val="20"/>
          <w:color w:val="auto"/>
        </w:rPr>
      </w:pPr>
      <w:r>
        <w:rPr>
          <w:rFonts w:ascii="Times New Roman" w:cs="Times New Roman" w:eastAsia="Times New Roman" w:hAnsi="Times New Roman"/>
          <w:sz w:val="13"/>
          <w:szCs w:val="13"/>
          <w:color w:val="auto"/>
        </w:rPr>
        <w:t>10.12</w:t>
        <w:tab/>
        <w:t>Employment Agreement effective as of October 24, 2006 between the Registrant and William P. Foley.</w:t>
      </w:r>
      <w:r>
        <w:rPr>
          <w:rFonts w:ascii="Times New Roman" w:cs="Times New Roman" w:eastAsia="Times New Roman" w:hAnsi="Times New Roman"/>
          <w:sz w:val="11"/>
          <w:szCs w:val="11"/>
          <w:color w:val="auto"/>
        </w:rPr>
        <w:t>(1)</w:t>
      </w:r>
    </w:p>
    <w:p>
      <w:pPr>
        <w:spacing w:after="0" w:line="8" w:lineRule="exact"/>
        <w:rPr>
          <w:sz w:val="20"/>
          <w:szCs w:val="20"/>
          <w:color w:val="auto"/>
        </w:rPr>
      </w:pPr>
    </w:p>
    <w:p>
      <w:pPr>
        <w:ind w:left="1140"/>
        <w:spacing w:after="0"/>
        <w:tabs>
          <w:tab w:leader="none" w:pos="1620" w:val="left"/>
        </w:tabs>
        <w:rPr>
          <w:sz w:val="20"/>
          <w:szCs w:val="20"/>
          <w:color w:val="auto"/>
        </w:rPr>
      </w:pPr>
      <w:r>
        <w:rPr>
          <w:rFonts w:ascii="Times New Roman" w:cs="Times New Roman" w:eastAsia="Times New Roman" w:hAnsi="Times New Roman"/>
          <w:sz w:val="13"/>
          <w:szCs w:val="13"/>
          <w:color w:val="auto"/>
        </w:rPr>
        <w:t>10.13</w:t>
        <w:tab/>
        <w:t>Employment Agreement effective as of October 24, 2006 between the Registrant and Alan L. Stinson.</w:t>
      </w: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-93980</wp:posOffset>
            </wp:positionV>
            <wp:extent cx="6335395" cy="996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1140"/>
        <w:spacing w:after="0"/>
        <w:tabs>
          <w:tab w:leader="none" w:pos="1620" w:val="left"/>
        </w:tabs>
        <w:rPr>
          <w:sz w:val="20"/>
          <w:szCs w:val="20"/>
          <w:color w:val="auto"/>
        </w:rPr>
      </w:pPr>
      <w:r>
        <w:rPr>
          <w:rFonts w:ascii="Times New Roman" w:cs="Times New Roman" w:eastAsia="Times New Roman" w:hAnsi="Times New Roman"/>
          <w:sz w:val="13"/>
          <w:szCs w:val="13"/>
          <w:color w:val="auto"/>
        </w:rPr>
        <w:t>10.14</w:t>
        <w:tab/>
        <w:t>Employment Agreement effective as of October 24, 2006 between the Registrant and Raymond R. Quirk.</w:t>
      </w:r>
      <w:r>
        <w:rPr>
          <w:rFonts w:ascii="Times New Roman" w:cs="Times New Roman" w:eastAsia="Times New Roman" w:hAnsi="Times New Roman"/>
          <w:sz w:val="11"/>
          <w:szCs w:val="11"/>
          <w:color w:val="auto"/>
        </w:rPr>
        <w:t>(1)</w:t>
      </w:r>
    </w:p>
    <w:p>
      <w:pPr>
        <w:spacing w:after="0" w:line="8" w:lineRule="exact"/>
        <w:rPr>
          <w:sz w:val="20"/>
          <w:szCs w:val="20"/>
          <w:color w:val="auto"/>
        </w:rPr>
      </w:pPr>
    </w:p>
    <w:p>
      <w:pPr>
        <w:ind w:left="1140"/>
        <w:spacing w:after="0"/>
        <w:tabs>
          <w:tab w:leader="none" w:pos="1620" w:val="left"/>
        </w:tabs>
        <w:rPr>
          <w:sz w:val="20"/>
          <w:szCs w:val="20"/>
          <w:color w:val="auto"/>
        </w:rPr>
      </w:pPr>
      <w:r>
        <w:rPr>
          <w:rFonts w:ascii="Times New Roman" w:cs="Times New Roman" w:eastAsia="Times New Roman" w:hAnsi="Times New Roman"/>
          <w:sz w:val="13"/>
          <w:szCs w:val="13"/>
          <w:color w:val="auto"/>
        </w:rPr>
        <w:t>10.15</w:t>
        <w:tab/>
        <w:t>Fidelity National Title Group, Inc., Annual Incentive Plan, incorporated by reference to Annex E to the Information Statement.</w:t>
      </w: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-93980</wp:posOffset>
            </wp:positionV>
            <wp:extent cx="6335395" cy="996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1140"/>
        <w:spacing w:after="0"/>
        <w:tabs>
          <w:tab w:leader="none" w:pos="1620" w:val="left"/>
        </w:tabs>
        <w:rPr>
          <w:sz w:val="20"/>
          <w:szCs w:val="20"/>
          <w:color w:val="auto"/>
        </w:rPr>
      </w:pPr>
      <w:r>
        <w:rPr>
          <w:rFonts w:ascii="Times New Roman" w:cs="Times New Roman" w:eastAsia="Times New Roman" w:hAnsi="Times New Roman"/>
          <w:sz w:val="13"/>
          <w:szCs w:val="13"/>
          <w:color w:val="auto"/>
        </w:rPr>
        <w:t>10.16</w:t>
        <w:tab/>
        <w:t>Form of Option Agreement under the Fidelity National Title Group, Inc. 2005 Omnibus Incentive Plan.</w:t>
      </w:r>
      <w:r>
        <w:rPr>
          <w:rFonts w:ascii="Times New Roman" w:cs="Times New Roman" w:eastAsia="Times New Roman" w:hAnsi="Times New Roman"/>
          <w:sz w:val="11"/>
          <w:szCs w:val="11"/>
          <w:color w:val="auto"/>
        </w:rPr>
        <w:t>(1)</w:t>
      </w:r>
    </w:p>
    <w:p>
      <w:pPr>
        <w:spacing w:after="0" w:line="8" w:lineRule="exact"/>
        <w:rPr>
          <w:sz w:val="20"/>
          <w:szCs w:val="20"/>
          <w:color w:val="auto"/>
        </w:rPr>
      </w:pPr>
    </w:p>
    <w:p>
      <w:pPr>
        <w:ind w:left="1140"/>
        <w:spacing w:after="0"/>
        <w:tabs>
          <w:tab w:leader="none" w:pos="1620" w:val="left"/>
        </w:tabs>
        <w:rPr>
          <w:sz w:val="20"/>
          <w:szCs w:val="20"/>
          <w:color w:val="auto"/>
        </w:rPr>
      </w:pPr>
      <w:r>
        <w:rPr>
          <w:rFonts w:ascii="Times New Roman" w:cs="Times New Roman" w:eastAsia="Times New Roman" w:hAnsi="Times New Roman"/>
          <w:sz w:val="13"/>
          <w:szCs w:val="13"/>
          <w:color w:val="auto"/>
        </w:rPr>
        <w:t>10.17</w:t>
        <w:tab/>
        <w:t>Form of Option Agreement under the Fidelity National Title Group, Inc. 2005 Omnibus Incentive Plan.</w:t>
      </w: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-93980</wp:posOffset>
            </wp:positionV>
            <wp:extent cx="6335395" cy="996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1140"/>
        <w:spacing w:after="0"/>
        <w:tabs>
          <w:tab w:leader="none" w:pos="1620" w:val="left"/>
        </w:tabs>
        <w:rPr>
          <w:sz w:val="20"/>
          <w:szCs w:val="20"/>
          <w:color w:val="auto"/>
        </w:rPr>
      </w:pPr>
      <w:r>
        <w:rPr>
          <w:rFonts w:ascii="Times New Roman" w:cs="Times New Roman" w:eastAsia="Times New Roman" w:hAnsi="Times New Roman"/>
          <w:sz w:val="13"/>
          <w:szCs w:val="13"/>
          <w:color w:val="auto"/>
        </w:rPr>
        <w:t>21.1</w:t>
      </w:r>
      <w:r>
        <w:rPr>
          <w:sz w:val="20"/>
          <w:szCs w:val="20"/>
          <w:color w:val="auto"/>
        </w:rPr>
        <w:tab/>
      </w:r>
      <w:r>
        <w:rPr>
          <w:rFonts w:ascii="Times New Roman" w:cs="Times New Roman" w:eastAsia="Times New Roman" w:hAnsi="Times New Roman"/>
          <w:sz w:val="13"/>
          <w:szCs w:val="13"/>
          <w:color w:val="auto"/>
        </w:rPr>
        <w:t>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4445</wp:posOffset>
            </wp:positionV>
            <wp:extent cx="6335395" cy="996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1140"/>
        <w:spacing w:after="0"/>
        <w:tabs>
          <w:tab w:leader="none" w:pos="1620" w:val="left"/>
        </w:tabs>
        <w:rPr>
          <w:sz w:val="20"/>
          <w:szCs w:val="20"/>
          <w:color w:val="auto"/>
        </w:rPr>
      </w:pPr>
      <w:r>
        <w:rPr>
          <w:rFonts w:ascii="Times New Roman" w:cs="Times New Roman" w:eastAsia="Times New Roman" w:hAnsi="Times New Roman"/>
          <w:sz w:val="13"/>
          <w:szCs w:val="13"/>
          <w:color w:val="auto"/>
        </w:rPr>
        <w:t>23.1</w:t>
      </w:r>
      <w:r>
        <w:rPr>
          <w:sz w:val="20"/>
          <w:szCs w:val="20"/>
          <w:color w:val="auto"/>
        </w:rPr>
        <w:tab/>
      </w:r>
      <w:r>
        <w:rPr>
          <w:rFonts w:ascii="Times New Roman" w:cs="Times New Roman" w:eastAsia="Times New Roman" w:hAnsi="Times New Roman"/>
          <w:sz w:val="13"/>
          <w:szCs w:val="13"/>
          <w:color w:val="auto"/>
        </w:rPr>
        <w:t>Consents of KPMG LLP, Independent Registered Public Accounting Firm.</w:t>
      </w:r>
    </w:p>
    <w:p>
      <w:pPr>
        <w:spacing w:after="0" w:line="8" w:lineRule="exact"/>
        <w:rPr>
          <w:sz w:val="20"/>
          <w:szCs w:val="20"/>
          <w:color w:val="auto"/>
        </w:rPr>
      </w:pPr>
    </w:p>
    <w:p>
      <w:pPr>
        <w:ind w:left="1140"/>
        <w:spacing w:after="0"/>
        <w:tabs>
          <w:tab w:leader="none" w:pos="1620" w:val="left"/>
        </w:tabs>
        <w:rPr>
          <w:sz w:val="20"/>
          <w:szCs w:val="20"/>
          <w:color w:val="auto"/>
        </w:rPr>
      </w:pPr>
      <w:r>
        <w:rPr>
          <w:rFonts w:ascii="Times New Roman" w:cs="Times New Roman" w:eastAsia="Times New Roman" w:hAnsi="Times New Roman"/>
          <w:sz w:val="13"/>
          <w:szCs w:val="13"/>
          <w:color w:val="auto"/>
        </w:rPr>
        <w:t>31.1</w:t>
      </w:r>
      <w:r>
        <w:rPr>
          <w:sz w:val="20"/>
          <w:szCs w:val="20"/>
          <w:color w:val="auto"/>
        </w:rPr>
        <w:tab/>
      </w:r>
      <w:r>
        <w:rPr>
          <w:rFonts w:ascii="Times New Roman" w:cs="Times New Roman" w:eastAsia="Times New Roman" w:hAnsi="Times New Roman"/>
          <w:sz w:val="13"/>
          <w:szCs w:val="13"/>
          <w:color w:val="auto"/>
        </w:rPr>
        <w:t>Certification of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4445</wp:posOffset>
            </wp:positionV>
            <wp:extent cx="6335395" cy="996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1140"/>
        <w:spacing w:after="0"/>
        <w:tabs>
          <w:tab w:leader="none" w:pos="1620" w:val="left"/>
        </w:tabs>
        <w:rPr>
          <w:sz w:val="20"/>
          <w:szCs w:val="20"/>
          <w:color w:val="auto"/>
        </w:rPr>
      </w:pPr>
      <w:r>
        <w:rPr>
          <w:rFonts w:ascii="Times New Roman" w:cs="Times New Roman" w:eastAsia="Times New Roman" w:hAnsi="Times New Roman"/>
          <w:sz w:val="13"/>
          <w:szCs w:val="13"/>
          <w:color w:val="auto"/>
        </w:rPr>
        <w:t>31.2</w:t>
      </w:r>
      <w:r>
        <w:rPr>
          <w:sz w:val="20"/>
          <w:szCs w:val="20"/>
          <w:color w:val="auto"/>
        </w:rPr>
        <w:tab/>
      </w:r>
      <w:r>
        <w:rPr>
          <w:rFonts w:ascii="Times New Roman" w:cs="Times New Roman" w:eastAsia="Times New Roman" w:hAnsi="Times New Roman"/>
          <w:sz w:val="13"/>
          <w:szCs w:val="13"/>
          <w:color w:val="auto"/>
        </w:rPr>
        <w:t>Certification of Chief Financial Officer pursuant to Section 302 of the Sarbanes-Oxley Act of 2002.</w:t>
      </w:r>
    </w:p>
    <w:p>
      <w:pPr>
        <w:spacing w:after="0" w:line="8" w:lineRule="exact"/>
        <w:rPr>
          <w:sz w:val="20"/>
          <w:szCs w:val="20"/>
          <w:color w:val="auto"/>
        </w:rPr>
      </w:pPr>
    </w:p>
    <w:p>
      <w:pPr>
        <w:ind w:left="1140"/>
        <w:spacing w:after="0"/>
        <w:tabs>
          <w:tab w:leader="none" w:pos="1620" w:val="left"/>
        </w:tabs>
        <w:rPr>
          <w:sz w:val="20"/>
          <w:szCs w:val="20"/>
          <w:color w:val="auto"/>
        </w:rPr>
      </w:pPr>
      <w:r>
        <w:rPr>
          <w:rFonts w:ascii="Times New Roman" w:cs="Times New Roman" w:eastAsia="Times New Roman" w:hAnsi="Times New Roman"/>
          <w:sz w:val="13"/>
          <w:szCs w:val="13"/>
          <w:color w:val="auto"/>
        </w:rPr>
        <w:t>32.1</w:t>
      </w:r>
      <w:r>
        <w:rPr>
          <w:sz w:val="20"/>
          <w:szCs w:val="20"/>
          <w:color w:val="auto"/>
        </w:rPr>
        <w:tab/>
      </w:r>
      <w:r>
        <w:rPr>
          <w:rFonts w:ascii="Times New Roman" w:cs="Times New Roman" w:eastAsia="Times New Roman" w:hAnsi="Times New Roman"/>
          <w:sz w:val="13"/>
          <w:szCs w:val="13"/>
          <w:color w:val="auto"/>
        </w:rPr>
        <w:t>Certification by Chief Executive Officer of Periodic Financial Reports pursuant to Section 906 of the Sarbanes-Oxley Act of 2002,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4445</wp:posOffset>
            </wp:positionV>
            <wp:extent cx="6335395" cy="996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1140"/>
        <w:spacing w:after="0"/>
        <w:tabs>
          <w:tab w:leader="none" w:pos="1620" w:val="left"/>
        </w:tabs>
        <w:rPr>
          <w:sz w:val="20"/>
          <w:szCs w:val="20"/>
          <w:color w:val="auto"/>
        </w:rPr>
      </w:pPr>
      <w:r>
        <w:rPr>
          <w:rFonts w:ascii="Times New Roman" w:cs="Times New Roman" w:eastAsia="Times New Roman" w:hAnsi="Times New Roman"/>
          <w:sz w:val="13"/>
          <w:szCs w:val="13"/>
          <w:color w:val="auto"/>
        </w:rPr>
        <w:t>32.2</w:t>
      </w:r>
      <w:r>
        <w:rPr>
          <w:sz w:val="20"/>
          <w:szCs w:val="20"/>
          <w:color w:val="auto"/>
        </w:rPr>
        <w:tab/>
      </w:r>
      <w:r>
        <w:rPr>
          <w:rFonts w:ascii="Times New Roman" w:cs="Times New Roman" w:eastAsia="Times New Roman" w:hAnsi="Times New Roman"/>
          <w:sz w:val="13"/>
          <w:szCs w:val="13"/>
          <w:color w:val="auto"/>
        </w:rPr>
        <w:t>Certification by Chief Financial Officer of Periodic Financial Reports pursuant to Section 906 of the Sarbanes-Oxley Act of 2002, 18 U.S.C. Section 1350.</w:t>
      </w:r>
    </w:p>
    <w:p>
      <w:pPr>
        <w:spacing w:after="0" w:line="102" w:lineRule="exact"/>
        <w:rPr>
          <w:sz w:val="20"/>
          <w:szCs w:val="20"/>
          <w:color w:val="auto"/>
        </w:rPr>
      </w:pPr>
    </w:p>
    <w:p>
      <w:pPr>
        <w:ind w:left="1180" w:hanging="493"/>
        <w:spacing w:after="0"/>
        <w:tabs>
          <w:tab w:leader="none" w:pos="11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Incorporated by reference to the Registrant’s Quarterly Report on Form 10-Q for the quarter ended September 30, 2005 (File No. 1-32630).</w:t>
      </w:r>
    </w:p>
    <w:p>
      <w:pPr>
        <w:spacing w:after="0" w:line="21" w:lineRule="exact"/>
        <w:rPr>
          <w:rFonts w:ascii="Times New Roman" w:cs="Times New Roman" w:eastAsia="Times New Roman" w:hAnsi="Times New Roman"/>
          <w:sz w:val="13"/>
          <w:szCs w:val="13"/>
          <w:color w:val="auto"/>
        </w:rPr>
      </w:pPr>
    </w:p>
    <w:p>
      <w:pPr>
        <w:ind w:left="6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††Incorporated by reference to the Registration Statement on Form S-4 (File No. 333-129310) filed on October 28, 2005.</w:t>
      </w:r>
    </w:p>
    <w:p>
      <w:pPr>
        <w:spacing w:after="0" w:line="7" w:lineRule="exact"/>
        <w:rPr>
          <w:rFonts w:ascii="Times New Roman" w:cs="Times New Roman" w:eastAsia="Times New Roman" w:hAnsi="Times New Roman"/>
          <w:sz w:val="13"/>
          <w:szCs w:val="13"/>
          <w:color w:val="auto"/>
        </w:rPr>
      </w:pPr>
    </w:p>
    <w:p>
      <w:pPr>
        <w:ind w:left="6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†††Incorporated by reference to the Registrant’s Registration Statement on Form S-1 (File No. 333-126402) filed on September 26,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-300990</wp:posOffset>
            </wp:positionV>
            <wp:extent cx="823595"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ind w:left="5580" w:right="2280" w:hanging="4893"/>
        <w:spacing w:after="0" w:line="725" w:lineRule="auto"/>
        <w:tabs>
          <w:tab w:leader="none" w:pos="1187"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A management or compensatory plan or arrangement required to be filed as an exhibit to this report pursuant to Item 15(c) of Form 10-K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19" w:name="page120"/>
    <w:bookmarkEnd w:id="119"/>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98" w:lineRule="exact"/>
        <w:rPr>
          <w:sz w:val="20"/>
          <w:szCs w:val="20"/>
          <w:color w:val="auto"/>
        </w:rPr>
      </w:pPr>
    </w:p>
    <w:p>
      <w:pPr>
        <w:ind w:left="680" w:right="1040" w:firstLine="399"/>
        <w:spacing w:after="0" w:line="286" w:lineRule="auto"/>
        <w:rPr>
          <w:sz w:val="20"/>
          <w:szCs w:val="20"/>
          <w:color w:val="auto"/>
        </w:rPr>
      </w:pPr>
      <w:r>
        <w:rPr>
          <w:rFonts w:ascii="Times New Roman" w:cs="Times New Roman" w:eastAsia="Times New Roman" w:hAnsi="Times New Roman"/>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83" w:lineRule="exact"/>
        <w:rPr>
          <w:sz w:val="20"/>
          <w:szCs w:val="20"/>
          <w:color w:val="auto"/>
        </w:rPr>
      </w:pPr>
    </w:p>
    <w:tbl>
      <w:tblPr>
        <w:tblLayout w:type="fixed"/>
        <w:tblInd w:w="5580" w:type="dxa"/>
        <w:tblCellMar>
          <w:top w:w="0" w:type="dxa"/>
          <w:left w:w="0" w:type="dxa"/>
          <w:bottom w:w="0" w:type="dxa"/>
          <w:right w:w="0" w:type="dxa"/>
        </w:tblCellMar>
      </w:tblPr>
      <w:tr>
        <w:trPr>
          <w:trHeight w:val="171"/>
        </w:trPr>
        <w:tc>
          <w:tcPr>
            <w:tcW w:w="1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w:t>
            </w:r>
            <w:r>
              <w:rPr>
                <w:rFonts w:ascii="Times New Roman" w:cs="Times New Roman" w:eastAsia="Times New Roman" w:hAnsi="Times New Roman"/>
                <w:sz w:val="8"/>
                <w:szCs w:val="8"/>
                <w:color w:val="auto"/>
              </w:rPr>
              <w:t>IDELITY</w:t>
            </w:r>
            <w:r>
              <w:rPr>
                <w:rFonts w:ascii="Times New Roman" w:cs="Times New Roman" w:eastAsia="Times New Roman" w:hAnsi="Times New Roman"/>
                <w:sz w:val="13"/>
                <w:szCs w:val="13"/>
                <w:color w:val="auto"/>
              </w:rPr>
              <w:t xml:space="preserve"> N</w:t>
            </w:r>
            <w:r>
              <w:rPr>
                <w:rFonts w:ascii="Times New Roman" w:cs="Times New Roman" w:eastAsia="Times New Roman" w:hAnsi="Times New Roman"/>
                <w:sz w:val="8"/>
                <w:szCs w:val="8"/>
                <w:color w:val="auto"/>
              </w:rPr>
              <w:t>ATIONAL</w:t>
            </w:r>
            <w:r>
              <w:rPr>
                <w:rFonts w:ascii="Times New Roman" w:cs="Times New Roman" w:eastAsia="Times New Roman" w:hAnsi="Times New Roman"/>
                <w:sz w:val="13"/>
                <w:szCs w:val="13"/>
                <w:color w:val="auto"/>
              </w:rPr>
              <w:t xml:space="preserve"> F</w:t>
            </w:r>
            <w:r>
              <w:rPr>
                <w:rFonts w:ascii="Times New Roman" w:cs="Times New Roman" w:eastAsia="Times New Roman" w:hAnsi="Times New Roman"/>
                <w:sz w:val="8"/>
                <w:szCs w:val="8"/>
                <w:color w:val="auto"/>
              </w:rPr>
              <w:t>INANCIAL</w:t>
            </w:r>
            <w:r>
              <w:rPr>
                <w:rFonts w:ascii="Times New Roman" w:cs="Times New Roman" w:eastAsia="Times New Roman" w:hAnsi="Times New Roman"/>
                <w:sz w:val="13"/>
                <w:szCs w:val="13"/>
                <w:color w:val="auto"/>
              </w:rPr>
              <w:t>, I</w:t>
            </w:r>
            <w:r>
              <w:rPr>
                <w:rFonts w:ascii="Times New Roman" w:cs="Times New Roman" w:eastAsia="Times New Roman" w:hAnsi="Times New Roman"/>
                <w:sz w:val="8"/>
                <w:szCs w:val="8"/>
                <w:color w:val="auto"/>
              </w:rPr>
              <w:t>NC</w:t>
            </w:r>
            <w:r>
              <w:rPr>
                <w:rFonts w:ascii="Times New Roman" w:cs="Times New Roman" w:eastAsia="Times New Roman" w:hAnsi="Times New Roman"/>
                <w:sz w:val="13"/>
                <w:szCs w:val="13"/>
                <w:color w:val="auto"/>
              </w:rPr>
              <w:t>.</w:t>
            </w:r>
          </w:p>
        </w:tc>
        <w:tc>
          <w:tcPr>
            <w:tcW w:w="4040" w:type="dxa"/>
            <w:vAlign w:val="bottom"/>
          </w:tcPr>
          <w:p>
            <w:pPr>
              <w:spacing w:after="0"/>
              <w:rPr>
                <w:sz w:val="14"/>
                <w:szCs w:val="14"/>
                <w:color w:val="auto"/>
              </w:rPr>
            </w:pPr>
          </w:p>
        </w:tc>
      </w:tr>
      <w:tr>
        <w:trPr>
          <w:trHeight w:val="801"/>
        </w:trPr>
        <w:tc>
          <w:tcPr>
            <w:tcW w:w="1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By:</w:t>
            </w:r>
          </w:p>
        </w:tc>
        <w:tc>
          <w:tcPr>
            <w:tcW w:w="4040" w:type="dxa"/>
            <w:vAlign w:val="bottom"/>
          </w:tcPr>
          <w:p>
            <w:pPr>
              <w:jc w:val="center"/>
              <w:ind w:right="2334"/>
              <w:spacing w:after="0"/>
              <w:rPr>
                <w:sz w:val="20"/>
                <w:szCs w:val="20"/>
                <w:color w:val="auto"/>
              </w:rPr>
            </w:pPr>
            <w:r>
              <w:rPr>
                <w:rFonts w:ascii="Times New Roman" w:cs="Times New Roman" w:eastAsia="Times New Roman" w:hAnsi="Times New Roman"/>
                <w:sz w:val="13"/>
                <w:szCs w:val="13"/>
                <w:color w:val="auto"/>
              </w:rPr>
              <w:t>/s/ W</w:t>
            </w:r>
            <w:r>
              <w:rPr>
                <w:rFonts w:ascii="Times New Roman" w:cs="Times New Roman" w:eastAsia="Times New Roman" w:hAnsi="Times New Roman"/>
                <w:sz w:val="8"/>
                <w:szCs w:val="8"/>
                <w:color w:val="auto"/>
              </w:rPr>
              <w:t>ILLIAM</w:t>
            </w:r>
            <w:r>
              <w:rPr>
                <w:rFonts w:ascii="Times New Roman" w:cs="Times New Roman" w:eastAsia="Times New Roman" w:hAnsi="Times New Roman"/>
                <w:sz w:val="13"/>
                <w:szCs w:val="13"/>
                <w:color w:val="auto"/>
              </w:rPr>
              <w:t xml:space="preserve"> P. F</w:t>
            </w:r>
            <w:r>
              <w:rPr>
                <w:rFonts w:ascii="Times New Roman" w:cs="Times New Roman" w:eastAsia="Times New Roman" w:hAnsi="Times New Roman"/>
                <w:sz w:val="8"/>
                <w:szCs w:val="8"/>
                <w:color w:val="auto"/>
              </w:rPr>
              <w:t>OLEY</w:t>
            </w:r>
            <w:r>
              <w:rPr>
                <w:rFonts w:ascii="Times New Roman" w:cs="Times New Roman" w:eastAsia="Times New Roman" w:hAnsi="Times New Roman"/>
                <w:sz w:val="13"/>
                <w:szCs w:val="13"/>
                <w:color w:val="auto"/>
              </w:rPr>
              <w:t>, II</w:t>
            </w:r>
          </w:p>
        </w:tc>
      </w:tr>
      <w:tr>
        <w:trPr>
          <w:trHeight w:val="137"/>
        </w:trPr>
        <w:tc>
          <w:tcPr>
            <w:tcW w:w="400" w:type="dxa"/>
            <w:vAlign w:val="bottom"/>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4040" w:type="dxa"/>
            <w:vAlign w:val="bottom"/>
            <w:tcBorders>
              <w:top w:val="single" w:sz="8" w:color="auto"/>
            </w:tcBorders>
          </w:tcPr>
          <w:p>
            <w:pPr>
              <w:jc w:val="center"/>
              <w:ind w:right="2334"/>
              <w:spacing w:after="0" w:line="137" w:lineRule="exact"/>
              <w:rPr>
                <w:sz w:val="20"/>
                <w:szCs w:val="20"/>
                <w:color w:val="auto"/>
              </w:rPr>
            </w:pPr>
            <w:r>
              <w:rPr>
                <w:rFonts w:ascii="Times New Roman" w:cs="Times New Roman" w:eastAsia="Times New Roman" w:hAnsi="Times New Roman"/>
                <w:sz w:val="13"/>
                <w:szCs w:val="13"/>
                <w:color w:val="auto"/>
                <w:w w:val="99"/>
              </w:rPr>
              <w:t>William P. Foley, II</w:t>
            </w:r>
          </w:p>
        </w:tc>
      </w:tr>
      <w:tr>
        <w:trPr>
          <w:trHeight w:val="173"/>
        </w:trPr>
        <w:tc>
          <w:tcPr>
            <w:tcW w:w="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40" w:type="dxa"/>
            <w:vAlign w:val="bottom"/>
          </w:tcPr>
          <w:p>
            <w:pPr>
              <w:jc w:val="center"/>
              <w:ind w:right="2334"/>
              <w:spacing w:after="0"/>
              <w:rPr>
                <w:sz w:val="20"/>
                <w:szCs w:val="20"/>
                <w:color w:val="auto"/>
              </w:rPr>
            </w:pPr>
            <w:r>
              <w:rPr>
                <w:rFonts w:ascii="Times New Roman" w:cs="Times New Roman" w:eastAsia="Times New Roman" w:hAnsi="Times New Roman"/>
                <w:sz w:val="13"/>
                <w:szCs w:val="13"/>
                <w:i w:val="1"/>
                <w:iCs w:val="1"/>
                <w:color w:val="auto"/>
              </w:rPr>
              <w:t>Chief Executive Officer</w:t>
            </w:r>
          </w:p>
        </w:tc>
      </w:tr>
    </w:tbl>
    <w:p>
      <w:pPr>
        <w:spacing w:after="0" w:line="15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Date: March 1, 2007</w:t>
      </w:r>
    </w:p>
    <w:p>
      <w:pPr>
        <w:spacing w:after="0" w:line="96" w:lineRule="exact"/>
        <w:rPr>
          <w:sz w:val="20"/>
          <w:szCs w:val="20"/>
          <w:color w:val="auto"/>
        </w:rPr>
      </w:pPr>
    </w:p>
    <w:p>
      <w:pPr>
        <w:ind w:left="680" w:right="960" w:firstLine="399"/>
        <w:spacing w:after="0" w:line="286"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80" w:type="dxa"/>
            <w:vAlign w:val="bottom"/>
          </w:tcPr>
          <w:p>
            <w:pPr>
              <w:spacing w:after="0"/>
              <w:rPr>
                <w:sz w:val="12"/>
                <w:szCs w:val="12"/>
                <w:color w:val="auto"/>
              </w:rPr>
            </w:pPr>
          </w:p>
        </w:tc>
        <w:tc>
          <w:tcPr>
            <w:tcW w:w="4120" w:type="dxa"/>
            <w:vAlign w:val="bottom"/>
          </w:tcPr>
          <w:p>
            <w:pPr>
              <w:ind w:left="2040"/>
              <w:spacing w:after="0"/>
              <w:rPr>
                <w:sz w:val="20"/>
                <w:szCs w:val="20"/>
                <w:color w:val="auto"/>
              </w:rPr>
            </w:pPr>
            <w:r>
              <w:rPr>
                <w:rFonts w:ascii="Times New Roman" w:cs="Times New Roman" w:eastAsia="Times New Roman" w:hAnsi="Times New Roman"/>
                <w:sz w:val="10"/>
                <w:szCs w:val="10"/>
                <w:b w:val="1"/>
                <w:bCs w:val="1"/>
                <w:u w:val="single" w:color="auto"/>
                <w:color w:val="auto"/>
              </w:rPr>
              <w:t>S</w:t>
            </w:r>
            <w:r>
              <w:rPr>
                <w:rFonts w:ascii="Times New Roman" w:cs="Times New Roman" w:eastAsia="Times New Roman" w:hAnsi="Times New Roman"/>
                <w:sz w:val="10"/>
                <w:szCs w:val="10"/>
                <w:b w:val="1"/>
                <w:bCs w:val="1"/>
                <w:color w:val="auto"/>
              </w:rPr>
              <w:t>ignature</w:t>
            </w:r>
          </w:p>
        </w:tc>
        <w:tc>
          <w:tcPr>
            <w:tcW w:w="4280" w:type="dxa"/>
            <w:vAlign w:val="bottom"/>
          </w:tcPr>
          <w:p>
            <w:pPr>
              <w:jc w:val="right"/>
              <w:ind w:right="1735"/>
              <w:spacing w:after="0"/>
              <w:rPr>
                <w:sz w:val="20"/>
                <w:szCs w:val="20"/>
                <w:color w:val="auto"/>
              </w:rPr>
            </w:pPr>
            <w:r>
              <w:rPr>
                <w:rFonts w:ascii="Times New Roman" w:cs="Times New Roman" w:eastAsia="Times New Roman" w:hAnsi="Times New Roman"/>
                <w:sz w:val="10"/>
                <w:szCs w:val="10"/>
                <w:b w:val="1"/>
                <w:bCs w:val="1"/>
                <w:u w:val="single" w:color="auto"/>
                <w:color w:val="auto"/>
              </w:rPr>
              <w:t>T</w:t>
            </w:r>
            <w:r>
              <w:rPr>
                <w:rFonts w:ascii="Times New Roman" w:cs="Times New Roman" w:eastAsia="Times New Roman" w:hAnsi="Times New Roman"/>
                <w:sz w:val="10"/>
                <w:szCs w:val="10"/>
                <w:b w:val="1"/>
                <w:bCs w:val="1"/>
                <w:color w:val="auto"/>
              </w:rPr>
              <w:t>itle</w:t>
            </w:r>
          </w:p>
        </w:tc>
        <w:tc>
          <w:tcPr>
            <w:tcW w:w="2380" w:type="dxa"/>
            <w:vAlign w:val="bottom"/>
          </w:tcPr>
          <w:p>
            <w:pPr>
              <w:ind w:left="940"/>
              <w:spacing w:after="0"/>
              <w:rPr>
                <w:sz w:val="20"/>
                <w:szCs w:val="20"/>
                <w:color w:val="auto"/>
              </w:rPr>
            </w:pPr>
            <w:r>
              <w:rPr>
                <w:rFonts w:ascii="Times New Roman" w:cs="Times New Roman" w:eastAsia="Times New Roman" w:hAnsi="Times New Roman"/>
                <w:sz w:val="10"/>
                <w:szCs w:val="10"/>
                <w:b w:val="1"/>
                <w:bCs w:val="1"/>
                <w:color w:val="auto"/>
              </w:rPr>
              <w:t>Date</w:t>
            </w:r>
          </w:p>
        </w:tc>
        <w:tc>
          <w:tcPr>
            <w:tcW w:w="0" w:type="dxa"/>
            <w:vAlign w:val="bottom"/>
          </w:tcPr>
          <w:p>
            <w:pPr>
              <w:spacing w:after="0"/>
              <w:rPr>
                <w:sz w:val="1"/>
                <w:szCs w:val="1"/>
                <w:color w:val="auto"/>
              </w:rPr>
            </w:pPr>
          </w:p>
        </w:tc>
      </w:tr>
      <w:tr>
        <w:trPr>
          <w:trHeight w:val="322"/>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W</w:t>
            </w:r>
            <w:r>
              <w:rPr>
                <w:rFonts w:ascii="Times New Roman" w:cs="Times New Roman" w:eastAsia="Times New Roman" w:hAnsi="Times New Roman"/>
                <w:sz w:val="8"/>
                <w:szCs w:val="8"/>
                <w:color w:val="auto"/>
              </w:rPr>
              <w:t>ILLIAM</w:t>
            </w:r>
            <w:r>
              <w:rPr>
                <w:rFonts w:ascii="Times New Roman" w:cs="Times New Roman" w:eastAsia="Times New Roman" w:hAnsi="Times New Roman"/>
                <w:sz w:val="13"/>
                <w:szCs w:val="13"/>
                <w:color w:val="auto"/>
              </w:rPr>
              <w:t xml:space="preserve"> P. F</w:t>
            </w:r>
            <w:r>
              <w:rPr>
                <w:rFonts w:ascii="Times New Roman" w:cs="Times New Roman" w:eastAsia="Times New Roman" w:hAnsi="Times New Roman"/>
                <w:sz w:val="8"/>
                <w:szCs w:val="8"/>
                <w:color w:val="auto"/>
              </w:rPr>
              <w:t>OLEY</w:t>
            </w:r>
            <w:r>
              <w:rPr>
                <w:rFonts w:ascii="Times New Roman" w:cs="Times New Roman" w:eastAsia="Times New Roman" w:hAnsi="Times New Roman"/>
                <w:sz w:val="13"/>
                <w:szCs w:val="13"/>
                <w:color w:val="auto"/>
              </w:rPr>
              <w:t>, II</w:t>
            </w:r>
          </w:p>
        </w:tc>
        <w:tc>
          <w:tcPr>
            <w:tcW w:w="4280" w:type="dxa"/>
            <w:vAlign w:val="bottom"/>
          </w:tcPr>
          <w:p>
            <w:pPr>
              <w:jc w:val="center"/>
              <w:ind w:left="235"/>
              <w:spacing w:after="0"/>
              <w:rPr>
                <w:sz w:val="20"/>
                <w:szCs w:val="20"/>
                <w:color w:val="auto"/>
              </w:rPr>
            </w:pPr>
            <w:r>
              <w:rPr>
                <w:rFonts w:ascii="Times New Roman" w:cs="Times New Roman" w:eastAsia="Times New Roman" w:hAnsi="Times New Roman"/>
                <w:sz w:val="13"/>
                <w:szCs w:val="13"/>
                <w:color w:val="auto"/>
              </w:rPr>
              <w:t>Chairman of the Board and</w:t>
            </w:r>
          </w:p>
        </w:tc>
        <w:tc>
          <w:tcPr>
            <w:tcW w:w="23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March 1, 2007</w:t>
            </w:r>
          </w:p>
        </w:tc>
        <w:tc>
          <w:tcPr>
            <w:tcW w:w="0" w:type="dxa"/>
            <w:vAlign w:val="bottom"/>
          </w:tcPr>
          <w:p>
            <w:pPr>
              <w:spacing w:after="0"/>
              <w:rPr>
                <w:sz w:val="1"/>
                <w:szCs w:val="1"/>
                <w:color w:val="auto"/>
              </w:rPr>
            </w:pPr>
          </w:p>
        </w:tc>
      </w:tr>
      <w:tr>
        <w:trPr>
          <w:trHeight w:val="124"/>
        </w:trPr>
        <w:tc>
          <w:tcPr>
            <w:tcW w:w="680" w:type="dxa"/>
            <w:vAlign w:val="bottom"/>
          </w:tcPr>
          <w:p>
            <w:pPr>
              <w:spacing w:after="0"/>
              <w:rPr>
                <w:sz w:val="10"/>
                <w:szCs w:val="10"/>
                <w:color w:val="auto"/>
              </w:rPr>
            </w:pPr>
          </w:p>
        </w:tc>
        <w:tc>
          <w:tcPr>
            <w:tcW w:w="4120" w:type="dxa"/>
            <w:vAlign w:val="bottom"/>
          </w:tcPr>
          <w:p>
            <w:pPr>
              <w:spacing w:after="0" w:line="124" w:lineRule="exact"/>
              <w:rPr>
                <w:sz w:val="20"/>
                <w:szCs w:val="20"/>
                <w:color w:val="auto"/>
              </w:rPr>
            </w:pPr>
            <w:r>
              <w:rPr>
                <w:rFonts w:ascii="Times New Roman" w:cs="Times New Roman" w:eastAsia="Times New Roman" w:hAnsi="Times New Roman"/>
                <w:sz w:val="13"/>
                <w:szCs w:val="13"/>
                <w:color w:val="auto"/>
              </w:rPr>
              <w:t>William P. Foley, II</w:t>
            </w:r>
          </w:p>
        </w:tc>
        <w:tc>
          <w:tcPr>
            <w:tcW w:w="4280" w:type="dxa"/>
            <w:vAlign w:val="bottom"/>
          </w:tcPr>
          <w:p>
            <w:pPr>
              <w:jc w:val="center"/>
              <w:ind w:left="195"/>
              <w:spacing w:after="0" w:line="124" w:lineRule="exact"/>
              <w:rPr>
                <w:sz w:val="20"/>
                <w:szCs w:val="20"/>
                <w:color w:val="auto"/>
              </w:rPr>
            </w:pPr>
            <w:r>
              <w:rPr>
                <w:rFonts w:ascii="Times New Roman" w:cs="Times New Roman" w:eastAsia="Times New Roman" w:hAnsi="Times New Roman"/>
                <w:sz w:val="13"/>
                <w:szCs w:val="13"/>
                <w:color w:val="auto"/>
              </w:rPr>
              <w:t>Chief Executive Officer</w:t>
            </w: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280" w:type="dxa"/>
            <w:vAlign w:val="bottom"/>
          </w:tcPr>
          <w:p>
            <w:pPr>
              <w:jc w:val="center"/>
              <w:ind w:left="215"/>
              <w:spacing w:after="0"/>
              <w:rPr>
                <w:sz w:val="20"/>
                <w:szCs w:val="20"/>
                <w:color w:val="auto"/>
              </w:rPr>
            </w:pPr>
            <w:r>
              <w:rPr>
                <w:rFonts w:ascii="Times New Roman" w:cs="Times New Roman" w:eastAsia="Times New Roman" w:hAnsi="Times New Roman"/>
                <w:sz w:val="13"/>
                <w:szCs w:val="13"/>
                <w:color w:val="auto"/>
              </w:rPr>
              <w:t>(Principal Executive Officer)</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A</w:t>
            </w:r>
            <w:r>
              <w:rPr>
                <w:rFonts w:ascii="Times New Roman" w:cs="Times New Roman" w:eastAsia="Times New Roman" w:hAnsi="Times New Roman"/>
                <w:sz w:val="8"/>
                <w:szCs w:val="8"/>
                <w:color w:val="auto"/>
              </w:rPr>
              <w:t>NTHONY</w:t>
            </w:r>
            <w:r>
              <w:rPr>
                <w:rFonts w:ascii="Times New Roman" w:cs="Times New Roman" w:eastAsia="Times New Roman" w:hAnsi="Times New Roman"/>
                <w:sz w:val="13"/>
                <w:szCs w:val="13"/>
                <w:color w:val="auto"/>
              </w:rPr>
              <w:t xml:space="preserve"> J. P</w:t>
            </w:r>
            <w:r>
              <w:rPr>
                <w:rFonts w:ascii="Times New Roman" w:cs="Times New Roman" w:eastAsia="Times New Roman" w:hAnsi="Times New Roman"/>
                <w:sz w:val="8"/>
                <w:szCs w:val="8"/>
                <w:color w:val="auto"/>
              </w:rPr>
              <w:t>ARK</w:t>
            </w:r>
          </w:p>
        </w:tc>
        <w:tc>
          <w:tcPr>
            <w:tcW w:w="428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auto"/>
              </w:rPr>
              <w:t>Chief Financial Officer</w:t>
            </w:r>
          </w:p>
        </w:tc>
        <w:tc>
          <w:tcPr>
            <w:tcW w:w="23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March 1, 2007</w:t>
            </w:r>
          </w:p>
        </w:tc>
        <w:tc>
          <w:tcPr>
            <w:tcW w:w="0" w:type="dxa"/>
            <w:vAlign w:val="bottom"/>
          </w:tcPr>
          <w:p>
            <w:pPr>
              <w:spacing w:after="0"/>
              <w:rPr>
                <w:sz w:val="1"/>
                <w:szCs w:val="1"/>
                <w:color w:val="auto"/>
              </w:rPr>
            </w:pPr>
          </w:p>
        </w:tc>
      </w:tr>
      <w:tr>
        <w:trPr>
          <w:trHeight w:val="124"/>
        </w:trPr>
        <w:tc>
          <w:tcPr>
            <w:tcW w:w="680" w:type="dxa"/>
            <w:vAlign w:val="bottom"/>
          </w:tcPr>
          <w:p>
            <w:pPr>
              <w:spacing w:after="0"/>
              <w:rPr>
                <w:sz w:val="10"/>
                <w:szCs w:val="10"/>
                <w:color w:val="auto"/>
              </w:rPr>
            </w:pPr>
          </w:p>
        </w:tc>
        <w:tc>
          <w:tcPr>
            <w:tcW w:w="4120" w:type="dxa"/>
            <w:vAlign w:val="bottom"/>
          </w:tcPr>
          <w:p>
            <w:pPr>
              <w:spacing w:after="0" w:line="124" w:lineRule="exact"/>
              <w:rPr>
                <w:sz w:val="20"/>
                <w:szCs w:val="20"/>
                <w:color w:val="auto"/>
              </w:rPr>
            </w:pPr>
            <w:r>
              <w:rPr>
                <w:rFonts w:ascii="Times New Roman" w:cs="Times New Roman" w:eastAsia="Times New Roman" w:hAnsi="Times New Roman"/>
                <w:sz w:val="13"/>
                <w:szCs w:val="13"/>
                <w:color w:val="auto"/>
              </w:rPr>
              <w:t>Anthony J. Park</w:t>
            </w:r>
          </w:p>
        </w:tc>
        <w:tc>
          <w:tcPr>
            <w:tcW w:w="4280" w:type="dxa"/>
            <w:vAlign w:val="bottom"/>
            <w:vMerge w:val="continue"/>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280" w:type="dxa"/>
            <w:vAlign w:val="bottom"/>
          </w:tcPr>
          <w:p>
            <w:pPr>
              <w:jc w:val="center"/>
              <w:ind w:left="215"/>
              <w:spacing w:after="0"/>
              <w:rPr>
                <w:sz w:val="20"/>
                <w:szCs w:val="20"/>
                <w:color w:val="auto"/>
              </w:rPr>
            </w:pPr>
            <w:r>
              <w:rPr>
                <w:rFonts w:ascii="Times New Roman" w:cs="Times New Roman" w:eastAsia="Times New Roman" w:hAnsi="Times New Roman"/>
                <w:sz w:val="13"/>
                <w:szCs w:val="13"/>
                <w:color w:val="auto"/>
              </w:rPr>
              <w:t>(Principal Financial and Accounting Officer)</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F</w:t>
            </w:r>
            <w:r>
              <w:rPr>
                <w:rFonts w:ascii="Times New Roman" w:cs="Times New Roman" w:eastAsia="Times New Roman" w:hAnsi="Times New Roman"/>
                <w:sz w:val="8"/>
                <w:szCs w:val="8"/>
                <w:color w:val="auto"/>
              </w:rPr>
              <w:t>RANK</w:t>
            </w:r>
            <w:r>
              <w:rPr>
                <w:rFonts w:ascii="Times New Roman" w:cs="Times New Roman" w:eastAsia="Times New Roman" w:hAnsi="Times New Roman"/>
                <w:sz w:val="13"/>
                <w:szCs w:val="13"/>
                <w:color w:val="auto"/>
              </w:rPr>
              <w:t xml:space="preserve"> P. W</w:t>
            </w:r>
            <w:r>
              <w:rPr>
                <w:rFonts w:ascii="Times New Roman" w:cs="Times New Roman" w:eastAsia="Times New Roman" w:hAnsi="Times New Roman"/>
                <w:sz w:val="8"/>
                <w:szCs w:val="8"/>
                <w:color w:val="auto"/>
              </w:rPr>
              <w:t>ILLEY</w:t>
            </w:r>
          </w:p>
        </w:tc>
        <w:tc>
          <w:tcPr>
            <w:tcW w:w="4280" w:type="dxa"/>
            <w:vAlign w:val="bottom"/>
          </w:tcPr>
          <w:p>
            <w:pPr>
              <w:jc w:val="center"/>
              <w:ind w:left="235"/>
              <w:spacing w:after="0"/>
              <w:rPr>
                <w:sz w:val="20"/>
                <w:szCs w:val="20"/>
                <w:color w:val="auto"/>
              </w:rPr>
            </w:pPr>
            <w:r>
              <w:rPr>
                <w:rFonts w:ascii="Times New Roman" w:cs="Times New Roman" w:eastAsia="Times New Roman" w:hAnsi="Times New Roman"/>
                <w:sz w:val="13"/>
                <w:szCs w:val="13"/>
                <w:color w:val="auto"/>
                <w:w w:val="98"/>
              </w:rPr>
              <w:t>Vice Chairman</w:t>
            </w:r>
          </w:p>
        </w:tc>
        <w:tc>
          <w:tcPr>
            <w:tcW w:w="23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March 1, 2007</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3"/>
                <w:szCs w:val="13"/>
                <w:color w:val="auto"/>
              </w:rPr>
              <w:t>Frank P. Willey</w:t>
            </w:r>
          </w:p>
        </w:tc>
        <w:tc>
          <w:tcPr>
            <w:tcW w:w="4280" w:type="dxa"/>
            <w:vAlign w:val="bottom"/>
          </w:tcPr>
          <w:p>
            <w:pPr>
              <w:jc w:val="center"/>
              <w:ind w:left="215"/>
              <w:spacing w:after="0"/>
              <w:rPr>
                <w:sz w:val="20"/>
                <w:szCs w:val="20"/>
                <w:color w:val="auto"/>
              </w:rPr>
            </w:pPr>
            <w:r>
              <w:rPr>
                <w:rFonts w:ascii="Times New Roman" w:cs="Times New Roman" w:eastAsia="Times New Roman" w:hAnsi="Times New Roman"/>
                <w:sz w:val="13"/>
                <w:szCs w:val="13"/>
                <w:color w:val="auto"/>
              </w:rPr>
              <w:t>Director</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D</w:t>
            </w:r>
            <w:r>
              <w:rPr>
                <w:rFonts w:ascii="Times New Roman" w:cs="Times New Roman" w:eastAsia="Times New Roman" w:hAnsi="Times New Roman"/>
                <w:sz w:val="8"/>
                <w:szCs w:val="8"/>
                <w:color w:val="auto"/>
              </w:rPr>
              <w:t>OUGLAS</w:t>
            </w:r>
            <w:r>
              <w:rPr>
                <w:rFonts w:ascii="Times New Roman" w:cs="Times New Roman" w:eastAsia="Times New Roman" w:hAnsi="Times New Roman"/>
                <w:sz w:val="13"/>
                <w:szCs w:val="13"/>
                <w:color w:val="auto"/>
              </w:rPr>
              <w:t xml:space="preserve"> K. A</w:t>
            </w:r>
            <w:r>
              <w:rPr>
                <w:rFonts w:ascii="Times New Roman" w:cs="Times New Roman" w:eastAsia="Times New Roman" w:hAnsi="Times New Roman"/>
                <w:sz w:val="8"/>
                <w:szCs w:val="8"/>
                <w:color w:val="auto"/>
              </w:rPr>
              <w:t>MMERMAN</w:t>
            </w:r>
          </w:p>
        </w:tc>
        <w:tc>
          <w:tcPr>
            <w:tcW w:w="4280" w:type="dxa"/>
            <w:vAlign w:val="bottom"/>
          </w:tcPr>
          <w:p>
            <w:pPr>
              <w:jc w:val="center"/>
              <w:ind w:left="215"/>
              <w:spacing w:after="0"/>
              <w:rPr>
                <w:sz w:val="20"/>
                <w:szCs w:val="20"/>
                <w:color w:val="auto"/>
              </w:rPr>
            </w:pPr>
            <w:r>
              <w:rPr>
                <w:rFonts w:ascii="Times New Roman" w:cs="Times New Roman" w:eastAsia="Times New Roman" w:hAnsi="Times New Roman"/>
                <w:sz w:val="13"/>
                <w:szCs w:val="13"/>
                <w:color w:val="auto"/>
              </w:rPr>
              <w:t>Director</w:t>
            </w:r>
          </w:p>
        </w:tc>
        <w:tc>
          <w:tcPr>
            <w:tcW w:w="23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March 1, 2007</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3"/>
                <w:szCs w:val="13"/>
                <w:color w:val="auto"/>
              </w:rPr>
              <w:t>Douglas K. Ammerman</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W</w:t>
            </w:r>
            <w:r>
              <w:rPr>
                <w:rFonts w:ascii="Times New Roman" w:cs="Times New Roman" w:eastAsia="Times New Roman" w:hAnsi="Times New Roman"/>
                <w:sz w:val="8"/>
                <w:szCs w:val="8"/>
                <w:color w:val="auto"/>
              </w:rPr>
              <w:t>ILLIE</w:t>
            </w:r>
            <w:r>
              <w:rPr>
                <w:rFonts w:ascii="Times New Roman" w:cs="Times New Roman" w:eastAsia="Times New Roman" w:hAnsi="Times New Roman"/>
                <w:sz w:val="13"/>
                <w:szCs w:val="13"/>
                <w:color w:val="auto"/>
              </w:rPr>
              <w:t xml:space="preserve"> D. D</w:t>
            </w:r>
            <w:r>
              <w:rPr>
                <w:rFonts w:ascii="Times New Roman" w:cs="Times New Roman" w:eastAsia="Times New Roman" w:hAnsi="Times New Roman"/>
                <w:sz w:val="8"/>
                <w:szCs w:val="8"/>
                <w:color w:val="auto"/>
              </w:rPr>
              <w:t>AVIS</w:t>
            </w:r>
          </w:p>
        </w:tc>
        <w:tc>
          <w:tcPr>
            <w:tcW w:w="4280" w:type="dxa"/>
            <w:vAlign w:val="bottom"/>
          </w:tcPr>
          <w:p>
            <w:pPr>
              <w:jc w:val="center"/>
              <w:ind w:left="215"/>
              <w:spacing w:after="0"/>
              <w:rPr>
                <w:sz w:val="20"/>
                <w:szCs w:val="20"/>
                <w:color w:val="auto"/>
              </w:rPr>
            </w:pPr>
            <w:r>
              <w:rPr>
                <w:rFonts w:ascii="Times New Roman" w:cs="Times New Roman" w:eastAsia="Times New Roman" w:hAnsi="Times New Roman"/>
                <w:sz w:val="13"/>
                <w:szCs w:val="13"/>
                <w:color w:val="auto"/>
              </w:rPr>
              <w:t>Director</w:t>
            </w:r>
          </w:p>
        </w:tc>
        <w:tc>
          <w:tcPr>
            <w:tcW w:w="23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March 1, 2007</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3"/>
                <w:szCs w:val="13"/>
                <w:color w:val="auto"/>
              </w:rPr>
              <w:t>Willie D. Davis</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w:t>
            </w:r>
            <w:r>
              <w:rPr>
                <w:rFonts w:ascii="Times New Roman" w:cs="Times New Roman" w:eastAsia="Times New Roman" w:hAnsi="Times New Roman"/>
                <w:sz w:val="8"/>
                <w:szCs w:val="8"/>
                <w:color w:val="auto"/>
              </w:rPr>
              <w:t>OHN</w:t>
            </w:r>
            <w:r>
              <w:rPr>
                <w:rFonts w:ascii="Times New Roman" w:cs="Times New Roman" w:eastAsia="Times New Roman" w:hAnsi="Times New Roman"/>
                <w:sz w:val="13"/>
                <w:szCs w:val="13"/>
                <w:color w:val="auto"/>
              </w:rPr>
              <w:t xml:space="preserve"> F. F</w:t>
            </w:r>
            <w:r>
              <w:rPr>
                <w:rFonts w:ascii="Times New Roman" w:cs="Times New Roman" w:eastAsia="Times New Roman" w:hAnsi="Times New Roman"/>
                <w:sz w:val="8"/>
                <w:szCs w:val="8"/>
                <w:color w:val="auto"/>
              </w:rPr>
              <w:t>ARRELL</w:t>
            </w:r>
            <w:r>
              <w:rPr>
                <w:rFonts w:ascii="Times New Roman" w:cs="Times New Roman" w:eastAsia="Times New Roman" w:hAnsi="Times New Roman"/>
                <w:sz w:val="13"/>
                <w:szCs w:val="13"/>
                <w:color w:val="auto"/>
              </w:rPr>
              <w:t>, J</w:t>
            </w:r>
            <w:r>
              <w:rPr>
                <w:rFonts w:ascii="Times New Roman" w:cs="Times New Roman" w:eastAsia="Times New Roman" w:hAnsi="Times New Roman"/>
                <w:sz w:val="8"/>
                <w:szCs w:val="8"/>
                <w:color w:val="auto"/>
              </w:rPr>
              <w:t>R</w:t>
            </w:r>
            <w:r>
              <w:rPr>
                <w:rFonts w:ascii="Times New Roman" w:cs="Times New Roman" w:eastAsia="Times New Roman" w:hAnsi="Times New Roman"/>
                <w:sz w:val="13"/>
                <w:szCs w:val="13"/>
                <w:color w:val="auto"/>
              </w:rPr>
              <w:t>.</w:t>
            </w:r>
          </w:p>
        </w:tc>
        <w:tc>
          <w:tcPr>
            <w:tcW w:w="4280" w:type="dxa"/>
            <w:vAlign w:val="bottom"/>
          </w:tcPr>
          <w:p>
            <w:pPr>
              <w:jc w:val="center"/>
              <w:ind w:left="215"/>
              <w:spacing w:after="0"/>
              <w:rPr>
                <w:sz w:val="20"/>
                <w:szCs w:val="20"/>
                <w:color w:val="auto"/>
              </w:rPr>
            </w:pPr>
            <w:r>
              <w:rPr>
                <w:rFonts w:ascii="Times New Roman" w:cs="Times New Roman" w:eastAsia="Times New Roman" w:hAnsi="Times New Roman"/>
                <w:sz w:val="13"/>
                <w:szCs w:val="13"/>
                <w:color w:val="auto"/>
              </w:rPr>
              <w:t>Director</w:t>
            </w:r>
          </w:p>
        </w:tc>
        <w:tc>
          <w:tcPr>
            <w:tcW w:w="23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March 1, 2007</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3"/>
                <w:szCs w:val="13"/>
                <w:color w:val="auto"/>
              </w:rPr>
              <w:t>John F. Farrell, Jr.</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T</w:t>
            </w:r>
            <w:r>
              <w:rPr>
                <w:rFonts w:ascii="Times New Roman" w:cs="Times New Roman" w:eastAsia="Times New Roman" w:hAnsi="Times New Roman"/>
                <w:sz w:val="8"/>
                <w:szCs w:val="8"/>
                <w:color w:val="auto"/>
              </w:rPr>
              <w:t>HOMAS</w:t>
            </w:r>
            <w:r>
              <w:rPr>
                <w:rFonts w:ascii="Times New Roman" w:cs="Times New Roman" w:eastAsia="Times New Roman" w:hAnsi="Times New Roman"/>
                <w:sz w:val="13"/>
                <w:szCs w:val="13"/>
                <w:color w:val="auto"/>
              </w:rPr>
              <w:t xml:space="preserve"> M. H</w:t>
            </w:r>
            <w:r>
              <w:rPr>
                <w:rFonts w:ascii="Times New Roman" w:cs="Times New Roman" w:eastAsia="Times New Roman" w:hAnsi="Times New Roman"/>
                <w:sz w:val="8"/>
                <w:szCs w:val="8"/>
                <w:color w:val="auto"/>
              </w:rPr>
              <w:t>AGERTY</w:t>
            </w:r>
          </w:p>
        </w:tc>
        <w:tc>
          <w:tcPr>
            <w:tcW w:w="4280" w:type="dxa"/>
            <w:vAlign w:val="bottom"/>
          </w:tcPr>
          <w:p>
            <w:pPr>
              <w:jc w:val="center"/>
              <w:ind w:left="215"/>
              <w:spacing w:after="0"/>
              <w:rPr>
                <w:sz w:val="20"/>
                <w:szCs w:val="20"/>
                <w:color w:val="auto"/>
              </w:rPr>
            </w:pPr>
            <w:r>
              <w:rPr>
                <w:rFonts w:ascii="Times New Roman" w:cs="Times New Roman" w:eastAsia="Times New Roman" w:hAnsi="Times New Roman"/>
                <w:sz w:val="13"/>
                <w:szCs w:val="13"/>
                <w:color w:val="auto"/>
              </w:rPr>
              <w:t>Director</w:t>
            </w:r>
          </w:p>
        </w:tc>
        <w:tc>
          <w:tcPr>
            <w:tcW w:w="23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March 1, 2007</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3"/>
                <w:szCs w:val="13"/>
                <w:color w:val="auto"/>
              </w:rPr>
              <w:t>Thomas M. Hagerty</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P</w:t>
            </w:r>
            <w:r>
              <w:rPr>
                <w:rFonts w:ascii="Times New Roman" w:cs="Times New Roman" w:eastAsia="Times New Roman" w:hAnsi="Times New Roman"/>
                <w:sz w:val="8"/>
                <w:szCs w:val="8"/>
                <w:color w:val="auto"/>
              </w:rPr>
              <w:t>HILIP</w:t>
            </w:r>
            <w:r>
              <w:rPr>
                <w:rFonts w:ascii="Times New Roman" w:cs="Times New Roman" w:eastAsia="Times New Roman" w:hAnsi="Times New Roman"/>
                <w:sz w:val="13"/>
                <w:szCs w:val="13"/>
                <w:color w:val="auto"/>
              </w:rPr>
              <w:t xml:space="preserve"> G. H</w:t>
            </w:r>
            <w:r>
              <w:rPr>
                <w:rFonts w:ascii="Times New Roman" w:cs="Times New Roman" w:eastAsia="Times New Roman" w:hAnsi="Times New Roman"/>
                <w:sz w:val="8"/>
                <w:szCs w:val="8"/>
                <w:color w:val="auto"/>
              </w:rPr>
              <w:t>EASLEY</w:t>
            </w:r>
          </w:p>
        </w:tc>
        <w:tc>
          <w:tcPr>
            <w:tcW w:w="4280" w:type="dxa"/>
            <w:vAlign w:val="bottom"/>
          </w:tcPr>
          <w:p>
            <w:pPr>
              <w:jc w:val="center"/>
              <w:ind w:left="215"/>
              <w:spacing w:after="0"/>
              <w:rPr>
                <w:sz w:val="20"/>
                <w:szCs w:val="20"/>
                <w:color w:val="auto"/>
              </w:rPr>
            </w:pPr>
            <w:r>
              <w:rPr>
                <w:rFonts w:ascii="Times New Roman" w:cs="Times New Roman" w:eastAsia="Times New Roman" w:hAnsi="Times New Roman"/>
                <w:sz w:val="13"/>
                <w:szCs w:val="13"/>
                <w:color w:val="auto"/>
              </w:rPr>
              <w:t>Director</w:t>
            </w:r>
          </w:p>
        </w:tc>
        <w:tc>
          <w:tcPr>
            <w:tcW w:w="23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March 1, 2007</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3"/>
                <w:szCs w:val="13"/>
                <w:color w:val="auto"/>
              </w:rPr>
              <w:t>Philip G. Heasley</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D</w:t>
            </w:r>
            <w:r>
              <w:rPr>
                <w:rFonts w:ascii="Times New Roman" w:cs="Times New Roman" w:eastAsia="Times New Roman" w:hAnsi="Times New Roman"/>
                <w:sz w:val="8"/>
                <w:szCs w:val="8"/>
                <w:color w:val="auto"/>
              </w:rPr>
              <w:t>ANIEL</w:t>
            </w:r>
            <w:r>
              <w:rPr>
                <w:rFonts w:ascii="Times New Roman" w:cs="Times New Roman" w:eastAsia="Times New Roman" w:hAnsi="Times New Roman"/>
                <w:sz w:val="13"/>
                <w:szCs w:val="13"/>
                <w:color w:val="auto"/>
              </w:rPr>
              <w:t xml:space="preserve"> D. (R</w:t>
            </w:r>
            <w:r>
              <w:rPr>
                <w:rFonts w:ascii="Times New Roman" w:cs="Times New Roman" w:eastAsia="Times New Roman" w:hAnsi="Times New Roman"/>
                <w:sz w:val="8"/>
                <w:szCs w:val="8"/>
                <w:color w:val="auto"/>
              </w:rPr>
              <w:t>ON</w:t>
            </w:r>
            <w:r>
              <w:rPr>
                <w:rFonts w:ascii="Times New Roman" w:cs="Times New Roman" w:eastAsia="Times New Roman" w:hAnsi="Times New Roman"/>
                <w:sz w:val="13"/>
                <w:szCs w:val="13"/>
                <w:color w:val="auto"/>
              </w:rPr>
              <w:t>) L</w:t>
            </w:r>
            <w:r>
              <w:rPr>
                <w:rFonts w:ascii="Times New Roman" w:cs="Times New Roman" w:eastAsia="Times New Roman" w:hAnsi="Times New Roman"/>
                <w:sz w:val="8"/>
                <w:szCs w:val="8"/>
                <w:color w:val="auto"/>
              </w:rPr>
              <w:t>ANE</w:t>
            </w:r>
          </w:p>
        </w:tc>
        <w:tc>
          <w:tcPr>
            <w:tcW w:w="4280" w:type="dxa"/>
            <w:vAlign w:val="bottom"/>
          </w:tcPr>
          <w:p>
            <w:pPr>
              <w:jc w:val="center"/>
              <w:ind w:left="215"/>
              <w:spacing w:after="0"/>
              <w:rPr>
                <w:sz w:val="20"/>
                <w:szCs w:val="20"/>
                <w:color w:val="auto"/>
              </w:rPr>
            </w:pPr>
            <w:r>
              <w:rPr>
                <w:rFonts w:ascii="Times New Roman" w:cs="Times New Roman" w:eastAsia="Times New Roman" w:hAnsi="Times New Roman"/>
                <w:sz w:val="13"/>
                <w:szCs w:val="13"/>
                <w:color w:val="auto"/>
              </w:rPr>
              <w:t>Director</w:t>
            </w:r>
          </w:p>
        </w:tc>
        <w:tc>
          <w:tcPr>
            <w:tcW w:w="23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March 1, 2007</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3"/>
                <w:szCs w:val="13"/>
                <w:color w:val="auto"/>
              </w:rPr>
              <w:t>Daniel D. (Ron) Lane</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R</w:t>
            </w:r>
            <w:r>
              <w:rPr>
                <w:rFonts w:ascii="Times New Roman" w:cs="Times New Roman" w:eastAsia="Times New Roman" w:hAnsi="Times New Roman"/>
                <w:sz w:val="8"/>
                <w:szCs w:val="8"/>
                <w:color w:val="auto"/>
              </w:rPr>
              <w:t>ICHARD</w:t>
            </w:r>
            <w:r>
              <w:rPr>
                <w:rFonts w:ascii="Times New Roman" w:cs="Times New Roman" w:eastAsia="Times New Roman" w:hAnsi="Times New Roman"/>
                <w:sz w:val="13"/>
                <w:szCs w:val="13"/>
                <w:color w:val="auto"/>
              </w:rPr>
              <w:t xml:space="preserve"> N. M</w:t>
            </w:r>
            <w:r>
              <w:rPr>
                <w:rFonts w:ascii="Times New Roman" w:cs="Times New Roman" w:eastAsia="Times New Roman" w:hAnsi="Times New Roman"/>
                <w:sz w:val="8"/>
                <w:szCs w:val="8"/>
                <w:color w:val="auto"/>
              </w:rPr>
              <w:t>ASSEY</w:t>
            </w:r>
          </w:p>
        </w:tc>
        <w:tc>
          <w:tcPr>
            <w:tcW w:w="4280" w:type="dxa"/>
            <w:vAlign w:val="bottom"/>
          </w:tcPr>
          <w:p>
            <w:pPr>
              <w:jc w:val="center"/>
              <w:ind w:left="215"/>
              <w:spacing w:after="0"/>
              <w:rPr>
                <w:sz w:val="20"/>
                <w:szCs w:val="20"/>
                <w:color w:val="auto"/>
              </w:rPr>
            </w:pPr>
            <w:r>
              <w:rPr>
                <w:rFonts w:ascii="Times New Roman" w:cs="Times New Roman" w:eastAsia="Times New Roman" w:hAnsi="Times New Roman"/>
                <w:sz w:val="13"/>
                <w:szCs w:val="13"/>
                <w:color w:val="auto"/>
              </w:rPr>
              <w:t>Director</w:t>
            </w:r>
          </w:p>
        </w:tc>
        <w:tc>
          <w:tcPr>
            <w:tcW w:w="23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March 1, 2007</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3"/>
                <w:szCs w:val="13"/>
                <w:color w:val="auto"/>
              </w:rPr>
              <w:t>Richard N. Massey</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0"/>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280" w:type="dxa"/>
            <w:vAlign w:val="bottom"/>
          </w:tcPr>
          <w:p>
            <w:pPr>
              <w:jc w:val="right"/>
              <w:ind w:right="3235"/>
              <w:spacing w:after="0"/>
              <w:rPr>
                <w:sz w:val="20"/>
                <w:szCs w:val="20"/>
                <w:color w:val="auto"/>
              </w:rPr>
            </w:pPr>
            <w:r>
              <w:rPr>
                <w:rFonts w:ascii="Times New Roman" w:cs="Times New Roman" w:eastAsia="Times New Roman" w:hAnsi="Times New Roman"/>
                <w:sz w:val="13"/>
                <w:szCs w:val="13"/>
                <w:color w:val="auto"/>
              </w:rPr>
              <w:t>117</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4280" w:type="dxa"/>
            <w:vAlign w:val="bottom"/>
            <w:tcBorders>
              <w:bottom w:val="single" w:sz="8" w:color="808080"/>
            </w:tcBorders>
          </w:tcPr>
          <w:p>
            <w:pPr>
              <w:spacing w:after="0"/>
              <w:rPr>
                <w:sz w:val="14"/>
                <w:szCs w:val="14"/>
                <w:color w:val="auto"/>
              </w:rPr>
            </w:pPr>
          </w:p>
        </w:tc>
        <w:tc>
          <w:tcPr>
            <w:tcW w:w="23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6359525</wp:posOffset>
            </wp:positionH>
            <wp:positionV relativeFrom="paragraph">
              <wp:posOffset>-3647440</wp:posOffset>
            </wp:positionV>
            <wp:extent cx="635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1" w:right="139" w:bottom="1440" w:gutter="0" w:footer="0" w:header="0"/>
        </w:sectPr>
      </w:pPr>
    </w:p>
    <w:bookmarkStart w:id="120" w:name="page121"/>
    <w:bookmarkEnd w:id="120"/>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80" w:type="dxa"/>
            <w:vAlign w:val="bottom"/>
          </w:tcPr>
          <w:p>
            <w:pPr>
              <w:spacing w:after="0"/>
              <w:rPr>
                <w:sz w:val="12"/>
                <w:szCs w:val="12"/>
                <w:color w:val="auto"/>
              </w:rPr>
            </w:pPr>
          </w:p>
        </w:tc>
        <w:tc>
          <w:tcPr>
            <w:tcW w:w="4120" w:type="dxa"/>
            <w:vAlign w:val="bottom"/>
          </w:tcPr>
          <w:p>
            <w:pPr>
              <w:ind w:left="2040"/>
              <w:spacing w:after="0"/>
              <w:rPr>
                <w:sz w:val="20"/>
                <w:szCs w:val="20"/>
                <w:color w:val="auto"/>
              </w:rPr>
            </w:pPr>
            <w:r>
              <w:rPr>
                <w:rFonts w:ascii="Times New Roman" w:cs="Times New Roman" w:eastAsia="Times New Roman" w:hAnsi="Times New Roman"/>
                <w:sz w:val="10"/>
                <w:szCs w:val="10"/>
                <w:b w:val="1"/>
                <w:bCs w:val="1"/>
                <w:u w:val="single" w:color="auto"/>
                <w:color w:val="auto"/>
              </w:rPr>
              <w:t>S</w:t>
            </w:r>
            <w:r>
              <w:rPr>
                <w:rFonts w:ascii="Times New Roman" w:cs="Times New Roman" w:eastAsia="Times New Roman" w:hAnsi="Times New Roman"/>
                <w:sz w:val="10"/>
                <w:szCs w:val="10"/>
                <w:b w:val="1"/>
                <w:bCs w:val="1"/>
                <w:color w:val="auto"/>
              </w:rPr>
              <w:t>ignature</w:t>
            </w:r>
          </w:p>
        </w:tc>
        <w:tc>
          <w:tcPr>
            <w:tcW w:w="3800" w:type="dxa"/>
            <w:vAlign w:val="bottom"/>
          </w:tcPr>
          <w:p>
            <w:pPr>
              <w:ind w:left="2260"/>
              <w:spacing w:after="0"/>
              <w:rPr>
                <w:sz w:val="20"/>
                <w:szCs w:val="20"/>
                <w:color w:val="auto"/>
              </w:rPr>
            </w:pPr>
            <w:r>
              <w:rPr>
                <w:rFonts w:ascii="Times New Roman" w:cs="Times New Roman" w:eastAsia="Times New Roman" w:hAnsi="Times New Roman"/>
                <w:sz w:val="10"/>
                <w:szCs w:val="10"/>
                <w:b w:val="1"/>
                <w:bCs w:val="1"/>
                <w:u w:val="single" w:color="auto"/>
                <w:color w:val="auto"/>
              </w:rPr>
              <w:t>T</w:t>
            </w:r>
            <w:r>
              <w:rPr>
                <w:rFonts w:ascii="Times New Roman" w:cs="Times New Roman" w:eastAsia="Times New Roman" w:hAnsi="Times New Roman"/>
                <w:sz w:val="10"/>
                <w:szCs w:val="10"/>
                <w:b w:val="1"/>
                <w:bCs w:val="1"/>
                <w:color w:val="auto"/>
              </w:rPr>
              <w:t>itle</w:t>
            </w:r>
          </w:p>
        </w:tc>
        <w:tc>
          <w:tcPr>
            <w:tcW w:w="2860" w:type="dxa"/>
            <w:vAlign w:val="bottom"/>
          </w:tcPr>
          <w:p>
            <w:pPr>
              <w:ind w:left="1420"/>
              <w:spacing w:after="0"/>
              <w:rPr>
                <w:sz w:val="20"/>
                <w:szCs w:val="20"/>
                <w:color w:val="auto"/>
              </w:rPr>
            </w:pPr>
            <w:r>
              <w:rPr>
                <w:rFonts w:ascii="Times New Roman" w:cs="Times New Roman" w:eastAsia="Times New Roman" w:hAnsi="Times New Roman"/>
                <w:sz w:val="10"/>
                <w:szCs w:val="10"/>
                <w:b w:val="1"/>
                <w:bCs w:val="1"/>
                <w:color w:val="auto"/>
              </w:rPr>
              <w:t>Date</w:t>
            </w:r>
          </w:p>
        </w:tc>
      </w:tr>
      <w:tr>
        <w:trPr>
          <w:trHeight w:val="327"/>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P</w:t>
            </w:r>
            <w:r>
              <w:rPr>
                <w:rFonts w:ascii="Times New Roman" w:cs="Times New Roman" w:eastAsia="Times New Roman" w:hAnsi="Times New Roman"/>
                <w:sz w:val="8"/>
                <w:szCs w:val="8"/>
                <w:color w:val="auto"/>
              </w:rPr>
              <w:t>ETER</w:t>
            </w:r>
            <w:r>
              <w:rPr>
                <w:rFonts w:ascii="Times New Roman" w:cs="Times New Roman" w:eastAsia="Times New Roman" w:hAnsi="Times New Roman"/>
                <w:sz w:val="13"/>
                <w:szCs w:val="13"/>
                <w:color w:val="auto"/>
              </w:rPr>
              <w:t xml:space="preserve"> O. S</w:t>
            </w:r>
            <w:r>
              <w:rPr>
                <w:rFonts w:ascii="Times New Roman" w:cs="Times New Roman" w:eastAsia="Times New Roman" w:hAnsi="Times New Roman"/>
                <w:sz w:val="8"/>
                <w:szCs w:val="8"/>
                <w:color w:val="auto"/>
              </w:rPr>
              <w:t>HEA</w:t>
            </w:r>
            <w:r>
              <w:rPr>
                <w:rFonts w:ascii="Times New Roman" w:cs="Times New Roman" w:eastAsia="Times New Roman" w:hAnsi="Times New Roman"/>
                <w:sz w:val="13"/>
                <w:szCs w:val="13"/>
                <w:color w:val="auto"/>
              </w:rPr>
              <w:t>, J</w:t>
            </w:r>
            <w:r>
              <w:rPr>
                <w:rFonts w:ascii="Times New Roman" w:cs="Times New Roman" w:eastAsia="Times New Roman" w:hAnsi="Times New Roman"/>
                <w:sz w:val="8"/>
                <w:szCs w:val="8"/>
                <w:color w:val="auto"/>
              </w:rPr>
              <w:t>R</w:t>
            </w:r>
            <w:r>
              <w:rPr>
                <w:rFonts w:ascii="Times New Roman" w:cs="Times New Roman" w:eastAsia="Times New Roman" w:hAnsi="Times New Roman"/>
                <w:sz w:val="13"/>
                <w:szCs w:val="13"/>
                <w:color w:val="auto"/>
              </w:rPr>
              <w:t>.</w:t>
            </w:r>
          </w:p>
        </w:tc>
        <w:tc>
          <w:tcPr>
            <w:tcW w:w="3800" w:type="dxa"/>
            <w:vAlign w:val="bottom"/>
          </w:tcPr>
          <w:p>
            <w:pPr>
              <w:ind w:left="2060"/>
              <w:spacing w:after="0"/>
              <w:rPr>
                <w:sz w:val="20"/>
                <w:szCs w:val="20"/>
                <w:color w:val="auto"/>
              </w:rPr>
            </w:pPr>
            <w:r>
              <w:rPr>
                <w:rFonts w:ascii="Times New Roman" w:cs="Times New Roman" w:eastAsia="Times New Roman" w:hAnsi="Times New Roman"/>
                <w:sz w:val="13"/>
                <w:szCs w:val="13"/>
                <w:color w:val="auto"/>
              </w:rPr>
              <w:t>Director</w:t>
            </w:r>
          </w:p>
        </w:tc>
        <w:tc>
          <w:tcPr>
            <w:tcW w:w="2860" w:type="dxa"/>
            <w:vAlign w:val="bottom"/>
          </w:tcPr>
          <w:p>
            <w:pPr>
              <w:ind w:left="1300"/>
              <w:spacing w:after="0"/>
              <w:rPr>
                <w:sz w:val="20"/>
                <w:szCs w:val="20"/>
                <w:color w:val="auto"/>
              </w:rPr>
            </w:pPr>
            <w:r>
              <w:rPr>
                <w:rFonts w:ascii="Times New Roman" w:cs="Times New Roman" w:eastAsia="Times New Roman" w:hAnsi="Times New Roman"/>
                <w:sz w:val="13"/>
                <w:szCs w:val="13"/>
                <w:color w:val="auto"/>
              </w:rPr>
              <w:t>March 1, 2007</w:t>
            </w: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3"/>
                <w:szCs w:val="13"/>
                <w:color w:val="auto"/>
              </w:rPr>
              <w:t>Peter O. Shea, Jr.</w:t>
            </w:r>
          </w:p>
        </w:tc>
        <w:tc>
          <w:tcPr>
            <w:tcW w:w="380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29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G</w:t>
            </w:r>
            <w:r>
              <w:rPr>
                <w:rFonts w:ascii="Times New Roman" w:cs="Times New Roman" w:eastAsia="Times New Roman" w:hAnsi="Times New Roman"/>
                <w:sz w:val="8"/>
                <w:szCs w:val="8"/>
                <w:color w:val="auto"/>
              </w:rPr>
              <w:t>ENERAL</w:t>
            </w:r>
            <w:r>
              <w:rPr>
                <w:rFonts w:ascii="Times New Roman" w:cs="Times New Roman" w:eastAsia="Times New Roman" w:hAnsi="Times New Roman"/>
                <w:sz w:val="13"/>
                <w:szCs w:val="13"/>
                <w:color w:val="auto"/>
              </w:rPr>
              <w:t xml:space="preserve"> W</w:t>
            </w:r>
            <w:r>
              <w:rPr>
                <w:rFonts w:ascii="Times New Roman" w:cs="Times New Roman" w:eastAsia="Times New Roman" w:hAnsi="Times New Roman"/>
                <w:sz w:val="8"/>
                <w:szCs w:val="8"/>
                <w:color w:val="auto"/>
              </w:rPr>
              <w:t>ILLIAM</w:t>
            </w:r>
            <w:r>
              <w:rPr>
                <w:rFonts w:ascii="Times New Roman" w:cs="Times New Roman" w:eastAsia="Times New Roman" w:hAnsi="Times New Roman"/>
                <w:sz w:val="13"/>
                <w:szCs w:val="13"/>
                <w:color w:val="auto"/>
              </w:rPr>
              <w:t xml:space="preserve"> L</w:t>
            </w:r>
            <w:r>
              <w:rPr>
                <w:rFonts w:ascii="Times New Roman" w:cs="Times New Roman" w:eastAsia="Times New Roman" w:hAnsi="Times New Roman"/>
                <w:sz w:val="8"/>
                <w:szCs w:val="8"/>
                <w:color w:val="auto"/>
              </w:rPr>
              <w:t>YON</w:t>
            </w:r>
          </w:p>
        </w:tc>
        <w:tc>
          <w:tcPr>
            <w:tcW w:w="3800" w:type="dxa"/>
            <w:vAlign w:val="bottom"/>
          </w:tcPr>
          <w:p>
            <w:pPr>
              <w:ind w:left="2060"/>
              <w:spacing w:after="0"/>
              <w:rPr>
                <w:sz w:val="20"/>
                <w:szCs w:val="20"/>
                <w:color w:val="auto"/>
              </w:rPr>
            </w:pPr>
            <w:r>
              <w:rPr>
                <w:rFonts w:ascii="Times New Roman" w:cs="Times New Roman" w:eastAsia="Times New Roman" w:hAnsi="Times New Roman"/>
                <w:sz w:val="13"/>
                <w:szCs w:val="13"/>
                <w:color w:val="auto"/>
              </w:rPr>
              <w:t>Director</w:t>
            </w:r>
          </w:p>
        </w:tc>
        <w:tc>
          <w:tcPr>
            <w:tcW w:w="2860" w:type="dxa"/>
            <w:vAlign w:val="bottom"/>
          </w:tcPr>
          <w:p>
            <w:pPr>
              <w:ind w:left="1300"/>
              <w:spacing w:after="0"/>
              <w:rPr>
                <w:sz w:val="20"/>
                <w:szCs w:val="20"/>
                <w:color w:val="auto"/>
              </w:rPr>
            </w:pPr>
            <w:r>
              <w:rPr>
                <w:rFonts w:ascii="Times New Roman" w:cs="Times New Roman" w:eastAsia="Times New Roman" w:hAnsi="Times New Roman"/>
                <w:sz w:val="13"/>
                <w:szCs w:val="13"/>
                <w:color w:val="auto"/>
              </w:rPr>
              <w:t>March 1, 2007</w:t>
            </w: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3"/>
                <w:szCs w:val="13"/>
                <w:color w:val="auto"/>
              </w:rPr>
              <w:t>General William Lyon</w:t>
            </w:r>
          </w:p>
        </w:tc>
        <w:tc>
          <w:tcPr>
            <w:tcW w:w="380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29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C</w:t>
            </w:r>
            <w:r>
              <w:rPr>
                <w:rFonts w:ascii="Times New Roman" w:cs="Times New Roman" w:eastAsia="Times New Roman" w:hAnsi="Times New Roman"/>
                <w:sz w:val="8"/>
                <w:szCs w:val="8"/>
                <w:color w:val="auto"/>
              </w:rPr>
              <w:t>ARY</w:t>
            </w:r>
            <w:r>
              <w:rPr>
                <w:rFonts w:ascii="Times New Roman" w:cs="Times New Roman" w:eastAsia="Times New Roman" w:hAnsi="Times New Roman"/>
                <w:sz w:val="13"/>
                <w:szCs w:val="13"/>
                <w:color w:val="auto"/>
              </w:rPr>
              <w:t xml:space="preserve"> H. T</w:t>
            </w:r>
            <w:r>
              <w:rPr>
                <w:rFonts w:ascii="Times New Roman" w:cs="Times New Roman" w:eastAsia="Times New Roman" w:hAnsi="Times New Roman"/>
                <w:sz w:val="8"/>
                <w:szCs w:val="8"/>
                <w:color w:val="auto"/>
              </w:rPr>
              <w:t>HOMPSON</w:t>
            </w:r>
          </w:p>
        </w:tc>
        <w:tc>
          <w:tcPr>
            <w:tcW w:w="3800" w:type="dxa"/>
            <w:vAlign w:val="bottom"/>
          </w:tcPr>
          <w:p>
            <w:pPr>
              <w:ind w:left="2060"/>
              <w:spacing w:after="0"/>
              <w:rPr>
                <w:sz w:val="20"/>
                <w:szCs w:val="20"/>
                <w:color w:val="auto"/>
              </w:rPr>
            </w:pPr>
            <w:r>
              <w:rPr>
                <w:rFonts w:ascii="Times New Roman" w:cs="Times New Roman" w:eastAsia="Times New Roman" w:hAnsi="Times New Roman"/>
                <w:sz w:val="13"/>
                <w:szCs w:val="13"/>
                <w:color w:val="auto"/>
              </w:rPr>
              <w:t>Director</w:t>
            </w:r>
          </w:p>
        </w:tc>
        <w:tc>
          <w:tcPr>
            <w:tcW w:w="2860" w:type="dxa"/>
            <w:vAlign w:val="bottom"/>
          </w:tcPr>
          <w:p>
            <w:pPr>
              <w:ind w:left="1300"/>
              <w:spacing w:after="0"/>
              <w:rPr>
                <w:sz w:val="20"/>
                <w:szCs w:val="20"/>
                <w:color w:val="auto"/>
              </w:rPr>
            </w:pPr>
            <w:r>
              <w:rPr>
                <w:rFonts w:ascii="Times New Roman" w:cs="Times New Roman" w:eastAsia="Times New Roman" w:hAnsi="Times New Roman"/>
                <w:sz w:val="13"/>
                <w:szCs w:val="13"/>
                <w:color w:val="auto"/>
              </w:rPr>
              <w:t>March 1, 2007</w:t>
            </w: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3"/>
                <w:szCs w:val="13"/>
                <w:color w:val="auto"/>
              </w:rPr>
              <w:t>Cary H. Thompson</w:t>
            </w:r>
          </w:p>
        </w:tc>
        <w:tc>
          <w:tcPr>
            <w:tcW w:w="380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430"/>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80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118</w:t>
            </w:r>
          </w:p>
        </w:tc>
        <w:tc>
          <w:tcPr>
            <w:tcW w:w="286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28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6359525</wp:posOffset>
            </wp:positionH>
            <wp:positionV relativeFrom="paragraph">
              <wp:posOffset>-1325880</wp:posOffset>
            </wp:positionV>
            <wp:extent cx="635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121" w:name="page122"/>
    <w:bookmarkEnd w:id="121"/>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The Board of Directors and Stockholders</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Fidelity National Financial, Inc.:</w:t>
      </w:r>
    </w:p>
    <w:p>
      <w:pPr>
        <w:spacing w:after="0" w:line="83"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Under date of March 1, 2007, we reported on the Consolidated Balance Sheets of Fidelity National Financial, Inc. and subsidiaries as of December 31, 2006 and 2005, and the related Consolidated Statements of Earnings, Comprehensive Earnings, Stockholders’ Equity and Cash Flows for each of the years in the three-year period ended December 31, 2006 as contained in the Annual Report on Form 10-K for the year 2006. In connection with our audits of the aforementioned Consolidated Financial Statements, we also audited the related financial statement schedules as listed under Item 15(a)2. These financial statement schedules are the responsibility of the Company’s management. Our responsibility is to express an opinion on these financial statement schedules based on our audits.</w:t>
      </w:r>
    </w:p>
    <w:p>
      <w:pPr>
        <w:spacing w:after="0" w:line="62"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In our opinion, such financial statement schedules, when considered in relation to the basic Consolidated Financial Statements taken as a whole, present fairly, in all material respects, the information set forth therein.</w:t>
      </w:r>
    </w:p>
    <w:p>
      <w:pPr>
        <w:spacing w:after="0" w:line="47" w:lineRule="exact"/>
        <w:rPr>
          <w:sz w:val="20"/>
          <w:szCs w:val="20"/>
          <w:color w:val="auto"/>
        </w:rPr>
      </w:pPr>
    </w:p>
    <w:p>
      <w:pPr>
        <w:jc w:val="both"/>
        <w:ind w:left="680" w:right="360" w:firstLine="399"/>
        <w:spacing w:after="0" w:line="263" w:lineRule="auto"/>
        <w:rPr>
          <w:sz w:val="20"/>
          <w:szCs w:val="20"/>
          <w:color w:val="auto"/>
        </w:rPr>
      </w:pPr>
      <w:r>
        <w:rPr>
          <w:rFonts w:ascii="Times New Roman" w:cs="Times New Roman" w:eastAsia="Times New Roman" w:hAnsi="Times New Roman"/>
          <w:sz w:val="13"/>
          <w:szCs w:val="13"/>
          <w:color w:val="auto"/>
        </w:rPr>
        <w:t>As discussed in Notes A and M to the Consolidated Financial Statements, effective January 1, 2006, the Company adopted the fair value method of accounting for stock-based compensation as required by Statement of Financial Accounting Standards No. 123(R), “Share-Based Payment,” As discussed in Note M to the Consolidated Financial Statements, the Company adopted the recognition and disclosure provisions of Statement of Financial Accounting Standards No. 158, “Employers’ Accounting for Defined Benefit Pension and Other Postretirement Plans,” as of December 31, 2006.</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 KPMG LLP</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March 1, 2007</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Jacksonville, Florida</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Certified Public Accountants</w:t>
      </w:r>
    </w:p>
    <w:p>
      <w:pPr>
        <w:spacing w:after="0" w:line="2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22" w:name="page123"/>
    <w:bookmarkEnd w:id="122"/>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SCHEDULE II</w:t>
            </w:r>
          </w:p>
        </w:tc>
      </w:tr>
      <w:tr>
        <w:trPr>
          <w:trHeight w:val="388"/>
        </w:trPr>
        <w:tc>
          <w:tcPr>
            <w:tcW w:w="7900" w:type="dxa"/>
            <w:vAlign w:val="bottom"/>
          </w:tcPr>
          <w:p>
            <w:pPr>
              <w:jc w:val="center"/>
              <w:ind w:left="2034"/>
              <w:spacing w:after="0"/>
              <w:rPr>
                <w:sz w:val="20"/>
                <w:szCs w:val="20"/>
                <w:color w:val="auto"/>
              </w:rPr>
            </w:pPr>
            <w:r>
              <w:rPr>
                <w:rFonts w:ascii="Times New Roman" w:cs="Times New Roman" w:eastAsia="Times New Roman" w:hAnsi="Times New Roman"/>
                <w:sz w:val="13"/>
                <w:szCs w:val="13"/>
                <w:b w:val="1"/>
                <w:bCs w:val="1"/>
                <w:color w:val="auto"/>
              </w:rPr>
              <w:t>FIDELITY NATIONAL FINANCIAL, INC.</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7900" w:type="dxa"/>
            <w:vAlign w:val="bottom"/>
          </w:tcPr>
          <w:p>
            <w:pPr>
              <w:jc w:val="center"/>
              <w:ind w:left="2034"/>
              <w:spacing w:after="0"/>
              <w:rPr>
                <w:sz w:val="20"/>
                <w:szCs w:val="20"/>
                <w:color w:val="auto"/>
              </w:rPr>
            </w:pPr>
            <w:r>
              <w:rPr>
                <w:rFonts w:ascii="Times New Roman" w:cs="Times New Roman" w:eastAsia="Times New Roman" w:hAnsi="Times New Roman"/>
                <w:sz w:val="13"/>
                <w:szCs w:val="13"/>
                <w:b w:val="1"/>
                <w:bCs w:val="1"/>
                <w:color w:val="auto"/>
              </w:rPr>
              <w:t>(Parent Company)</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15"/>
        </w:trPr>
        <w:tc>
          <w:tcPr>
            <w:tcW w:w="7900" w:type="dxa"/>
            <w:vAlign w:val="bottom"/>
          </w:tcPr>
          <w:p>
            <w:pPr>
              <w:jc w:val="center"/>
              <w:ind w:left="2014"/>
              <w:spacing w:after="0"/>
              <w:rPr>
                <w:sz w:val="20"/>
                <w:szCs w:val="20"/>
                <w:color w:val="auto"/>
              </w:rPr>
            </w:pPr>
            <w:r>
              <w:rPr>
                <w:rFonts w:ascii="Times New Roman" w:cs="Times New Roman" w:eastAsia="Times New Roman" w:hAnsi="Times New Roman"/>
                <w:sz w:val="13"/>
                <w:szCs w:val="13"/>
                <w:b w:val="1"/>
                <w:bCs w:val="1"/>
                <w:color w:val="auto"/>
              </w:rPr>
              <w:t>BALANCE SHEETS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7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center"/>
              <w:ind w:left="29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98"/>
        </w:trPr>
        <w:tc>
          <w:tcPr>
            <w:tcW w:w="7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6"/>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215"/>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8"/>
                <w:szCs w:val="8"/>
                <w:color w:val="auto"/>
              </w:rPr>
            </w:pPr>
          </w:p>
        </w:tc>
      </w:tr>
      <w:tr>
        <w:trPr>
          <w:trHeight w:val="79"/>
        </w:trPr>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3"/>
          </w:tcPr>
          <w:p>
            <w:pPr>
              <w:jc w:val="center"/>
              <w:ind w:left="276"/>
              <w:spacing w:after="0" w:line="79" w:lineRule="exact"/>
              <w:rPr>
                <w:sz w:val="20"/>
                <w:szCs w:val="20"/>
                <w:color w:val="auto"/>
              </w:rPr>
            </w:pPr>
            <w:r>
              <w:rPr>
                <w:rFonts w:ascii="Times New Roman" w:cs="Times New Roman" w:eastAsia="Times New Roman" w:hAnsi="Times New Roman"/>
                <w:sz w:val="9"/>
                <w:szCs w:val="9"/>
                <w:b w:val="1"/>
                <w:bCs w:val="1"/>
                <w:color w:val="auto"/>
              </w:rPr>
              <w:t>(In thousands, except</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39"/>
        </w:trPr>
        <w:tc>
          <w:tcPr>
            <w:tcW w:w="7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ind w:left="296"/>
              <w:spacing w:after="0"/>
              <w:rPr>
                <w:sz w:val="20"/>
                <w:szCs w:val="20"/>
                <w:color w:val="auto"/>
              </w:rPr>
            </w:pPr>
            <w:r>
              <w:rPr>
                <w:rFonts w:ascii="Times New Roman" w:cs="Times New Roman" w:eastAsia="Times New Roman" w:hAnsi="Times New Roman"/>
                <w:sz w:val="10"/>
                <w:szCs w:val="10"/>
                <w:b w:val="1"/>
                <w:bCs w:val="1"/>
                <w:color w:val="auto"/>
              </w:rPr>
              <w:t>share data)</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900" w:type="dxa"/>
            <w:vAlign w:val="bottom"/>
            <w:shd w:val="clear" w:color="auto" w:fill="CCEEFF"/>
          </w:tcPr>
          <w:p>
            <w:pPr>
              <w:jc w:val="center"/>
              <w:ind w:left="2034"/>
              <w:spacing w:after="0"/>
              <w:rPr>
                <w:sz w:val="20"/>
                <w:szCs w:val="20"/>
                <w:color w:val="auto"/>
              </w:rPr>
            </w:pPr>
            <w:r>
              <w:rPr>
                <w:rFonts w:ascii="Times New Roman" w:cs="Times New Roman" w:eastAsia="Times New Roman" w:hAnsi="Times New Roman"/>
                <w:sz w:val="13"/>
                <w:szCs w:val="13"/>
                <w:b w:val="1"/>
                <w:bCs w:val="1"/>
                <w:color w:val="auto"/>
                <w:w w:val="99"/>
              </w:rPr>
              <w:t>ASSETS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Cash</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securities available for sale, at fair value</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319,880</w:t>
            </w: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607,805</w:t>
            </w:r>
          </w:p>
        </w:tc>
      </w:tr>
      <w:tr>
        <w:trPr>
          <w:trHeight w:val="157"/>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Accounts receivable from subsidiaries</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540,305</w:t>
            </w:r>
          </w:p>
        </w:tc>
        <w:tc>
          <w:tcPr>
            <w:tcW w:w="2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160,782</w:t>
            </w:r>
          </w:p>
        </w:tc>
      </w:tr>
      <w:tr>
        <w:trPr>
          <w:trHeight w:val="15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Notes receivable, net (related party — $500,000 in 2005)</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15,258</w:t>
            </w: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501,035</w:t>
            </w:r>
          </w:p>
        </w:tc>
      </w:tr>
      <w:tr>
        <w:trPr>
          <w:trHeight w:val="157"/>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Income taxes receivable</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25,960</w:t>
            </w:r>
          </w:p>
        </w:tc>
        <w:tc>
          <w:tcPr>
            <w:tcW w:w="2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in subsidiaries</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3,183,350</w:t>
            </w: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6"/>
              </w:rPr>
              <w:t>3,400,125</w:t>
            </w:r>
          </w:p>
        </w:tc>
      </w:tr>
      <w:tr>
        <w:trPr>
          <w:trHeight w:val="157"/>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2,069</w:t>
            </w:r>
          </w:p>
        </w:tc>
        <w:tc>
          <w:tcPr>
            <w:tcW w:w="2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1,155</w:t>
            </w:r>
          </w:p>
        </w:tc>
      </w:tr>
      <w:tr>
        <w:trPr>
          <w:trHeight w:val="15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8,420</w:t>
            </w: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14,301</w:t>
            </w:r>
          </w:p>
        </w:tc>
      </w:tr>
      <w:tr>
        <w:trPr>
          <w:trHeight w:val="157"/>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Other intangibles</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6,373</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5,910</w:t>
            </w: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9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4,101,615</w:t>
            </w: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6"/>
              </w:rPr>
              <w:t>4,691,113</w:t>
            </w:r>
          </w:p>
        </w:tc>
      </w:tr>
      <w:tr>
        <w:trPr>
          <w:trHeight w:val="285"/>
        </w:trPr>
        <w:tc>
          <w:tcPr>
            <w:tcW w:w="7900" w:type="dxa"/>
            <w:vAlign w:val="bottom"/>
          </w:tcPr>
          <w:p>
            <w:pPr>
              <w:jc w:val="center"/>
              <w:ind w:left="2034"/>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Liabilities: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37,820</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38,283</w:t>
            </w: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Notes payable</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489,730</w:t>
            </w: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498,088</w:t>
            </w: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income taxes</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43,653</w:t>
            </w:r>
          </w:p>
        </w:tc>
        <w:tc>
          <w:tcPr>
            <w:tcW w:w="2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130,846</w:t>
            </w: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taxes payable</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107,817</w:t>
            </w:r>
          </w:p>
        </w:tc>
      </w:tr>
      <w:tr>
        <w:trPr>
          <w:trHeight w:val="157"/>
        </w:trPr>
        <w:tc>
          <w:tcPr>
            <w:tcW w:w="79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571,203</w:t>
            </w:r>
          </w:p>
        </w:tc>
        <w:tc>
          <w:tcPr>
            <w:tcW w:w="3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775,034</w:t>
            </w:r>
          </w:p>
        </w:tc>
        <w:tc>
          <w:tcPr>
            <w:tcW w:w="100" w:type="dxa"/>
            <w:vAlign w:val="bottom"/>
          </w:tcPr>
          <w:p>
            <w:pPr>
              <w:spacing w:after="0"/>
              <w:rPr>
                <w:sz w:val="13"/>
                <w:szCs w:val="13"/>
                <w:color w:val="auto"/>
              </w:rPr>
            </w:pPr>
          </w:p>
        </w:tc>
      </w:tr>
      <w:tr>
        <w:trPr>
          <w:trHeight w:val="15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Minority Interest</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56,044</w:t>
            </w: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636,304</w:t>
            </w:r>
          </w:p>
        </w:tc>
      </w:tr>
      <w:tr>
        <w:trPr>
          <w:trHeight w:val="157"/>
        </w:trPr>
        <w:tc>
          <w:tcPr>
            <w:tcW w:w="7900" w:type="dxa"/>
            <w:vAlign w:val="bottom"/>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79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Common stock, Class A, $.0001 par value; authorized 600,000,000 shares and 300,000,000 shares at December 31, 2006 and 3005,</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respectively; issued 220,753,439 and 31,147,357 shares at December 31, 2006 and 2005, respectively</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22</w:t>
            </w:r>
          </w:p>
        </w:tc>
        <w:tc>
          <w:tcPr>
            <w:tcW w:w="2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w:t>
            </w:r>
          </w:p>
        </w:tc>
      </w:tr>
      <w:tr>
        <w:trPr>
          <w:trHeight w:val="144"/>
        </w:trPr>
        <w:tc>
          <w:tcPr>
            <w:tcW w:w="79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Common stock, Class B, $.0001 par value; no shares authorized or outstanding at December 31, 2005; authorized, 300,000,000 shares at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0"/>
        </w:trPr>
        <w:tc>
          <w:tcPr>
            <w:tcW w:w="79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December 31, 2005; outstanding 143,172,183 at December 31, 2005</w:t>
            </w:r>
          </w:p>
        </w:tc>
        <w:tc>
          <w:tcPr>
            <w:tcW w:w="16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w:t>
            </w: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3,193,904</w:t>
            </w: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6"/>
              </w:rPr>
              <w:t>3,254,960</w:t>
            </w: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Retained earnings</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345,516</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103,665</w:t>
            </w: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3,539,442</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6"/>
              </w:rPr>
              <w:t>3,358,642</w:t>
            </w: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6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(63,046)</w:t>
            </w:r>
          </w:p>
        </w:tc>
        <w:tc>
          <w:tcPr>
            <w:tcW w:w="2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(78,867)</w:t>
            </w: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Less treasury stock, 94,781 shares at December 31, 2006, at cost</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(2,028)</w:t>
            </w: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9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3,474,368</w:t>
            </w:r>
          </w:p>
        </w:tc>
        <w:tc>
          <w:tcPr>
            <w:tcW w:w="3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3,279,775</w:t>
            </w:r>
          </w:p>
        </w:tc>
        <w:tc>
          <w:tcPr>
            <w:tcW w:w="100" w:type="dxa"/>
            <w:vAlign w:val="bottom"/>
          </w:tcPr>
          <w:p>
            <w:pPr>
              <w:spacing w:after="0"/>
              <w:rPr>
                <w:sz w:val="13"/>
                <w:szCs w:val="13"/>
                <w:color w:val="auto"/>
              </w:rPr>
            </w:pPr>
          </w:p>
        </w:tc>
      </w:tr>
      <w:tr>
        <w:trPr>
          <w:trHeight w:val="157"/>
        </w:trPr>
        <w:tc>
          <w:tcPr>
            <w:tcW w:w="79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4,101,615</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6"/>
              </w:rPr>
              <w:t>4,691,113</w:t>
            </w:r>
          </w:p>
        </w:tc>
      </w:tr>
      <w:tr>
        <w:trPr>
          <w:trHeight w:val="29"/>
        </w:trPr>
        <w:tc>
          <w:tcPr>
            <w:tcW w:w="7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46"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3"/>
          <w:szCs w:val="13"/>
          <w:color w:val="auto"/>
        </w:rPr>
        <w:t>See Notes to Financial Statements —</w:t>
      </w:r>
    </w:p>
    <w:p>
      <w:pPr>
        <w:spacing w:after="0" w:line="2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See Accompanying Report of Registered Independent Public Accounting Firm</w:t>
      </w:r>
    </w:p>
    <w:p>
      <w:pPr>
        <w:spacing w:after="0" w:line="2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23" w:name="page124"/>
    <w:bookmarkEnd w:id="123"/>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SCHEDULE II</w:t>
            </w:r>
          </w:p>
        </w:tc>
      </w:tr>
      <w:tr>
        <w:trPr>
          <w:trHeight w:val="388"/>
        </w:trPr>
        <w:tc>
          <w:tcPr>
            <w:tcW w:w="6700" w:type="dxa"/>
            <w:vAlign w:val="bottom"/>
          </w:tcPr>
          <w:p>
            <w:pPr>
              <w:jc w:val="center"/>
              <w:ind w:left="3234"/>
              <w:spacing w:after="0"/>
              <w:rPr>
                <w:sz w:val="20"/>
                <w:szCs w:val="20"/>
                <w:color w:val="auto"/>
              </w:rPr>
            </w:pPr>
            <w:r>
              <w:rPr>
                <w:rFonts w:ascii="Times New Roman" w:cs="Times New Roman" w:eastAsia="Times New Roman" w:hAnsi="Times New Roman"/>
                <w:sz w:val="13"/>
                <w:szCs w:val="13"/>
                <w:b w:val="1"/>
                <w:bCs w:val="1"/>
                <w:color w:val="auto"/>
              </w:rPr>
              <w:t>FIDELITY NATIONAL FINANCIAL, INC.</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6700" w:type="dxa"/>
            <w:vAlign w:val="bottom"/>
          </w:tcPr>
          <w:p>
            <w:pPr>
              <w:jc w:val="center"/>
              <w:ind w:left="3234"/>
              <w:spacing w:after="0"/>
              <w:rPr>
                <w:sz w:val="20"/>
                <w:szCs w:val="20"/>
                <w:color w:val="auto"/>
              </w:rPr>
            </w:pPr>
            <w:r>
              <w:rPr>
                <w:rFonts w:ascii="Times New Roman" w:cs="Times New Roman" w:eastAsia="Times New Roman" w:hAnsi="Times New Roman"/>
                <w:sz w:val="13"/>
                <w:szCs w:val="13"/>
                <w:b w:val="1"/>
                <w:bCs w:val="1"/>
                <w:color w:val="auto"/>
              </w:rPr>
              <w:t>(Parent Company)</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15"/>
        </w:trPr>
        <w:tc>
          <w:tcPr>
            <w:tcW w:w="6860" w:type="dxa"/>
            <w:vAlign w:val="bottom"/>
            <w:gridSpan w:val="2"/>
          </w:tcPr>
          <w:p>
            <w:pPr>
              <w:jc w:val="center"/>
              <w:ind w:left="3074"/>
              <w:spacing w:after="0"/>
              <w:rPr>
                <w:sz w:val="20"/>
                <w:szCs w:val="20"/>
                <w:color w:val="auto"/>
              </w:rPr>
            </w:pPr>
            <w:r>
              <w:rPr>
                <w:rFonts w:ascii="Times New Roman" w:cs="Times New Roman" w:eastAsia="Times New Roman" w:hAnsi="Times New Roman"/>
                <w:sz w:val="13"/>
                <w:szCs w:val="13"/>
                <w:b w:val="1"/>
                <w:bCs w:val="1"/>
                <w:color w:val="auto"/>
                <w:w w:val="99"/>
              </w:rPr>
              <w:t>STATEMENTS OF EARNINGS AND RETAINED EARNINGS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4"/>
        </w:trPr>
        <w:tc>
          <w:tcPr>
            <w:tcW w:w="6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98"/>
        </w:trPr>
        <w:tc>
          <w:tcPr>
            <w:tcW w:w="6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5"/>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15"/>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8"/>
                <w:szCs w:val="8"/>
                <w:color w:val="auto"/>
              </w:rPr>
            </w:pPr>
          </w:p>
        </w:tc>
      </w:tr>
      <w:tr>
        <w:trPr>
          <w:trHeight w:val="133"/>
        </w:trPr>
        <w:tc>
          <w:tcPr>
            <w:tcW w:w="6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0" w:type="dxa"/>
            <w:vAlign w:val="bottom"/>
            <w:gridSpan w:val="5"/>
          </w:tcPr>
          <w:p>
            <w:pPr>
              <w:jc w:val="right"/>
              <w:ind w:right="74"/>
              <w:spacing w:after="0"/>
              <w:rPr>
                <w:sz w:val="20"/>
                <w:szCs w:val="20"/>
                <w:color w:val="auto"/>
              </w:rPr>
            </w:pPr>
            <w:r>
              <w:rPr>
                <w:rFonts w:ascii="Times New Roman" w:cs="Times New Roman" w:eastAsia="Times New Roman" w:hAnsi="Times New Roman"/>
                <w:sz w:val="10"/>
                <w:szCs w:val="10"/>
                <w:b w:val="1"/>
                <w:bCs w:val="1"/>
                <w:color w:val="auto"/>
              </w:rPr>
              <w:t>(In thousands, except per share data)</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6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fees and revenue</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388</w:t>
            </w:r>
          </w:p>
        </w:tc>
        <w:tc>
          <w:tcPr>
            <w:tcW w:w="540" w:type="dxa"/>
            <w:vAlign w:val="bottom"/>
            <w:gridSpan w:val="2"/>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187</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318</w:t>
            </w:r>
          </w:p>
        </w:tc>
      </w:tr>
      <w:tr>
        <w:trPr>
          <w:trHeight w:val="157"/>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Gain on sale of minority interest in FIS</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318,209</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6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and investment income</w:t>
            </w:r>
          </w:p>
        </w:tc>
        <w:tc>
          <w:tcPr>
            <w:tcW w:w="16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21,146</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19,929</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7,852</w:t>
            </w:r>
          </w:p>
        </w:tc>
      </w:tr>
      <w:tr>
        <w:trPr>
          <w:trHeight w:val="20"/>
        </w:trPr>
        <w:tc>
          <w:tcPr>
            <w:tcW w:w="6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21,534</w:t>
            </w: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338,325</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8,170</w:t>
            </w:r>
          </w:p>
        </w:tc>
      </w:tr>
      <w:tr>
        <w:trPr>
          <w:trHeight w:val="157"/>
        </w:trPr>
        <w:tc>
          <w:tcPr>
            <w:tcW w:w="6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Personnel expenses</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47,538</w:t>
            </w: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7,250</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251</w:t>
            </w:r>
          </w:p>
        </w:tc>
      </w:tr>
      <w:tr>
        <w:trPr>
          <w:trHeight w:val="157"/>
        </w:trPr>
        <w:tc>
          <w:tcPr>
            <w:tcW w:w="6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operating expenses</w:t>
            </w:r>
          </w:p>
        </w:tc>
        <w:tc>
          <w:tcPr>
            <w:tcW w:w="16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27,778</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8,620</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4,250</w:t>
            </w:r>
          </w:p>
        </w:tc>
      </w:tr>
      <w:tr>
        <w:trPr>
          <w:trHeight w:val="157"/>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41,089</w:t>
            </w: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38,157</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37,528</w:t>
            </w:r>
          </w:p>
        </w:tc>
      </w:tr>
      <w:tr>
        <w:trPr>
          <w:trHeight w:val="157"/>
        </w:trPr>
        <w:tc>
          <w:tcPr>
            <w:tcW w:w="67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116,405</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54,027</w:t>
            </w:r>
          </w:p>
        </w:tc>
        <w:tc>
          <w:tcPr>
            <w:tcW w:w="3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42,029</w:t>
            </w:r>
          </w:p>
        </w:tc>
        <w:tc>
          <w:tcPr>
            <w:tcW w:w="100" w:type="dxa"/>
            <w:vAlign w:val="bottom"/>
          </w:tcPr>
          <w:p>
            <w:pPr>
              <w:spacing w:after="0"/>
              <w:rPr>
                <w:sz w:val="13"/>
                <w:szCs w:val="13"/>
                <w:color w:val="auto"/>
              </w:rPr>
            </w:pPr>
          </w:p>
        </w:tc>
      </w:tr>
      <w:tr>
        <w:trPr>
          <w:trHeight w:val="157"/>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(loss) before income tax expense (benefit) and equity in earnings of Subsidiaries</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(94,871)</w:t>
            </w: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284,298</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(33,859)</w:t>
            </w:r>
          </w:p>
        </w:tc>
      </w:tr>
      <w:tr>
        <w:trPr>
          <w:trHeight w:val="157"/>
        </w:trPr>
        <w:tc>
          <w:tcPr>
            <w:tcW w:w="670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6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(35,292)</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112,093</w:t>
            </w:r>
          </w:p>
        </w:tc>
        <w:tc>
          <w:tcPr>
            <w:tcW w:w="1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(12,528)</w:t>
            </w:r>
          </w:p>
        </w:tc>
      </w:tr>
      <w:tr>
        <w:trPr>
          <w:trHeight w:val="20"/>
        </w:trPr>
        <w:tc>
          <w:tcPr>
            <w:tcW w:w="6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(loss) before equity in earnings of subsidiaries</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(59,579)</w:t>
            </w: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172,205</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(21,331)</w:t>
            </w:r>
          </w:p>
        </w:tc>
      </w:tr>
      <w:tr>
        <w:trPr>
          <w:trHeight w:val="157"/>
        </w:trPr>
        <w:tc>
          <w:tcPr>
            <w:tcW w:w="6700" w:type="dxa"/>
            <w:vAlign w:val="bottom"/>
          </w:tcPr>
          <w:p>
            <w:pPr>
              <w:spacing w:after="0"/>
              <w:rPr>
                <w:sz w:val="20"/>
                <w:szCs w:val="20"/>
                <w:color w:val="auto"/>
              </w:rPr>
            </w:pPr>
            <w:r>
              <w:rPr>
                <w:rFonts w:ascii="Times New Roman" w:cs="Times New Roman" w:eastAsia="Times New Roman" w:hAnsi="Times New Roman"/>
                <w:sz w:val="13"/>
                <w:szCs w:val="13"/>
                <w:color w:val="auto"/>
              </w:rPr>
              <w:t>Equity in earnings of subsidiaries</w:t>
            </w:r>
          </w:p>
        </w:tc>
        <w:tc>
          <w:tcPr>
            <w:tcW w:w="16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651,910</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862,344</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767,308</w:t>
            </w:r>
          </w:p>
        </w:tc>
      </w:tr>
      <w:tr>
        <w:trPr>
          <w:trHeight w:val="20"/>
        </w:trPr>
        <w:tc>
          <w:tcPr>
            <w:tcW w:w="6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before minority interest</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592,331</w:t>
            </w: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1,034,549</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745,977</w:t>
            </w:r>
          </w:p>
        </w:tc>
      </w:tr>
      <w:tr>
        <w:trPr>
          <w:trHeight w:val="157"/>
        </w:trPr>
        <w:tc>
          <w:tcPr>
            <w:tcW w:w="6700" w:type="dxa"/>
            <w:vAlign w:val="bottom"/>
          </w:tcPr>
          <w:p>
            <w:pPr>
              <w:spacing w:after="0"/>
              <w:rPr>
                <w:sz w:val="20"/>
                <w:szCs w:val="20"/>
                <w:color w:val="auto"/>
              </w:rPr>
            </w:pPr>
            <w:r>
              <w:rPr>
                <w:rFonts w:ascii="Times New Roman" w:cs="Times New Roman" w:eastAsia="Times New Roman" w:hAnsi="Times New Roman"/>
                <w:sz w:val="13"/>
                <w:szCs w:val="13"/>
                <w:color w:val="auto"/>
              </w:rPr>
              <w:t>Minority interest</w:t>
            </w:r>
          </w:p>
        </w:tc>
        <w:tc>
          <w:tcPr>
            <w:tcW w:w="16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154,570</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70,443</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5,015</w:t>
            </w:r>
          </w:p>
        </w:tc>
      </w:tr>
      <w:tr>
        <w:trPr>
          <w:trHeight w:val="20"/>
        </w:trPr>
        <w:tc>
          <w:tcPr>
            <w:tcW w:w="6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earnings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437,761</w:t>
            </w:r>
          </w:p>
        </w:tc>
        <w:tc>
          <w:tcPr>
            <w:tcW w:w="54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964,106</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740,962</w:t>
            </w:r>
          </w:p>
        </w:tc>
      </w:tr>
      <w:tr>
        <w:trPr>
          <w:trHeight w:val="181"/>
        </w:trPr>
        <w:tc>
          <w:tcPr>
            <w:tcW w:w="6700" w:type="dxa"/>
            <w:vAlign w:val="bottom"/>
          </w:tcPr>
          <w:p>
            <w:pPr>
              <w:spacing w:after="0"/>
              <w:rPr>
                <w:sz w:val="20"/>
                <w:szCs w:val="20"/>
                <w:color w:val="auto"/>
              </w:rPr>
            </w:pPr>
            <w:r>
              <w:rPr>
                <w:rFonts w:ascii="Times New Roman" w:cs="Times New Roman" w:eastAsia="Times New Roman" w:hAnsi="Times New Roman"/>
                <w:sz w:val="13"/>
                <w:szCs w:val="13"/>
                <w:color w:val="auto"/>
              </w:rPr>
              <w:t>Basic earnings per share</w:t>
            </w: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3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2"/>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shares outstanding, basic basis</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182,031</w:t>
            </w: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173,463</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6700" w:type="dxa"/>
            <w:vAlign w:val="bottom"/>
          </w:tcPr>
          <w:p>
            <w:pPr>
              <w:spacing w:after="0"/>
              <w:rPr>
                <w:sz w:val="20"/>
                <w:szCs w:val="20"/>
                <w:color w:val="auto"/>
              </w:rPr>
            </w:pPr>
            <w:r>
              <w:rPr>
                <w:rFonts w:ascii="Times New Roman" w:cs="Times New Roman" w:eastAsia="Times New Roman" w:hAnsi="Times New Roman"/>
                <w:sz w:val="13"/>
                <w:szCs w:val="13"/>
                <w:color w:val="auto"/>
              </w:rPr>
              <w:t>Diluted earnings per share</w:t>
            </w: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2"/>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shares outstanding, diluted basis</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182,861</w:t>
            </w: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173,575</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6700" w:type="dxa"/>
            <w:vAlign w:val="bottom"/>
          </w:tcPr>
          <w:p>
            <w:pPr>
              <w:spacing w:after="0"/>
              <w:rPr>
                <w:sz w:val="20"/>
                <w:szCs w:val="20"/>
                <w:color w:val="auto"/>
              </w:rPr>
            </w:pPr>
            <w:r>
              <w:rPr>
                <w:rFonts w:ascii="Times New Roman" w:cs="Times New Roman" w:eastAsia="Times New Roman" w:hAnsi="Times New Roman"/>
                <w:sz w:val="13"/>
                <w:szCs w:val="13"/>
                <w:color w:val="auto"/>
              </w:rPr>
              <w:t>Unaudited pro forma net earnings per share — basic and diluted</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4.28</w:t>
            </w:r>
          </w:p>
        </w:tc>
      </w:tr>
      <w:tr>
        <w:trPr>
          <w:trHeight w:val="34"/>
        </w:trPr>
        <w:tc>
          <w:tcPr>
            <w:tcW w:w="6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72"/>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Unaudited pro forma weighted average shares outstanding — basic and diluted</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172,951</w:t>
            </w:r>
          </w:p>
        </w:tc>
      </w:tr>
      <w:tr>
        <w:trPr>
          <w:trHeight w:val="167"/>
        </w:trPr>
        <w:tc>
          <w:tcPr>
            <w:tcW w:w="6700" w:type="dxa"/>
            <w:vAlign w:val="bottom"/>
          </w:tcPr>
          <w:p>
            <w:pPr>
              <w:spacing w:after="0"/>
              <w:rPr>
                <w:sz w:val="20"/>
                <w:szCs w:val="20"/>
                <w:color w:val="auto"/>
              </w:rPr>
            </w:pPr>
            <w:r>
              <w:rPr>
                <w:rFonts w:ascii="Times New Roman" w:cs="Times New Roman" w:eastAsia="Times New Roman" w:hAnsi="Times New Roman"/>
                <w:sz w:val="13"/>
                <w:szCs w:val="13"/>
                <w:color w:val="auto"/>
              </w:rPr>
              <w:t>Retained earnings, beginning of year</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103,665</w:t>
            </w:r>
          </w:p>
        </w:tc>
        <w:tc>
          <w:tcPr>
            <w:tcW w:w="540" w:type="dxa"/>
            <w:vAlign w:val="bottom"/>
            <w:gridSpan w:val="2"/>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1,515,215</w:t>
            </w:r>
          </w:p>
        </w:tc>
        <w:tc>
          <w:tcPr>
            <w:tcW w:w="1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1,517,494</w:t>
            </w:r>
          </w:p>
        </w:tc>
        <w:tc>
          <w:tcPr>
            <w:tcW w:w="100" w:type="dxa"/>
            <w:vAlign w:val="bottom"/>
          </w:tcPr>
          <w:p>
            <w:pPr>
              <w:spacing w:after="0"/>
              <w:rPr>
                <w:sz w:val="14"/>
                <w:szCs w:val="14"/>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(195,910)</w:t>
            </w: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(1,940,388)</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(136,079)</w:t>
            </w:r>
          </w:p>
        </w:tc>
      </w:tr>
      <w:tr>
        <w:trPr>
          <w:trHeight w:val="157"/>
        </w:trPr>
        <w:tc>
          <w:tcPr>
            <w:tcW w:w="6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Effect of 10% stock dividend</w:t>
            </w:r>
          </w:p>
        </w:tc>
        <w:tc>
          <w:tcPr>
            <w:tcW w:w="16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(607,162)</w:t>
            </w:r>
          </w:p>
        </w:tc>
      </w:tr>
      <w:tr>
        <w:trPr>
          <w:trHeight w:val="157"/>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Effect of FNT stock distribution</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(435,268)</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6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earnings</w:t>
            </w:r>
          </w:p>
        </w:tc>
        <w:tc>
          <w:tcPr>
            <w:tcW w:w="16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437,761</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964,106</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740,962</w:t>
            </w:r>
          </w:p>
        </w:tc>
      </w:tr>
      <w:tr>
        <w:trPr>
          <w:trHeight w:val="20"/>
        </w:trPr>
        <w:tc>
          <w:tcPr>
            <w:tcW w:w="6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Retained earnings, end of year</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345,516</w:t>
            </w:r>
          </w:p>
        </w:tc>
        <w:tc>
          <w:tcPr>
            <w:tcW w:w="54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103,665</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1,515,215</w:t>
            </w:r>
          </w:p>
        </w:tc>
      </w:tr>
      <w:tr>
        <w:trPr>
          <w:trHeight w:val="29"/>
        </w:trPr>
        <w:tc>
          <w:tcPr>
            <w:tcW w:w="6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46"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3"/>
          <w:szCs w:val="13"/>
          <w:color w:val="auto"/>
        </w:rPr>
        <w:t>See Notes to Financial Statements —</w:t>
      </w:r>
    </w:p>
    <w:p>
      <w:pPr>
        <w:spacing w:after="0" w:line="2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See Accompanying Report of Registered Independent Public Accounting Firm</w:t>
      </w:r>
    </w:p>
    <w:p>
      <w:pPr>
        <w:spacing w:after="0" w:line="2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24" w:name="page125"/>
    <w:bookmarkEnd w:id="124"/>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SCHEDULE II</w:t>
            </w:r>
          </w:p>
        </w:tc>
      </w:tr>
      <w:tr>
        <w:trPr>
          <w:trHeight w:val="388"/>
        </w:trPr>
        <w:tc>
          <w:tcPr>
            <w:tcW w:w="6800" w:type="dxa"/>
            <w:vAlign w:val="bottom"/>
          </w:tcPr>
          <w:p>
            <w:pPr>
              <w:jc w:val="center"/>
              <w:ind w:left="3134"/>
              <w:spacing w:after="0"/>
              <w:rPr>
                <w:sz w:val="20"/>
                <w:szCs w:val="20"/>
                <w:color w:val="auto"/>
              </w:rPr>
            </w:pPr>
            <w:r>
              <w:rPr>
                <w:rFonts w:ascii="Times New Roman" w:cs="Times New Roman" w:eastAsia="Times New Roman" w:hAnsi="Times New Roman"/>
                <w:sz w:val="13"/>
                <w:szCs w:val="13"/>
                <w:b w:val="1"/>
                <w:bCs w:val="1"/>
                <w:color w:val="auto"/>
              </w:rPr>
              <w:t>FIDELITY NATIONAL FINANCIAL, INC.</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6800" w:type="dxa"/>
            <w:vAlign w:val="bottom"/>
          </w:tcPr>
          <w:p>
            <w:pPr>
              <w:jc w:val="center"/>
              <w:ind w:left="3134"/>
              <w:spacing w:after="0"/>
              <w:rPr>
                <w:sz w:val="20"/>
                <w:szCs w:val="20"/>
                <w:color w:val="auto"/>
              </w:rPr>
            </w:pPr>
            <w:r>
              <w:rPr>
                <w:rFonts w:ascii="Times New Roman" w:cs="Times New Roman" w:eastAsia="Times New Roman" w:hAnsi="Times New Roman"/>
                <w:sz w:val="13"/>
                <w:szCs w:val="13"/>
                <w:b w:val="1"/>
                <w:bCs w:val="1"/>
                <w:color w:val="auto"/>
              </w:rPr>
              <w:t>(Parent Company)</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15"/>
        </w:trPr>
        <w:tc>
          <w:tcPr>
            <w:tcW w:w="6800" w:type="dxa"/>
            <w:vAlign w:val="bottom"/>
          </w:tcPr>
          <w:p>
            <w:pPr>
              <w:jc w:val="center"/>
              <w:ind w:left="3134"/>
              <w:spacing w:after="0"/>
              <w:rPr>
                <w:sz w:val="20"/>
                <w:szCs w:val="20"/>
                <w:color w:val="auto"/>
              </w:rPr>
            </w:pPr>
            <w:r>
              <w:rPr>
                <w:rFonts w:ascii="Times New Roman" w:cs="Times New Roman" w:eastAsia="Times New Roman" w:hAnsi="Times New Roman"/>
                <w:sz w:val="13"/>
                <w:szCs w:val="13"/>
                <w:b w:val="1"/>
                <w:bCs w:val="1"/>
                <w:color w:val="auto"/>
              </w:rPr>
              <w:t>STATEMENTS OF CASH FLOWS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6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98"/>
        </w:trPr>
        <w:tc>
          <w:tcPr>
            <w:tcW w:w="6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center"/>
              <w:ind w:right="15"/>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2005</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8"/>
                <w:szCs w:val="8"/>
                <w:color w:val="auto"/>
              </w:rPr>
            </w:pPr>
          </w:p>
        </w:tc>
      </w:tr>
      <w:tr>
        <w:trPr>
          <w:trHeight w:val="133"/>
        </w:trPr>
        <w:tc>
          <w:tcPr>
            <w:tcW w:w="6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55"/>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earnings</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437,761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964,106</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740,962</w:t>
            </w:r>
          </w:p>
        </w:tc>
      </w:tr>
      <w:tr>
        <w:trPr>
          <w:trHeight w:val="157"/>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earnings to net cash provided by (used in) operating activities: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16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1,167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1,242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(888)</w:t>
            </w:r>
          </w:p>
        </w:tc>
      </w:tr>
      <w:tr>
        <w:trPr>
          <w:trHeight w:val="157"/>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Minority interest</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154,571</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70,443</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5,015</w:t>
            </w:r>
          </w:p>
        </w:tc>
      </w:tr>
      <w:tr>
        <w:trPr>
          <w:trHeight w:val="157"/>
        </w:trPr>
        <w:tc>
          <w:tcPr>
            <w:tcW w:w="6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Equity in earnings of subsidiaries</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(651,911)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(862,344)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(767,308)</w:t>
            </w:r>
          </w:p>
        </w:tc>
      </w:tr>
      <w:tr>
        <w:trPr>
          <w:trHeight w:val="157"/>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Gain on sale of minority interest in FIS</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(318,209)</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6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Gain on sales of investments</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(4,851)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(5,720)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(5,125)</w:t>
            </w:r>
          </w:p>
        </w:tc>
      </w:tr>
      <w:tr>
        <w:trPr>
          <w:trHeight w:val="157"/>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Stock-based compensation cost</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64,984</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34,108</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21,450</w:t>
            </w:r>
          </w:p>
        </w:tc>
      </w:tr>
      <w:tr>
        <w:trPr>
          <w:trHeight w:val="157"/>
        </w:trPr>
        <w:tc>
          <w:tcPr>
            <w:tcW w:w="6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Tax benefit associated with the exercise of stock options</w:t>
            </w:r>
          </w:p>
        </w:tc>
        <w:tc>
          <w:tcPr>
            <w:tcW w:w="16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34,844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36,085</w:t>
            </w:r>
          </w:p>
        </w:tc>
      </w:tr>
      <w:tr>
        <w:trPr>
          <w:trHeight w:val="157"/>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(decrease) increase in income taxes</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(179,256)</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161,936</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(6,716)</w:t>
            </w:r>
          </w:p>
        </w:tc>
      </w:tr>
      <w:tr>
        <w:trPr>
          <w:trHeight w:val="157"/>
        </w:trPr>
        <w:tc>
          <w:tcPr>
            <w:tcW w:w="6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decrease (increase) in prepaid expenses and other assets</w:t>
            </w:r>
          </w:p>
        </w:tc>
        <w:tc>
          <w:tcPr>
            <w:tcW w:w="16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5,881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4,204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(13,288)</w:t>
            </w:r>
          </w:p>
        </w:tc>
      </w:tr>
      <w:tr>
        <w:trPr>
          <w:trHeight w:val="157"/>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decrease in accounts payable and accrued liabilities</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(463)</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(23,002)</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(5,702)</w:t>
            </w:r>
          </w:p>
        </w:tc>
      </w:tr>
      <w:tr>
        <w:trPr>
          <w:trHeight w:val="157"/>
        </w:trPr>
        <w:tc>
          <w:tcPr>
            <w:tcW w:w="6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Net cash (used in) provided by operating activities</w:t>
            </w:r>
          </w:p>
        </w:tc>
        <w:tc>
          <w:tcPr>
            <w:tcW w:w="1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(172,117)</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61,608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4,485</w:t>
            </w:r>
          </w:p>
        </w:tc>
        <w:tc>
          <w:tcPr>
            <w:tcW w:w="100" w:type="dxa"/>
            <w:vAlign w:val="bottom"/>
          </w:tcPr>
          <w:p>
            <w:pPr>
              <w:spacing w:after="0"/>
              <w:rPr>
                <w:sz w:val="13"/>
                <w:szCs w:val="13"/>
                <w:color w:val="auto"/>
              </w:rPr>
            </w:pPr>
          </w:p>
        </w:tc>
      </w:tr>
      <w:tr>
        <w:trPr>
          <w:trHeight w:val="157"/>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sales of investments</w:t>
            </w:r>
          </w:p>
        </w:tc>
        <w:tc>
          <w:tcPr>
            <w:tcW w:w="16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919,653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820,522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101,069</w:t>
            </w:r>
          </w:p>
        </w:tc>
      </w:tr>
      <w:tr>
        <w:trPr>
          <w:trHeight w:val="157"/>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Purchases of investments</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(944,672)</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(1,071,623)</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(122,082)</w:t>
            </w:r>
          </w:p>
        </w:tc>
      </w:tr>
      <w:tr>
        <w:trPr>
          <w:trHeight w:val="157"/>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proceeds (purchases) from short-term investing activities</w:t>
            </w:r>
          </w:p>
        </w:tc>
        <w:tc>
          <w:tcPr>
            <w:tcW w:w="16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320,553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(319,226)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(2,442)</w:t>
            </w:r>
          </w:p>
        </w:tc>
      </w:tr>
      <w:tr>
        <w:trPr>
          <w:trHeight w:val="157"/>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(914)</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(33)</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(25)</w:t>
            </w:r>
          </w:p>
        </w:tc>
      </w:tr>
      <w:tr>
        <w:trPr>
          <w:trHeight w:val="157"/>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collections of notes receivable</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r>
      <w:tr>
        <w:trPr>
          <w:trHeight w:val="157"/>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additions to investment in subsidiaries</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(115,022)</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(14,284)</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(492,150)</w:t>
            </w:r>
          </w:p>
        </w:tc>
      </w:tr>
      <w:tr>
        <w:trPr>
          <w:trHeight w:val="157"/>
        </w:trPr>
        <w:tc>
          <w:tcPr>
            <w:tcW w:w="6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1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179,258</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(584,644)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(515,130)</w:t>
            </w:r>
          </w:p>
        </w:tc>
        <w:tc>
          <w:tcPr>
            <w:tcW w:w="100" w:type="dxa"/>
            <w:vAlign w:val="bottom"/>
          </w:tcPr>
          <w:p>
            <w:pPr>
              <w:spacing w:after="0"/>
              <w:rPr>
                <w:sz w:val="13"/>
                <w:szCs w:val="13"/>
                <w:color w:val="auto"/>
              </w:rPr>
            </w:pPr>
          </w:p>
        </w:tc>
      </w:tr>
      <w:tr>
        <w:trPr>
          <w:trHeight w:val="157"/>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Borrowings</w:t>
            </w:r>
          </w:p>
        </w:tc>
        <w:tc>
          <w:tcPr>
            <w:tcW w:w="16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485,000</w:t>
            </w:r>
          </w:p>
        </w:tc>
      </w:tr>
      <w:tr>
        <w:trPr>
          <w:trHeight w:val="157"/>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Debt service payments</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(8,652)</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(400,000)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(160,000)</w:t>
            </w:r>
          </w:p>
        </w:tc>
      </w:tr>
      <w:tr>
        <w:trPr>
          <w:trHeight w:val="157"/>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Debt cost additions</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(1,336)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Dividends paid</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(195,910)</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(1,940,389)</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(136,079)</w:t>
            </w:r>
          </w:p>
        </w:tc>
      </w:tr>
      <w:tr>
        <w:trPr>
          <w:trHeight w:val="157"/>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16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(70,874)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(128,723)</w:t>
            </w:r>
          </w:p>
        </w:tc>
      </w:tr>
      <w:tr>
        <w:trPr>
          <w:trHeight w:val="157"/>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35,665</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51,846</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76,899</w:t>
            </w:r>
          </w:p>
        </w:tc>
      </w:tr>
      <w:tr>
        <w:trPr>
          <w:trHeight w:val="157"/>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Tax benefit associated with the exercise of stock options</w:t>
            </w:r>
          </w:p>
        </w:tc>
        <w:tc>
          <w:tcPr>
            <w:tcW w:w="16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87,112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borrowings and dividends from subsidiaries</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75,980</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2,882,453</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373,548</w:t>
            </w:r>
          </w:p>
        </w:tc>
      </w:tr>
      <w:tr>
        <w:trPr>
          <w:trHeight w:val="157"/>
        </w:trPr>
        <w:tc>
          <w:tcPr>
            <w:tcW w:w="6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1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(7,141)</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523,036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510,645</w:t>
            </w:r>
          </w:p>
        </w:tc>
        <w:tc>
          <w:tcPr>
            <w:tcW w:w="100" w:type="dxa"/>
            <w:vAlign w:val="bottom"/>
          </w:tcPr>
          <w:p>
            <w:pPr>
              <w:spacing w:after="0"/>
              <w:rPr>
                <w:sz w:val="13"/>
                <w:szCs w:val="13"/>
                <w:color w:val="auto"/>
              </w:rPr>
            </w:pPr>
          </w:p>
        </w:tc>
      </w:tr>
      <w:tr>
        <w:trPr>
          <w:trHeight w:val="157"/>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decrease in cash and cash equivalents</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at beginning of year</w:t>
            </w:r>
          </w:p>
        </w:tc>
        <w:tc>
          <w:tcPr>
            <w:tcW w:w="16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6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at end of year</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6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46"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3"/>
          <w:szCs w:val="13"/>
          <w:color w:val="auto"/>
        </w:rPr>
        <w:t>See Notes to Financial Statements —</w:t>
      </w:r>
    </w:p>
    <w:p>
      <w:pPr>
        <w:spacing w:after="0" w:line="2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color w:val="auto"/>
        </w:rPr>
        <w:t>See Accompanying Report of Registered Independent Public Accounting Firm</w:t>
      </w:r>
    </w:p>
    <w:p>
      <w:pPr>
        <w:spacing w:after="0" w:line="2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25" w:name="page126"/>
    <w:bookmarkEnd w:id="125"/>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SCHEDULE II</w:t>
      </w:r>
    </w:p>
    <w:p>
      <w:pPr>
        <w:spacing w:after="0" w:line="254"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FIDELITY NATIONAL FINANCIAL, INC.</w:t>
      </w:r>
    </w:p>
    <w:p>
      <w:pPr>
        <w:spacing w:after="0" w:line="2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(Parent Company)</w:t>
      </w:r>
    </w:p>
    <w:p>
      <w:pPr>
        <w:spacing w:after="0" w:line="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A. Summary of Significant Accounting Policies</w:t>
      </w:r>
    </w:p>
    <w:p>
      <w:pPr>
        <w:spacing w:after="0" w:line="98" w:lineRule="exact"/>
        <w:rPr>
          <w:sz w:val="20"/>
          <w:szCs w:val="20"/>
          <w:color w:val="auto"/>
        </w:rPr>
      </w:pPr>
    </w:p>
    <w:p>
      <w:pPr>
        <w:ind w:left="680" w:right="340" w:firstLine="399"/>
        <w:spacing w:after="0" w:line="286" w:lineRule="auto"/>
        <w:rPr>
          <w:sz w:val="20"/>
          <w:szCs w:val="20"/>
          <w:color w:val="auto"/>
        </w:rPr>
      </w:pPr>
      <w:r>
        <w:rPr>
          <w:rFonts w:ascii="Times New Roman" w:cs="Times New Roman" w:eastAsia="Times New Roman" w:hAnsi="Times New Roman"/>
          <w:sz w:val="13"/>
          <w:szCs w:val="13"/>
          <w:color w:val="auto"/>
        </w:rPr>
        <w:t>Fidelity National Financial, Inc. (the “Company”) transacts substantially all of its business through its subsidiaries. The Parent Company Financial Statements should be read in connection with the aforementioned Consolidated Financial Statements and Notes thereto included elsewhere herein.</w:t>
      </w:r>
    </w:p>
    <w:p>
      <w:pPr>
        <w:spacing w:after="0" w:line="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B. Notes Payable</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Notes payable consist of the following:</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jc w:val="right"/>
              <w:ind w:right="5"/>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7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center"/>
              <w:ind w:right="99"/>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7"/>
              <w:spacing w:after="0" w:line="98" w:lineRule="exact"/>
              <w:rPr>
                <w:sz w:val="20"/>
                <w:szCs w:val="20"/>
                <w:color w:val="auto"/>
              </w:rPr>
            </w:pPr>
            <w:r>
              <w:rPr>
                <w:rFonts w:ascii="Times New Roman" w:cs="Times New Roman" w:eastAsia="Times New Roman" w:hAnsi="Times New Roman"/>
                <w:sz w:val="10"/>
                <w:szCs w:val="10"/>
                <w:b w:val="1"/>
                <w:bCs w:val="1"/>
                <w:color w:val="auto"/>
              </w:rPr>
              <w:t>2005</w:t>
            </w:r>
          </w:p>
        </w:tc>
        <w:tc>
          <w:tcPr>
            <w:tcW w:w="100" w:type="dxa"/>
            <w:vAlign w:val="bottom"/>
          </w:tcPr>
          <w:p>
            <w:pPr>
              <w:spacing w:after="0"/>
              <w:rPr>
                <w:sz w:val="8"/>
                <w:szCs w:val="8"/>
                <w:color w:val="auto"/>
              </w:rPr>
            </w:pPr>
          </w:p>
        </w:tc>
      </w:tr>
      <w:tr>
        <w:trPr>
          <w:trHeight w:val="133"/>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w w:val="81"/>
              </w:rPr>
              <w:t>(Dollars</w:t>
            </w:r>
          </w:p>
        </w:tc>
        <w:tc>
          <w:tcPr>
            <w:tcW w:w="1080" w:type="dxa"/>
            <w:vAlign w:val="bottom"/>
            <w:gridSpan w:val="3"/>
          </w:tcPr>
          <w:p>
            <w:pPr>
              <w:jc w:val="right"/>
              <w:ind w:right="337"/>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0" w:type="dxa"/>
            <w:vAlign w:val="bottom"/>
          </w:tcPr>
          <w:p>
            <w:pPr>
              <w:spacing w:after="0"/>
              <w:rPr>
                <w:sz w:val="11"/>
                <w:szCs w:val="11"/>
                <w:color w:val="auto"/>
              </w:rPr>
            </w:pPr>
          </w:p>
        </w:tc>
      </w:tr>
      <w:tr>
        <w:trPr>
          <w:trHeight w:val="16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Unsecured notes, net of discount, interest payable semi-annually at 7.3%, due August 2011</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240,881</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249,437</w:t>
            </w:r>
          </w:p>
        </w:tc>
      </w:tr>
      <w:tr>
        <w:trPr>
          <w:trHeight w:val="157"/>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Unsecured notes, net of discount, interest payable semi-annually at 5.25%, due March 2013</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248,849</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248,651</w:t>
            </w:r>
          </w:p>
        </w:tc>
      </w:tr>
      <w:tr>
        <w:trPr>
          <w:trHeight w:val="20"/>
        </w:trPr>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489,730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498,088</w:t>
            </w:r>
          </w:p>
        </w:tc>
      </w:tr>
      <w:tr>
        <w:trPr>
          <w:trHeight w:val="256"/>
        </w:trPr>
        <w:tc>
          <w:tcPr>
            <w:tcW w:w="7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 Supplemental Cash Flow Information</w:t>
            </w: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06"/>
        </w:trPr>
        <w:tc>
          <w:tcPr>
            <w:tcW w:w="7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center"/>
              <w:ind w:right="68"/>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98"/>
        </w:trPr>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7"/>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center"/>
              <w:ind w:right="79"/>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2005</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7"/>
              <w:spacing w:after="0" w:line="98" w:lineRule="exact"/>
              <w:rPr>
                <w:sz w:val="20"/>
                <w:szCs w:val="20"/>
                <w:color w:val="auto"/>
              </w:rPr>
            </w:pPr>
            <w:r>
              <w:rPr>
                <w:rFonts w:ascii="Times New Roman" w:cs="Times New Roman" w:eastAsia="Times New Roman" w:hAnsi="Times New Roman"/>
                <w:sz w:val="10"/>
                <w:szCs w:val="10"/>
                <w:b w:val="1"/>
                <w:bCs w:val="1"/>
                <w:color w:val="auto"/>
              </w:rPr>
              <w:t>2004</w:t>
            </w:r>
          </w:p>
        </w:tc>
        <w:tc>
          <w:tcPr>
            <w:tcW w:w="100" w:type="dxa"/>
            <w:vAlign w:val="bottom"/>
          </w:tcPr>
          <w:p>
            <w:pPr>
              <w:spacing w:after="0"/>
              <w:rPr>
                <w:sz w:val="8"/>
                <w:szCs w:val="8"/>
                <w:color w:val="auto"/>
              </w:rPr>
            </w:pPr>
          </w:p>
        </w:tc>
      </w:tr>
      <w:tr>
        <w:trPr>
          <w:trHeight w:val="133"/>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4"/>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during the year:</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35,292</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163,604</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47,108</w:t>
            </w:r>
          </w:p>
        </w:tc>
      </w:tr>
      <w:tr>
        <w:trPr>
          <w:trHeight w:val="157"/>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taxes</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185,678</w:t>
            </w:r>
          </w:p>
        </w:tc>
        <w:tc>
          <w:tcPr>
            <w:tcW w:w="3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364,400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394,900</w:t>
            </w:r>
          </w:p>
        </w:tc>
      </w:tr>
      <w:tr>
        <w:trPr>
          <w:trHeight w:val="157"/>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Non-cash investing and financing activities: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Fair value of shares issued in connection with acquisitions</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237,480</w:t>
            </w:r>
          </w:p>
        </w:tc>
      </w:tr>
      <w:tr>
        <w:trPr>
          <w:trHeight w:val="171"/>
        </w:trPr>
        <w:tc>
          <w:tcPr>
            <w:tcW w:w="7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1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192</w:t>
            </w:r>
          </w:p>
        </w:tc>
      </w:tr>
    </w:tbl>
    <w:p>
      <w:pPr>
        <w:spacing w:after="0" w:line="6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D. Cash Dividends Received</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Company has received cash dividends from subsidiaries and affiliates of $0.4 billion, $2.8 billion, and $0.4 billion in 2006, 2005 and 2004, respectively.</w:t>
      </w:r>
    </w:p>
    <w:p>
      <w:pPr>
        <w:spacing w:after="0" w:line="3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26" w:name="page127"/>
    <w:bookmarkEnd w:id="126"/>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1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SCHEDULE V</w:t>
            </w:r>
          </w:p>
        </w:tc>
        <w:tc>
          <w:tcPr>
            <w:tcW w:w="0" w:type="dxa"/>
            <w:vAlign w:val="bottom"/>
          </w:tcPr>
          <w:p>
            <w:pPr>
              <w:spacing w:after="0"/>
              <w:rPr>
                <w:sz w:val="1"/>
                <w:szCs w:val="1"/>
                <w:color w:val="auto"/>
              </w:rPr>
            </w:pPr>
          </w:p>
        </w:tc>
      </w:tr>
      <w:tr>
        <w:trPr>
          <w:trHeight w:val="403"/>
        </w:trPr>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140" w:type="dxa"/>
            <w:vAlign w:val="bottom"/>
            <w:gridSpan w:val="10"/>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FIDELITY NATIONAL FINANCIAL, INC. AND SUBSIDIARIES</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860" w:type="dxa"/>
            <w:vAlign w:val="bottom"/>
            <w:gridSpan w:val="7"/>
          </w:tcPr>
          <w:p>
            <w:pPr>
              <w:jc w:val="center"/>
              <w:ind w:left="614"/>
              <w:spacing w:after="0"/>
              <w:rPr>
                <w:sz w:val="20"/>
                <w:szCs w:val="20"/>
                <w:color w:val="auto"/>
              </w:rPr>
            </w:pPr>
            <w:r>
              <w:rPr>
                <w:rFonts w:ascii="Times New Roman" w:cs="Times New Roman" w:eastAsia="Times New Roman" w:hAnsi="Times New Roman"/>
                <w:sz w:val="13"/>
                <w:szCs w:val="13"/>
                <w:b w:val="1"/>
                <w:bCs w:val="1"/>
                <w:color w:val="auto"/>
                <w:w w:val="99"/>
              </w:rPr>
              <w:t>VALUATION AND QUALIFYING ACCOUNTS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60" w:type="dxa"/>
            <w:vAlign w:val="bottom"/>
            <w:gridSpan w:val="7"/>
          </w:tcPr>
          <w:p>
            <w:pPr>
              <w:jc w:val="center"/>
              <w:ind w:left="614"/>
              <w:spacing w:after="0"/>
              <w:rPr>
                <w:sz w:val="20"/>
                <w:szCs w:val="20"/>
                <w:color w:val="auto"/>
              </w:rPr>
            </w:pPr>
            <w:r>
              <w:rPr>
                <w:rFonts w:ascii="Times New Roman" w:cs="Times New Roman" w:eastAsia="Times New Roman" w:hAnsi="Times New Roman"/>
                <w:sz w:val="13"/>
                <w:szCs w:val="13"/>
                <w:b w:val="1"/>
                <w:bCs w:val="1"/>
                <w:color w:val="auto"/>
                <w:w w:val="99"/>
              </w:rPr>
              <w:t>Years Ended December 31, 2006, 2005 and 2004</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0"/>
                <w:szCs w:val="10"/>
                <w:b w:val="1"/>
                <w:bCs w:val="1"/>
                <w:color w:val="auto"/>
              </w:rPr>
              <w:t>Column B</w:t>
            </w: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Column C</w:t>
            </w:r>
          </w:p>
        </w:tc>
        <w:tc>
          <w:tcPr>
            <w:tcW w:w="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Column E</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Additions</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restart"/>
          </w:tcPr>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Column D</w:t>
            </w:r>
          </w:p>
        </w:tc>
        <w:tc>
          <w:tcPr>
            <w:tcW w:w="54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Column A</w:t>
            </w:r>
          </w:p>
        </w:tc>
        <w:tc>
          <w:tcPr>
            <w:tcW w:w="13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ind w:right="20"/>
              <w:spacing w:after="0" w:line="98"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5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gridSpan w:val="2"/>
          </w:tcPr>
          <w:p>
            <w:pPr>
              <w:ind w:left="40"/>
              <w:spacing w:after="0" w:line="98" w:lineRule="exact"/>
              <w:rPr>
                <w:sz w:val="20"/>
                <w:szCs w:val="20"/>
                <w:color w:val="auto"/>
              </w:rPr>
            </w:pPr>
            <w:r>
              <w:rPr>
                <w:rFonts w:ascii="Times New Roman" w:cs="Times New Roman" w:eastAsia="Times New Roman" w:hAnsi="Times New Roman"/>
                <w:sz w:val="10"/>
                <w:szCs w:val="10"/>
                <w:b w:val="1"/>
                <w:bCs w:val="1"/>
                <w:color w:val="auto"/>
              </w:rPr>
              <w:t>Charge to</w:t>
            </w: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ind w:right="40"/>
              <w:spacing w:after="0" w:line="98"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720" w:type="dxa"/>
            <w:vAlign w:val="bottom"/>
            <w:gridSpan w:val="2"/>
            <w:vMerge w:val="continue"/>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600"/>
              <w:spacing w:after="0" w:line="99" w:lineRule="exact"/>
              <w:rPr>
                <w:sz w:val="20"/>
                <w:szCs w:val="20"/>
                <w:color w:val="auto"/>
              </w:rPr>
            </w:pPr>
            <w:r>
              <w:rPr>
                <w:rFonts w:ascii="Times New Roman" w:cs="Times New Roman" w:eastAsia="Times New Roman" w:hAnsi="Times New Roman"/>
                <w:sz w:val="10"/>
                <w:szCs w:val="10"/>
                <w:b w:val="1"/>
                <w:bCs w:val="1"/>
                <w:color w:val="auto"/>
              </w:rPr>
              <w:t>Beginning of</w:t>
            </w:r>
          </w:p>
        </w:tc>
        <w:tc>
          <w:tcPr>
            <w:tcW w:w="80" w:type="dxa"/>
            <w:vAlign w:val="bottom"/>
          </w:tcPr>
          <w:p>
            <w:pPr>
              <w:spacing w:after="0"/>
              <w:rPr>
                <w:sz w:val="8"/>
                <w:szCs w:val="8"/>
                <w:color w:val="auto"/>
              </w:rPr>
            </w:pPr>
          </w:p>
        </w:tc>
        <w:tc>
          <w:tcPr>
            <w:tcW w:w="1100" w:type="dxa"/>
            <w:vAlign w:val="bottom"/>
            <w:gridSpan w:val="2"/>
          </w:tcPr>
          <w:p>
            <w:pPr>
              <w:ind w:left="40"/>
              <w:spacing w:after="0" w:line="99" w:lineRule="exact"/>
              <w:rPr>
                <w:sz w:val="20"/>
                <w:szCs w:val="20"/>
                <w:color w:val="auto"/>
              </w:rPr>
            </w:pPr>
            <w:r>
              <w:rPr>
                <w:rFonts w:ascii="Times New Roman" w:cs="Times New Roman" w:eastAsia="Times New Roman" w:hAnsi="Times New Roman"/>
                <w:sz w:val="10"/>
                <w:szCs w:val="10"/>
                <w:b w:val="1"/>
                <w:bCs w:val="1"/>
                <w:color w:val="auto"/>
              </w:rPr>
              <w:t>Costs and</w:t>
            </w:r>
          </w:p>
        </w:tc>
        <w:tc>
          <w:tcPr>
            <w:tcW w:w="60" w:type="dxa"/>
            <w:vAlign w:val="bottom"/>
          </w:tcPr>
          <w:p>
            <w:pPr>
              <w:spacing w:after="0"/>
              <w:rPr>
                <w:sz w:val="8"/>
                <w:szCs w:val="8"/>
                <w:color w:val="auto"/>
              </w:rPr>
            </w:pPr>
          </w:p>
        </w:tc>
        <w:tc>
          <w:tcPr>
            <w:tcW w:w="1220" w:type="dxa"/>
            <w:vAlign w:val="bottom"/>
            <w:gridSpan w:val="2"/>
          </w:tcPr>
          <w:p>
            <w:pPr>
              <w:jc w:val="center"/>
              <w:ind w:right="660"/>
              <w:spacing w:after="0" w:line="99" w:lineRule="exact"/>
              <w:rPr>
                <w:sz w:val="20"/>
                <w:szCs w:val="20"/>
                <w:color w:val="auto"/>
              </w:rPr>
            </w:pPr>
            <w:r>
              <w:rPr>
                <w:rFonts w:ascii="Times New Roman" w:cs="Times New Roman" w:eastAsia="Times New Roman" w:hAnsi="Times New Roman"/>
                <w:sz w:val="10"/>
                <w:szCs w:val="10"/>
                <w:b w:val="1"/>
                <w:bCs w:val="1"/>
                <w:color w:val="auto"/>
              </w:rPr>
              <w:t>Other</w:t>
            </w:r>
          </w:p>
        </w:tc>
        <w:tc>
          <w:tcPr>
            <w:tcW w:w="60" w:type="dxa"/>
            <w:vAlign w:val="bottom"/>
          </w:tcPr>
          <w:p>
            <w:pPr>
              <w:spacing w:after="0"/>
              <w:rPr>
                <w:sz w:val="8"/>
                <w:szCs w:val="8"/>
                <w:color w:val="auto"/>
              </w:rPr>
            </w:pPr>
          </w:p>
        </w:tc>
        <w:tc>
          <w:tcPr>
            <w:tcW w:w="1160" w:type="dxa"/>
            <w:vAlign w:val="bottom"/>
            <w:gridSpan w:val="2"/>
          </w:tcPr>
          <w:p>
            <w:pPr>
              <w:jc w:val="center"/>
              <w:ind w:right="620"/>
              <w:spacing w:after="0" w:line="99" w:lineRule="exact"/>
              <w:rPr>
                <w:sz w:val="20"/>
                <w:szCs w:val="20"/>
                <w:color w:val="auto"/>
              </w:rPr>
            </w:pPr>
            <w:r>
              <w:rPr>
                <w:rFonts w:ascii="Times New Roman" w:cs="Times New Roman" w:eastAsia="Times New Roman" w:hAnsi="Times New Roman"/>
                <w:sz w:val="10"/>
                <w:szCs w:val="10"/>
                <w:b w:val="1"/>
                <w:bCs w:val="1"/>
                <w:color w:val="auto"/>
              </w:rPr>
              <w:t>Deduction</w:t>
            </w:r>
          </w:p>
        </w:tc>
        <w:tc>
          <w:tcPr>
            <w:tcW w:w="120" w:type="dxa"/>
            <w:vAlign w:val="bottom"/>
          </w:tcPr>
          <w:p>
            <w:pPr>
              <w:spacing w:after="0"/>
              <w:rPr>
                <w:sz w:val="8"/>
                <w:szCs w:val="8"/>
                <w:color w:val="auto"/>
              </w:rPr>
            </w:pPr>
          </w:p>
        </w:tc>
        <w:tc>
          <w:tcPr>
            <w:tcW w:w="78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rPr>
              <w:t>End of</w:t>
            </w:r>
          </w:p>
        </w:tc>
        <w:tc>
          <w:tcPr>
            <w:tcW w:w="0" w:type="dxa"/>
            <w:vAlign w:val="bottom"/>
          </w:tcPr>
          <w:p>
            <w:pPr>
              <w:spacing w:after="0"/>
              <w:rPr>
                <w:sz w:val="1"/>
                <w:szCs w:val="1"/>
                <w:color w:val="auto"/>
              </w:rPr>
            </w:pPr>
          </w:p>
        </w:tc>
      </w:tr>
      <w:tr>
        <w:trPr>
          <w:trHeight w:val="137"/>
        </w:trPr>
        <w:tc>
          <w:tcPr>
            <w:tcW w:w="27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1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Expenses</w:t>
            </w:r>
          </w:p>
        </w:tc>
        <w:tc>
          <w:tcPr>
            <w:tcW w:w="5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(Described)</w:t>
            </w:r>
          </w:p>
        </w:tc>
        <w:tc>
          <w:tcPr>
            <w:tcW w:w="6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(Described)</w:t>
            </w: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Year ended December 31, 2006:</w:t>
            </w: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Reserve for claim losses</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1,113,506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448"/>
              <w:spacing w:after="0"/>
              <w:rPr>
                <w:sz w:val="20"/>
                <w:szCs w:val="20"/>
                <w:color w:val="auto"/>
              </w:rPr>
            </w:pPr>
            <w:r>
              <w:rPr>
                <w:rFonts w:ascii="Times New Roman" w:cs="Times New Roman" w:eastAsia="Times New Roman" w:hAnsi="Times New Roman"/>
                <w:sz w:val="13"/>
                <w:szCs w:val="13"/>
                <w:color w:val="auto"/>
              </w:rPr>
              <w:t>486,334</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color w:val="auto"/>
              </w:rPr>
              <w:t>(8,515)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370,689(1)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1,220,636</w:t>
            </w:r>
          </w:p>
        </w:tc>
        <w:tc>
          <w:tcPr>
            <w:tcW w:w="0" w:type="dxa"/>
            <w:vAlign w:val="bottom"/>
          </w:tcPr>
          <w:p>
            <w:pPr>
              <w:spacing w:after="0"/>
              <w:rPr>
                <w:sz w:val="1"/>
                <w:szCs w:val="1"/>
                <w:color w:val="auto"/>
              </w:rPr>
            </w:pPr>
          </w:p>
        </w:tc>
      </w:tr>
      <w:tr>
        <w:trPr>
          <w:trHeight w:val="157"/>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Allowance on trade and notes receivables</w:t>
            </w: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34,037</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3"/>
                <w:szCs w:val="13"/>
                <w:color w:val="auto"/>
              </w:rPr>
              <w:t>15,972</w:t>
            </w:r>
          </w:p>
        </w:tc>
        <w:tc>
          <w:tcPr>
            <w:tcW w:w="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(24,761)(3)</w:t>
            </w:r>
          </w:p>
        </w:tc>
        <w:tc>
          <w:tcPr>
            <w:tcW w:w="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12,574(2)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12,674</w:t>
            </w:r>
          </w:p>
        </w:tc>
        <w:tc>
          <w:tcPr>
            <w:tcW w:w="0" w:type="dxa"/>
            <w:vAlign w:val="bottom"/>
          </w:tcPr>
          <w:p>
            <w:pPr>
              <w:spacing w:after="0"/>
              <w:rPr>
                <w:sz w:val="1"/>
                <w:szCs w:val="1"/>
                <w:color w:val="auto"/>
              </w:rPr>
            </w:pPr>
          </w:p>
        </w:tc>
      </w:tr>
      <w:tr>
        <w:trPr>
          <w:trHeight w:val="157"/>
        </w:trPr>
        <w:tc>
          <w:tcPr>
            <w:tcW w:w="2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Year ended December 31, 2005:</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Reserve for claim losses</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1,000,474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3"/>
                <w:szCs w:val="13"/>
                <w:color w:val="auto"/>
              </w:rPr>
              <w:t>480,556</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color w:val="auto"/>
              </w:rPr>
              <w:t>1,000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368,524(1)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1,113,506</w:t>
            </w:r>
          </w:p>
        </w:tc>
        <w:tc>
          <w:tcPr>
            <w:tcW w:w="0" w:type="dxa"/>
            <w:vAlign w:val="bottom"/>
          </w:tcPr>
          <w:p>
            <w:pPr>
              <w:spacing w:after="0"/>
              <w:rPr>
                <w:sz w:val="1"/>
                <w:szCs w:val="1"/>
                <w:color w:val="auto"/>
              </w:rPr>
            </w:pPr>
          </w:p>
        </w:tc>
      </w:tr>
      <w:tr>
        <w:trPr>
          <w:trHeight w:val="157"/>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Allowance on trade and notes receivables</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35,909</w:t>
            </w:r>
          </w:p>
        </w:tc>
        <w:tc>
          <w:tcPr>
            <w:tcW w:w="80" w:type="dxa"/>
            <w:vAlign w:val="bottom"/>
          </w:tcPr>
          <w:p>
            <w:pPr>
              <w:spacing w:after="0"/>
              <w:rPr>
                <w:sz w:val="13"/>
                <w:szCs w:val="13"/>
                <w:color w:val="auto"/>
              </w:rPr>
            </w:pPr>
          </w:p>
        </w:tc>
        <w:tc>
          <w:tcPr>
            <w:tcW w:w="1100" w:type="dxa"/>
            <w:vAlign w:val="bottom"/>
            <w:gridSpan w:val="2"/>
          </w:tcPr>
          <w:p>
            <w:pPr>
              <w:jc w:val="right"/>
              <w:ind w:right="448"/>
              <w:spacing w:after="0"/>
              <w:rPr>
                <w:sz w:val="20"/>
                <w:szCs w:val="20"/>
                <w:color w:val="auto"/>
              </w:rPr>
            </w:pPr>
            <w:r>
              <w:rPr>
                <w:rFonts w:ascii="Times New Roman" w:cs="Times New Roman" w:eastAsia="Times New Roman" w:hAnsi="Times New Roman"/>
                <w:sz w:val="13"/>
                <w:szCs w:val="13"/>
                <w:color w:val="auto"/>
              </w:rPr>
              <w:t>12,319</w:t>
            </w:r>
          </w:p>
        </w:tc>
        <w:tc>
          <w:tcPr>
            <w:tcW w:w="60" w:type="dxa"/>
            <w:vAlign w:val="bottom"/>
          </w:tcPr>
          <w:p>
            <w:pPr>
              <w:spacing w:after="0"/>
              <w:rPr>
                <w:sz w:val="13"/>
                <w:szCs w:val="13"/>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458(2)</w:t>
            </w:r>
          </w:p>
        </w:tc>
        <w:tc>
          <w:tcPr>
            <w:tcW w:w="6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14,649(2)</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34,037</w:t>
            </w:r>
          </w:p>
        </w:tc>
        <w:tc>
          <w:tcPr>
            <w:tcW w:w="0" w:type="dxa"/>
            <w:vAlign w:val="bottom"/>
          </w:tcPr>
          <w:p>
            <w:pPr>
              <w:spacing w:after="0"/>
              <w:rPr>
                <w:sz w:val="1"/>
                <w:szCs w:val="1"/>
                <w:color w:val="auto"/>
              </w:rPr>
            </w:pPr>
          </w:p>
        </w:tc>
      </w:tr>
      <w:tr>
        <w:trPr>
          <w:trHeight w:val="157"/>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Year ended December 31, 2004:</w:t>
            </w: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Reserve for claim losses</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945,237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448"/>
              <w:spacing w:after="0"/>
              <w:rPr>
                <w:sz w:val="20"/>
                <w:szCs w:val="20"/>
                <w:color w:val="auto"/>
              </w:rPr>
            </w:pPr>
            <w:r>
              <w:rPr>
                <w:rFonts w:ascii="Times New Roman" w:cs="Times New Roman" w:eastAsia="Times New Roman" w:hAnsi="Times New Roman"/>
                <w:sz w:val="13"/>
                <w:szCs w:val="13"/>
                <w:color w:val="auto"/>
              </w:rPr>
              <w:t>311,916</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38,597(4)</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295,276(1)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1,000,474</w:t>
            </w:r>
          </w:p>
        </w:tc>
        <w:tc>
          <w:tcPr>
            <w:tcW w:w="0" w:type="dxa"/>
            <w:vAlign w:val="bottom"/>
          </w:tcPr>
          <w:p>
            <w:pPr>
              <w:spacing w:after="0"/>
              <w:rPr>
                <w:sz w:val="1"/>
                <w:szCs w:val="1"/>
                <w:color w:val="auto"/>
              </w:rPr>
            </w:pPr>
          </w:p>
        </w:tc>
      </w:tr>
      <w:tr>
        <w:trPr>
          <w:trHeight w:val="157"/>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Allowance on trade and notes receivables</w:t>
            </w: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39,048</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3"/>
                <w:szCs w:val="13"/>
                <w:color w:val="auto"/>
              </w:rPr>
              <w:t>1,209</w:t>
            </w:r>
          </w:p>
        </w:tc>
        <w:tc>
          <w:tcPr>
            <w:tcW w:w="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4,348(2)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35,909</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-1148080</wp:posOffset>
            </wp:positionV>
            <wp:extent cx="24765"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-1066800</wp:posOffset>
            </wp:positionV>
            <wp:extent cx="24765"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16" w:lineRule="exact"/>
        <w:rPr>
          <w:sz w:val="20"/>
          <w:szCs w:val="20"/>
          <w:color w:val="auto"/>
        </w:rPr>
      </w:pPr>
    </w:p>
    <w:p>
      <w:pPr>
        <w:ind w:left="1180" w:hanging="243"/>
        <w:spacing w:after="0"/>
        <w:tabs>
          <w:tab w:leader="none" w:pos="11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payments of claim losses, net of recoupments.</w:t>
      </w:r>
    </w:p>
    <w:p>
      <w:pPr>
        <w:spacing w:after="0" w:line="86" w:lineRule="exact"/>
        <w:rPr>
          <w:rFonts w:ascii="Times New Roman" w:cs="Times New Roman" w:eastAsia="Times New Roman" w:hAnsi="Times New Roman"/>
          <w:sz w:val="13"/>
          <w:szCs w:val="13"/>
          <w:color w:val="auto"/>
        </w:rPr>
      </w:pPr>
    </w:p>
    <w:p>
      <w:pPr>
        <w:ind w:left="1180" w:hanging="243"/>
        <w:spacing w:after="0"/>
        <w:tabs>
          <w:tab w:leader="none" w:pos="11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uncollectible accounts written-off, change in reserve due to reevaluation of specific items and change in reserve due to sale of certain assets.</w:t>
      </w:r>
    </w:p>
    <w:p>
      <w:pPr>
        <w:spacing w:after="0" w:line="86" w:lineRule="exact"/>
        <w:rPr>
          <w:rFonts w:ascii="Times New Roman" w:cs="Times New Roman" w:eastAsia="Times New Roman" w:hAnsi="Times New Roman"/>
          <w:sz w:val="13"/>
          <w:szCs w:val="13"/>
          <w:color w:val="auto"/>
        </w:rPr>
      </w:pPr>
    </w:p>
    <w:p>
      <w:pPr>
        <w:ind w:left="1180" w:hanging="243"/>
        <w:spacing w:after="0"/>
        <w:tabs>
          <w:tab w:leader="none" w:pos="11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reserves transferred in the distribution of FIS, partially offset by reserves assumed in FIS acquisitions in the period from January 1 through October 23, 2006.</w:t>
      </w:r>
    </w:p>
    <w:p>
      <w:pPr>
        <w:spacing w:after="0" w:line="86" w:lineRule="exact"/>
        <w:rPr>
          <w:rFonts w:ascii="Times New Roman" w:cs="Times New Roman" w:eastAsia="Times New Roman" w:hAnsi="Times New Roman"/>
          <w:sz w:val="13"/>
          <w:szCs w:val="13"/>
          <w:color w:val="auto"/>
        </w:rPr>
      </w:pPr>
    </w:p>
    <w:p>
      <w:pPr>
        <w:ind w:left="1180" w:hanging="243"/>
        <w:spacing w:after="0"/>
        <w:tabs>
          <w:tab w:leader="none" w:pos="11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reserve for claim losses assumed in connection with the Company’s acquisition of APTIC in 2004.</w:t>
      </w:r>
    </w:p>
    <w:p>
      <w:pPr>
        <w:spacing w:after="0" w:line="2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27" w:name="page128"/>
    <w:bookmarkEnd w:id="127"/>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3300" w:type="dxa"/>
            <w:vAlign w:val="bottom"/>
            <w:gridSpan w:val="3"/>
          </w:tcPr>
          <w:p>
            <w:pPr>
              <w:ind w:left="1860"/>
              <w:spacing w:after="0"/>
              <w:rPr>
                <w:sz w:val="20"/>
                <w:szCs w:val="20"/>
                <w:color w:val="auto"/>
              </w:rPr>
            </w:pPr>
            <w:r>
              <w:rPr>
                <w:rFonts w:ascii="Times New Roman" w:cs="Times New Roman" w:eastAsia="Times New Roman" w:hAnsi="Times New Roman"/>
                <w:sz w:val="13"/>
                <w:szCs w:val="13"/>
                <w:b w:val="1"/>
                <w:bCs w:val="1"/>
                <w:color w:val="auto"/>
              </w:rPr>
              <w:t>EXHIBIT INDEX</w:t>
            </w:r>
          </w:p>
        </w:tc>
        <w:tc>
          <w:tcPr>
            <w:tcW w:w="0" w:type="dxa"/>
            <w:vAlign w:val="bottom"/>
          </w:tcPr>
          <w:p>
            <w:pPr>
              <w:spacing w:after="0"/>
              <w:rPr>
                <w:sz w:val="1"/>
                <w:szCs w:val="1"/>
                <w:color w:val="auto"/>
              </w:rPr>
            </w:pPr>
          </w:p>
        </w:tc>
      </w:tr>
      <w:tr>
        <w:trPr>
          <w:trHeight w:val="265"/>
        </w:trPr>
        <w:tc>
          <w:tcPr>
            <w:tcW w:w="24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2780" w:type="dxa"/>
            <w:vAlign w:val="bottom"/>
          </w:tcPr>
          <w:p>
            <w:pPr>
              <w:spacing w:after="0"/>
              <w:rPr>
                <w:sz w:val="23"/>
                <w:szCs w:val="23"/>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37"/>
        </w:trPr>
        <w:tc>
          <w:tcPr>
            <w:tcW w:w="242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27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-5715</wp:posOffset>
            </wp:positionV>
            <wp:extent cx="635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 w:lineRule="exact"/>
        <w:rPr>
          <w:sz w:val="20"/>
          <w:szCs w:val="20"/>
          <w:color w:val="auto"/>
        </w:rPr>
      </w:pPr>
    </w:p>
    <w:p>
      <w:pPr>
        <w:ind w:left="1600" w:hanging="556"/>
        <w:spacing w:after="0" w:line="263" w:lineRule="auto"/>
        <w:tabs>
          <w:tab w:leader="none" w:pos="1580" w:val="left"/>
        </w:tabs>
        <w:rPr>
          <w:sz w:val="20"/>
          <w:szCs w:val="20"/>
          <w:color w:val="auto"/>
        </w:rPr>
      </w:pPr>
      <w:r>
        <w:rPr>
          <w:rFonts w:ascii="Times New Roman" w:cs="Times New Roman" w:eastAsia="Times New Roman" w:hAnsi="Times New Roman"/>
          <w:sz w:val="13"/>
          <w:szCs w:val="13"/>
          <w:color w:val="auto"/>
        </w:rPr>
        <w:t>2.1</w:t>
      </w:r>
      <w:r>
        <w:rPr>
          <w:sz w:val="20"/>
          <w:szCs w:val="20"/>
          <w:color w:val="auto"/>
        </w:rPr>
        <w:tab/>
      </w:r>
      <w:r>
        <w:rPr>
          <w:rFonts w:ascii="Times New Roman" w:cs="Times New Roman" w:eastAsia="Times New Roman" w:hAnsi="Times New Roman"/>
          <w:sz w:val="13"/>
          <w:szCs w:val="13"/>
          <w:color w:val="auto"/>
        </w:rPr>
        <w:t>Amended and Restated Securities Exchange and Distribution Agreement dated as of September 18, 2006, as amended (incorporated by reference to Annex A to Registrant’s Schedule 14C filed on September 19, 2006).</w:t>
      </w:r>
    </w:p>
    <w:p>
      <w:pPr>
        <w:ind w:left="1600" w:right="20" w:hanging="556"/>
        <w:spacing w:after="0" w:line="252" w:lineRule="auto"/>
        <w:tabs>
          <w:tab w:leader="none" w:pos="1580" w:val="left"/>
        </w:tabs>
        <w:rPr>
          <w:sz w:val="20"/>
          <w:szCs w:val="20"/>
          <w:color w:val="auto"/>
        </w:rPr>
      </w:pPr>
      <w:r>
        <w:rPr>
          <w:rFonts w:ascii="Times New Roman" w:cs="Times New Roman" w:eastAsia="Times New Roman" w:hAnsi="Times New Roman"/>
          <w:sz w:val="13"/>
          <w:szCs w:val="13"/>
          <w:color w:val="auto"/>
        </w:rPr>
        <w:t>3.1</w:t>
      </w:r>
      <w:r>
        <w:rPr>
          <w:sz w:val="20"/>
          <w:szCs w:val="20"/>
          <w:color w:val="auto"/>
        </w:rPr>
        <w:tab/>
      </w:r>
      <w:r>
        <w:rPr>
          <w:rFonts w:ascii="Times New Roman" w:cs="Times New Roman" w:eastAsia="Times New Roman" w:hAnsi="Times New Roman"/>
          <w:sz w:val="13"/>
          <w:szCs w:val="13"/>
          <w:color w:val="auto"/>
        </w:rPr>
        <w:t>Amended and Restated Certificate of Incorporation, incorporated by reference to Annex C to the Registrant’s Schedule 14C (File No. 1-32630) filed on September 19, 2006 (the “Information Statement”).</w:t>
      </w:r>
    </w:p>
    <w:p>
      <w:pPr>
        <w:spacing w:after="0" w:line="1" w:lineRule="exact"/>
        <w:rPr>
          <w:sz w:val="20"/>
          <w:szCs w:val="20"/>
          <w:color w:val="auto"/>
        </w:rPr>
      </w:pPr>
    </w:p>
    <w:p>
      <w:pPr>
        <w:ind w:left="1040"/>
        <w:spacing w:after="0"/>
        <w:tabs>
          <w:tab w:leader="none" w:pos="1580" w:val="left"/>
        </w:tabs>
        <w:rPr>
          <w:sz w:val="20"/>
          <w:szCs w:val="20"/>
          <w:color w:val="auto"/>
        </w:rPr>
      </w:pPr>
      <w:r>
        <w:rPr>
          <w:rFonts w:ascii="Times New Roman" w:cs="Times New Roman" w:eastAsia="Times New Roman" w:hAnsi="Times New Roman"/>
          <w:sz w:val="13"/>
          <w:szCs w:val="13"/>
          <w:color w:val="auto"/>
        </w:rPr>
        <w:t>3.2</w:t>
      </w:r>
      <w:r>
        <w:rPr>
          <w:sz w:val="20"/>
          <w:szCs w:val="20"/>
          <w:color w:val="auto"/>
        </w:rPr>
        <w:tab/>
      </w:r>
      <w:r>
        <w:rPr>
          <w:rFonts w:ascii="Times New Roman" w:cs="Times New Roman" w:eastAsia="Times New Roman" w:hAnsi="Times New Roman"/>
          <w:sz w:val="13"/>
          <w:szCs w:val="13"/>
          <w:color w:val="auto"/>
        </w:rPr>
        <w:t>Amended and Restated Bylaws of the Registrant.†</w:t>
      </w:r>
    </w:p>
    <w:p>
      <w:pPr>
        <w:spacing w:after="0" w:line="8" w:lineRule="exact"/>
        <w:rPr>
          <w:sz w:val="20"/>
          <w:szCs w:val="20"/>
          <w:color w:val="auto"/>
        </w:rPr>
      </w:pPr>
    </w:p>
    <w:p>
      <w:pPr>
        <w:ind w:left="1600" w:right="180" w:hanging="556"/>
        <w:spacing w:after="0" w:line="252" w:lineRule="auto"/>
        <w:tabs>
          <w:tab w:leader="none" w:pos="1580" w:val="left"/>
        </w:tabs>
        <w:rPr>
          <w:sz w:val="20"/>
          <w:szCs w:val="20"/>
          <w:color w:val="auto"/>
        </w:rPr>
      </w:pPr>
      <w:r>
        <w:rPr>
          <w:rFonts w:ascii="Times New Roman" w:cs="Times New Roman" w:eastAsia="Times New Roman" w:hAnsi="Times New Roman"/>
          <w:sz w:val="13"/>
          <w:szCs w:val="13"/>
          <w:color w:val="auto"/>
        </w:rPr>
        <w:t>4.1</w:t>
      </w:r>
      <w:r>
        <w:rPr>
          <w:sz w:val="20"/>
          <w:szCs w:val="20"/>
          <w:color w:val="auto"/>
        </w:rPr>
        <w:tab/>
      </w:r>
      <w:r>
        <w:rPr>
          <w:rFonts w:ascii="Times New Roman" w:cs="Times New Roman" w:eastAsia="Times New Roman" w:hAnsi="Times New Roman"/>
          <w:sz w:val="13"/>
          <w:szCs w:val="13"/>
          <w:color w:val="auto"/>
        </w:rPr>
        <w:t>Indenture between the Registrant and The Bank of New York Trust Company, N.A. relating to the notes referred to below, incorporated by reference to Exhibit 4.1 to the Registrant’s annual report on Form 10-K for the year ended December 31, 2005.</w:t>
      </w:r>
    </w:p>
    <w:p>
      <w:pPr>
        <w:spacing w:after="0" w:line="1" w:lineRule="exact"/>
        <w:rPr>
          <w:sz w:val="20"/>
          <w:szCs w:val="20"/>
          <w:color w:val="auto"/>
        </w:rPr>
      </w:pPr>
    </w:p>
    <w:p>
      <w:pPr>
        <w:ind w:left="1600" w:right="160" w:hanging="556"/>
        <w:spacing w:after="0" w:line="252" w:lineRule="auto"/>
        <w:tabs>
          <w:tab w:leader="none" w:pos="1580" w:val="left"/>
        </w:tabs>
        <w:rPr>
          <w:sz w:val="20"/>
          <w:szCs w:val="20"/>
          <w:color w:val="auto"/>
        </w:rPr>
      </w:pPr>
      <w:r>
        <w:rPr>
          <w:rFonts w:ascii="Times New Roman" w:cs="Times New Roman" w:eastAsia="Times New Roman" w:hAnsi="Times New Roman"/>
          <w:sz w:val="13"/>
          <w:szCs w:val="13"/>
          <w:color w:val="auto"/>
        </w:rPr>
        <w:t>4.2</w:t>
      </w:r>
      <w:r>
        <w:rPr>
          <w:sz w:val="20"/>
          <w:szCs w:val="20"/>
          <w:color w:val="auto"/>
        </w:rPr>
        <w:tab/>
      </w:r>
      <w:r>
        <w:rPr>
          <w:rFonts w:ascii="Times New Roman" w:cs="Times New Roman" w:eastAsia="Times New Roman" w:hAnsi="Times New Roman"/>
          <w:sz w:val="13"/>
          <w:szCs w:val="13"/>
          <w:color w:val="auto"/>
        </w:rPr>
        <w:t>Supplemental Indenture, dated as of January 6, 2006, between the Registrant and the Bank of New York Trust Company, N.A. incorporated by reference to Exhibit 4.1 to the Registrant’s current report on Form 8-K (File No. 1-32630) filed on January 24, 2006.</w:t>
      </w:r>
    </w:p>
    <w:p>
      <w:pPr>
        <w:spacing w:after="0" w:line="1" w:lineRule="exact"/>
        <w:rPr>
          <w:sz w:val="20"/>
          <w:szCs w:val="20"/>
          <w:color w:val="auto"/>
        </w:rPr>
      </w:pPr>
    </w:p>
    <w:p>
      <w:pPr>
        <w:ind w:left="1040"/>
        <w:spacing w:after="0"/>
        <w:tabs>
          <w:tab w:leader="none" w:pos="1580" w:val="left"/>
        </w:tabs>
        <w:rPr>
          <w:sz w:val="20"/>
          <w:szCs w:val="20"/>
          <w:color w:val="auto"/>
        </w:rPr>
      </w:pPr>
      <w:r>
        <w:rPr>
          <w:rFonts w:ascii="Times New Roman" w:cs="Times New Roman" w:eastAsia="Times New Roman" w:hAnsi="Times New Roman"/>
          <w:sz w:val="13"/>
          <w:szCs w:val="13"/>
          <w:color w:val="auto"/>
        </w:rPr>
        <w:t>4.3</w:t>
      </w:r>
      <w:r>
        <w:rPr>
          <w:sz w:val="20"/>
          <w:szCs w:val="20"/>
          <w:color w:val="auto"/>
        </w:rPr>
        <w:tab/>
      </w:r>
      <w:r>
        <w:rPr>
          <w:rFonts w:ascii="Times New Roman" w:cs="Times New Roman" w:eastAsia="Times New Roman" w:hAnsi="Times New Roman"/>
          <w:sz w:val="13"/>
          <w:szCs w:val="13"/>
          <w:color w:val="auto"/>
        </w:rPr>
        <w:t>Form of 7.30% note due August 15, 2011.††</w:t>
      </w:r>
    </w:p>
    <w:p>
      <w:pPr>
        <w:spacing w:after="0" w:line="8" w:lineRule="exact"/>
        <w:rPr>
          <w:sz w:val="20"/>
          <w:szCs w:val="20"/>
          <w:color w:val="auto"/>
        </w:rPr>
      </w:pPr>
    </w:p>
    <w:p>
      <w:pPr>
        <w:ind w:left="1040"/>
        <w:spacing w:after="0"/>
        <w:tabs>
          <w:tab w:leader="none" w:pos="1580" w:val="left"/>
        </w:tabs>
        <w:rPr>
          <w:sz w:val="20"/>
          <w:szCs w:val="20"/>
          <w:color w:val="auto"/>
        </w:rPr>
      </w:pPr>
      <w:r>
        <w:rPr>
          <w:rFonts w:ascii="Times New Roman" w:cs="Times New Roman" w:eastAsia="Times New Roman" w:hAnsi="Times New Roman"/>
          <w:sz w:val="13"/>
          <w:szCs w:val="13"/>
          <w:color w:val="auto"/>
        </w:rPr>
        <w:t>4.4</w:t>
      </w:r>
      <w:r>
        <w:rPr>
          <w:sz w:val="20"/>
          <w:szCs w:val="20"/>
          <w:color w:val="auto"/>
        </w:rPr>
        <w:tab/>
      </w:r>
      <w:r>
        <w:rPr>
          <w:rFonts w:ascii="Times New Roman" w:cs="Times New Roman" w:eastAsia="Times New Roman" w:hAnsi="Times New Roman"/>
          <w:sz w:val="13"/>
          <w:szCs w:val="13"/>
          <w:color w:val="auto"/>
        </w:rPr>
        <w:t>Form of 5.25% note due March 15, 2013.††</w:t>
      </w:r>
    </w:p>
    <w:p>
      <w:pPr>
        <w:spacing w:after="0" w:line="8" w:lineRule="exact"/>
        <w:rPr>
          <w:sz w:val="20"/>
          <w:szCs w:val="20"/>
          <w:color w:val="auto"/>
        </w:rPr>
      </w:pPr>
    </w:p>
    <w:p>
      <w:pPr>
        <w:ind w:left="1040"/>
        <w:spacing w:after="0"/>
        <w:tabs>
          <w:tab w:leader="none" w:pos="1580" w:val="left"/>
        </w:tabs>
        <w:rPr>
          <w:sz w:val="20"/>
          <w:szCs w:val="20"/>
          <w:color w:val="auto"/>
        </w:rPr>
      </w:pPr>
      <w:r>
        <w:rPr>
          <w:rFonts w:ascii="Times New Roman" w:cs="Times New Roman" w:eastAsia="Times New Roman" w:hAnsi="Times New Roman"/>
          <w:sz w:val="13"/>
          <w:szCs w:val="13"/>
          <w:color w:val="auto"/>
        </w:rPr>
        <w:t>4.5</w:t>
      </w:r>
      <w:r>
        <w:rPr>
          <w:sz w:val="20"/>
          <w:szCs w:val="20"/>
          <w:color w:val="auto"/>
        </w:rPr>
        <w:tab/>
      </w:r>
      <w:r>
        <w:rPr>
          <w:rFonts w:ascii="Times New Roman" w:cs="Times New Roman" w:eastAsia="Times New Roman" w:hAnsi="Times New Roman"/>
          <w:sz w:val="13"/>
          <w:szCs w:val="13"/>
          <w:color w:val="auto"/>
        </w:rPr>
        <w:t>Form of Specimen Common Stock Certificate.</w:t>
      </w:r>
    </w:p>
    <w:p>
      <w:pPr>
        <w:spacing w:after="0" w:line="8" w:lineRule="exact"/>
        <w:rPr>
          <w:sz w:val="20"/>
          <w:szCs w:val="20"/>
          <w:color w:val="auto"/>
        </w:rPr>
      </w:pPr>
    </w:p>
    <w:p>
      <w:pPr>
        <w:ind w:left="1600" w:right="20" w:hanging="622"/>
        <w:spacing w:after="0" w:line="251" w:lineRule="auto"/>
        <w:tabs>
          <w:tab w:leader="none" w:pos="1580" w:val="left"/>
        </w:tabs>
        <w:rPr>
          <w:sz w:val="20"/>
          <w:szCs w:val="20"/>
          <w:color w:val="auto"/>
        </w:rPr>
      </w:pPr>
      <w:r>
        <w:rPr>
          <w:rFonts w:ascii="Times New Roman" w:cs="Times New Roman" w:eastAsia="Times New Roman" w:hAnsi="Times New Roman"/>
          <w:sz w:val="13"/>
          <w:szCs w:val="13"/>
          <w:color w:val="auto"/>
        </w:rPr>
        <w:t>10.1</w:t>
      </w:r>
      <w:r>
        <w:rPr>
          <w:sz w:val="20"/>
          <w:szCs w:val="20"/>
          <w:color w:val="auto"/>
        </w:rPr>
        <w:tab/>
      </w:r>
      <w:r>
        <w:rPr>
          <w:rFonts w:ascii="Times New Roman" w:cs="Times New Roman" w:eastAsia="Times New Roman" w:hAnsi="Times New Roman"/>
          <w:sz w:val="13"/>
          <w:szCs w:val="13"/>
          <w:color w:val="auto"/>
        </w:rPr>
        <w:t>Credit Agreement, dated as of September 12, 2006 between the Registrant, Bank of America, N.A., as Administrative Agent and Swing Line Lender, and certain agents and other lenders party thereto, incorporated by reference to Exhibit 10.1 to the Registrant’s current report on Form 8-K (File No. 1-32630) filed on October 30, 2006.</w:t>
      </w:r>
    </w:p>
    <w:p>
      <w:pPr>
        <w:ind w:left="980"/>
        <w:spacing w:after="0"/>
        <w:tabs>
          <w:tab w:leader="none" w:pos="1580" w:val="left"/>
        </w:tabs>
        <w:rPr>
          <w:sz w:val="20"/>
          <w:szCs w:val="20"/>
          <w:color w:val="auto"/>
        </w:rPr>
      </w:pPr>
      <w:r>
        <w:rPr>
          <w:rFonts w:ascii="Times New Roman" w:cs="Times New Roman" w:eastAsia="Times New Roman" w:hAnsi="Times New Roman"/>
          <w:sz w:val="13"/>
          <w:szCs w:val="13"/>
          <w:color w:val="auto"/>
        </w:rPr>
        <w:t>10.2</w:t>
      </w:r>
      <w:r>
        <w:rPr>
          <w:sz w:val="20"/>
          <w:szCs w:val="20"/>
          <w:color w:val="auto"/>
        </w:rPr>
        <w:tab/>
      </w:r>
      <w:r>
        <w:rPr>
          <w:rFonts w:ascii="Times New Roman" w:cs="Times New Roman" w:eastAsia="Times New Roman" w:hAnsi="Times New Roman"/>
          <w:sz w:val="13"/>
          <w:szCs w:val="13"/>
          <w:color w:val="auto"/>
        </w:rPr>
        <w:t>Fidelity National Title Group, Inc. 2005 Omnibus Incentive Plan, as amended, incorporated by reference to Annex D to the Information Statement.</w:t>
      </w:r>
      <w:r>
        <w:rPr>
          <w:rFonts w:ascii="Times New Roman" w:cs="Times New Roman" w:eastAsia="Times New Roman" w:hAnsi="Times New Roman"/>
          <w:sz w:val="11"/>
          <w:szCs w:val="11"/>
          <w:color w:val="auto"/>
        </w:rPr>
        <w:t>(1)</w:t>
      </w:r>
    </w:p>
    <w:p>
      <w:pPr>
        <w:spacing w:after="0" w:line="8" w:lineRule="exact"/>
        <w:rPr>
          <w:sz w:val="20"/>
          <w:szCs w:val="20"/>
          <w:color w:val="auto"/>
        </w:rPr>
      </w:pPr>
    </w:p>
    <w:p>
      <w:pPr>
        <w:ind w:left="980"/>
        <w:spacing w:after="0"/>
        <w:tabs>
          <w:tab w:leader="none" w:pos="1580" w:val="left"/>
        </w:tabs>
        <w:rPr>
          <w:sz w:val="20"/>
          <w:szCs w:val="20"/>
          <w:color w:val="auto"/>
        </w:rPr>
      </w:pPr>
      <w:r>
        <w:rPr>
          <w:rFonts w:ascii="Times New Roman" w:cs="Times New Roman" w:eastAsia="Times New Roman" w:hAnsi="Times New Roman"/>
          <w:sz w:val="13"/>
          <w:szCs w:val="13"/>
          <w:color w:val="auto"/>
        </w:rPr>
        <w:t>10.3</w:t>
      </w:r>
      <w:r>
        <w:rPr>
          <w:sz w:val="20"/>
          <w:szCs w:val="20"/>
          <w:color w:val="auto"/>
        </w:rPr>
        <w:tab/>
      </w:r>
      <w:r>
        <w:rPr>
          <w:rFonts w:ascii="Times New Roman" w:cs="Times New Roman" w:eastAsia="Times New Roman" w:hAnsi="Times New Roman"/>
          <w:sz w:val="13"/>
          <w:szCs w:val="13"/>
          <w:color w:val="auto"/>
        </w:rPr>
        <w:t>Fidelity National Title Group, Inc. Employee Stock Purchase Plan.†</w:t>
      </w:r>
      <w:r>
        <w:rPr>
          <w:rFonts w:ascii="Times New Roman" w:cs="Times New Roman" w:eastAsia="Times New Roman" w:hAnsi="Times New Roman"/>
          <w:sz w:val="11"/>
          <w:szCs w:val="11"/>
          <w:color w:val="auto"/>
        </w:rPr>
        <w:t>(1)</w:t>
      </w:r>
    </w:p>
    <w:p>
      <w:pPr>
        <w:spacing w:after="0" w:line="9" w:lineRule="exact"/>
        <w:rPr>
          <w:sz w:val="20"/>
          <w:szCs w:val="20"/>
          <w:color w:val="auto"/>
        </w:rPr>
      </w:pPr>
    </w:p>
    <w:p>
      <w:pPr>
        <w:ind w:left="1600" w:right="200" w:hanging="622"/>
        <w:spacing w:after="0" w:line="251" w:lineRule="auto"/>
        <w:tabs>
          <w:tab w:leader="none" w:pos="158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Form of Notice of Restricted Stock Grant and Restricted Stock Grant Agreement, incorporated by reference to the Registrant’s Registration Statement on Form S-1 (File No. 333-126402) filed on September 15, 2005.</w:t>
      </w:r>
      <w:r>
        <w:rPr>
          <w:rFonts w:ascii="Times New Roman" w:cs="Times New Roman" w:eastAsia="Times New Roman" w:hAnsi="Times New Roman"/>
          <w:sz w:val="11"/>
          <w:szCs w:val="11"/>
          <w:color w:val="auto"/>
        </w:rPr>
        <w:t>(1)</w:t>
      </w:r>
    </w:p>
    <w:p>
      <w:pPr>
        <w:ind w:left="980"/>
        <w:spacing w:after="0"/>
        <w:tabs>
          <w:tab w:leader="none" w:pos="1580" w:val="left"/>
        </w:tabs>
        <w:rPr>
          <w:sz w:val="20"/>
          <w:szCs w:val="20"/>
          <w:color w:val="auto"/>
        </w:rPr>
      </w:pPr>
      <w:r>
        <w:rPr>
          <w:rFonts w:ascii="Times New Roman" w:cs="Times New Roman" w:eastAsia="Times New Roman" w:hAnsi="Times New Roman"/>
          <w:sz w:val="13"/>
          <w:szCs w:val="13"/>
          <w:color w:val="auto"/>
        </w:rPr>
        <w:t>10.5</w:t>
      </w:r>
      <w:r>
        <w:rPr>
          <w:sz w:val="20"/>
          <w:szCs w:val="20"/>
          <w:color w:val="auto"/>
        </w:rPr>
        <w:tab/>
      </w:r>
      <w:r>
        <w:rPr>
          <w:rFonts w:ascii="Times New Roman" w:cs="Times New Roman" w:eastAsia="Times New Roman" w:hAnsi="Times New Roman"/>
          <w:sz w:val="13"/>
          <w:szCs w:val="13"/>
          <w:color w:val="auto"/>
        </w:rPr>
        <w:t>Fidelity Sedgwick Holdings, Inc. 2006 Stock Incentive Plan (the “FSH Plan”), incorporated by reference from Current Report on Form 8-K dated February 6, 2006.</w:t>
      </w:r>
      <w:r>
        <w:rPr>
          <w:rFonts w:ascii="Times New Roman" w:cs="Times New Roman" w:eastAsia="Times New Roman" w:hAnsi="Times New Roman"/>
          <w:sz w:val="11"/>
          <w:szCs w:val="11"/>
          <w:color w:val="auto"/>
        </w:rPr>
        <w:t>(1)</w:t>
      </w:r>
    </w:p>
    <w:p>
      <w:pPr>
        <w:spacing w:after="0" w:line="8" w:lineRule="exact"/>
        <w:rPr>
          <w:sz w:val="20"/>
          <w:szCs w:val="20"/>
          <w:color w:val="auto"/>
        </w:rPr>
      </w:pPr>
    </w:p>
    <w:p>
      <w:pPr>
        <w:ind w:left="980"/>
        <w:spacing w:after="0"/>
        <w:tabs>
          <w:tab w:leader="none" w:pos="1580" w:val="left"/>
        </w:tabs>
        <w:rPr>
          <w:sz w:val="20"/>
          <w:szCs w:val="20"/>
          <w:color w:val="auto"/>
        </w:rPr>
      </w:pPr>
      <w:r>
        <w:rPr>
          <w:rFonts w:ascii="Times New Roman" w:cs="Times New Roman" w:eastAsia="Times New Roman" w:hAnsi="Times New Roman"/>
          <w:sz w:val="13"/>
          <w:szCs w:val="13"/>
          <w:color w:val="auto"/>
        </w:rPr>
        <w:t>10.6</w:t>
      </w:r>
      <w:r>
        <w:rPr>
          <w:sz w:val="20"/>
          <w:szCs w:val="20"/>
          <w:color w:val="auto"/>
        </w:rPr>
        <w:tab/>
      </w:r>
      <w:r>
        <w:rPr>
          <w:rFonts w:ascii="Times New Roman" w:cs="Times New Roman" w:eastAsia="Times New Roman" w:hAnsi="Times New Roman"/>
          <w:sz w:val="13"/>
          <w:szCs w:val="13"/>
          <w:color w:val="auto"/>
        </w:rPr>
        <w:t>Form of Award Agreement under the FSH Plan, incorporated by reference from Current Report on Form 8-K dated February 6, 2006.</w:t>
      </w:r>
      <w:r>
        <w:rPr>
          <w:rFonts w:ascii="Times New Roman" w:cs="Times New Roman" w:eastAsia="Times New Roman" w:hAnsi="Times New Roman"/>
          <w:sz w:val="11"/>
          <w:szCs w:val="11"/>
          <w:color w:val="auto"/>
        </w:rPr>
        <w:t>(1)</w:t>
      </w:r>
    </w:p>
    <w:p>
      <w:pPr>
        <w:spacing w:after="0" w:line="9" w:lineRule="exact"/>
        <w:rPr>
          <w:sz w:val="20"/>
          <w:szCs w:val="20"/>
          <w:color w:val="auto"/>
        </w:rPr>
      </w:pPr>
    </w:p>
    <w:p>
      <w:pPr>
        <w:ind w:left="1600" w:right="420" w:hanging="622"/>
        <w:spacing w:after="0" w:line="252" w:lineRule="auto"/>
        <w:tabs>
          <w:tab w:leader="none" w:pos="1580" w:val="left"/>
        </w:tabs>
        <w:rPr>
          <w:sz w:val="20"/>
          <w:szCs w:val="20"/>
          <w:color w:val="auto"/>
        </w:rPr>
      </w:pPr>
      <w:r>
        <w:rPr>
          <w:rFonts w:ascii="Times New Roman" w:cs="Times New Roman" w:eastAsia="Times New Roman" w:hAnsi="Times New Roman"/>
          <w:sz w:val="13"/>
          <w:szCs w:val="13"/>
          <w:color w:val="auto"/>
        </w:rPr>
        <w:t>10.7</w:t>
      </w:r>
      <w:r>
        <w:rPr>
          <w:sz w:val="20"/>
          <w:szCs w:val="20"/>
          <w:color w:val="auto"/>
        </w:rPr>
        <w:tab/>
      </w:r>
      <w:r>
        <w:rPr>
          <w:rFonts w:ascii="Times New Roman" w:cs="Times New Roman" w:eastAsia="Times New Roman" w:hAnsi="Times New Roman"/>
          <w:sz w:val="13"/>
          <w:szCs w:val="13"/>
          <w:color w:val="auto"/>
        </w:rPr>
        <w:t>Tax Disaffiliation Agreement, dated as of October 23, 2006, by and among Old FNF, the Registrant and FIS (incorporated by reference to Exhibit 99.1 to Old FNF’s Form 8-K, filed October 27, 2006).</w:t>
      </w:r>
    </w:p>
    <w:p>
      <w:pPr>
        <w:spacing w:after="0" w:line="1" w:lineRule="exact"/>
        <w:rPr>
          <w:sz w:val="20"/>
          <w:szCs w:val="20"/>
          <w:color w:val="auto"/>
        </w:rPr>
      </w:pPr>
    </w:p>
    <w:p>
      <w:pPr>
        <w:ind w:left="1600" w:right="60" w:hanging="622"/>
        <w:spacing w:after="0" w:line="251" w:lineRule="auto"/>
        <w:tabs>
          <w:tab w:leader="none" w:pos="1580" w:val="left"/>
        </w:tabs>
        <w:rPr>
          <w:sz w:val="20"/>
          <w:szCs w:val="20"/>
          <w:color w:val="auto"/>
        </w:rPr>
      </w:pPr>
      <w:r>
        <w:rPr>
          <w:rFonts w:ascii="Times New Roman" w:cs="Times New Roman" w:eastAsia="Times New Roman" w:hAnsi="Times New Roman"/>
          <w:sz w:val="13"/>
          <w:szCs w:val="13"/>
          <w:color w:val="auto"/>
        </w:rPr>
        <w:t>10.8</w:t>
      </w:r>
      <w:r>
        <w:rPr>
          <w:sz w:val="20"/>
          <w:szCs w:val="20"/>
          <w:color w:val="auto"/>
        </w:rPr>
        <w:tab/>
      </w:r>
      <w:r>
        <w:rPr>
          <w:rFonts w:ascii="Times New Roman" w:cs="Times New Roman" w:eastAsia="Times New Roman" w:hAnsi="Times New Roman"/>
          <w:sz w:val="13"/>
          <w:szCs w:val="13"/>
          <w:color w:val="auto"/>
        </w:rPr>
        <w:t>Cross Indemnity Agreement, dated as of October 23, 2006, by and between the Registrant and FIS (incorporated by reference to Exhibit 99.2 to Old FNF’s Form 8-K, filed October 27, 2006).</w:t>
      </w:r>
    </w:p>
    <w:p>
      <w:pPr>
        <w:ind w:left="980"/>
        <w:spacing w:after="0"/>
        <w:tabs>
          <w:tab w:leader="none" w:pos="1580" w:val="left"/>
        </w:tabs>
        <w:rPr>
          <w:sz w:val="20"/>
          <w:szCs w:val="20"/>
          <w:color w:val="auto"/>
        </w:rPr>
      </w:pPr>
      <w:r>
        <w:rPr>
          <w:rFonts w:ascii="Times New Roman" w:cs="Times New Roman" w:eastAsia="Times New Roman" w:hAnsi="Times New Roman"/>
          <w:sz w:val="13"/>
          <w:szCs w:val="13"/>
          <w:color w:val="auto"/>
        </w:rPr>
        <w:t>10.9</w:t>
      </w:r>
      <w:r>
        <w:rPr>
          <w:sz w:val="20"/>
          <w:szCs w:val="20"/>
          <w:color w:val="auto"/>
        </w:rPr>
        <w:tab/>
      </w:r>
      <w:r>
        <w:rPr>
          <w:rFonts w:ascii="Times New Roman" w:cs="Times New Roman" w:eastAsia="Times New Roman" w:hAnsi="Times New Roman"/>
          <w:sz w:val="13"/>
          <w:szCs w:val="13"/>
          <w:color w:val="auto"/>
        </w:rPr>
        <w:t>Employment Agreement effective as of December 22, 2006 between the Registrant and Anthony J. Park.</w:t>
      </w:r>
      <w:r>
        <w:rPr>
          <w:rFonts w:ascii="Times New Roman" w:cs="Times New Roman" w:eastAsia="Times New Roman" w:hAnsi="Times New Roman"/>
          <w:sz w:val="11"/>
          <w:szCs w:val="11"/>
          <w:color w:val="auto"/>
        </w:rPr>
        <w:t>(1)</w:t>
      </w:r>
    </w:p>
    <w:p>
      <w:pPr>
        <w:spacing w:after="0" w:line="8" w:lineRule="exact"/>
        <w:rPr>
          <w:sz w:val="20"/>
          <w:szCs w:val="20"/>
          <w:color w:val="auto"/>
        </w:rPr>
      </w:pPr>
    </w:p>
    <w:p>
      <w:pPr>
        <w:ind w:left="980"/>
        <w:spacing w:after="0"/>
        <w:tabs>
          <w:tab w:leader="none" w:pos="1580" w:val="left"/>
        </w:tabs>
        <w:rPr>
          <w:sz w:val="20"/>
          <w:szCs w:val="20"/>
          <w:color w:val="auto"/>
        </w:rPr>
      </w:pPr>
      <w:r>
        <w:rPr>
          <w:rFonts w:ascii="Times New Roman" w:cs="Times New Roman" w:eastAsia="Times New Roman" w:hAnsi="Times New Roman"/>
          <w:sz w:val="13"/>
          <w:szCs w:val="13"/>
          <w:color w:val="auto"/>
        </w:rPr>
        <w:t>10.10</w:t>
      </w:r>
      <w:r>
        <w:rPr>
          <w:sz w:val="20"/>
          <w:szCs w:val="20"/>
          <w:color w:val="auto"/>
        </w:rPr>
        <w:tab/>
      </w:r>
      <w:r>
        <w:rPr>
          <w:rFonts w:ascii="Times New Roman" w:cs="Times New Roman" w:eastAsia="Times New Roman" w:hAnsi="Times New Roman"/>
          <w:sz w:val="13"/>
          <w:szCs w:val="13"/>
          <w:color w:val="auto"/>
        </w:rPr>
        <w:t>Employment Agreement effective as of October 24, 2006 between the Registrant and Brent B. Bickett.</w:t>
      </w:r>
      <w:r>
        <w:rPr>
          <w:rFonts w:ascii="Times New Roman" w:cs="Times New Roman" w:eastAsia="Times New Roman" w:hAnsi="Times New Roman"/>
          <w:sz w:val="11"/>
          <w:szCs w:val="11"/>
          <w:color w:val="auto"/>
        </w:rPr>
        <w:t>(1)</w:t>
      </w:r>
    </w:p>
    <w:p>
      <w:pPr>
        <w:spacing w:after="0" w:line="8" w:lineRule="exact"/>
        <w:rPr>
          <w:sz w:val="20"/>
          <w:szCs w:val="20"/>
          <w:color w:val="auto"/>
        </w:rPr>
      </w:pPr>
    </w:p>
    <w:p>
      <w:pPr>
        <w:ind w:left="980"/>
        <w:spacing w:after="0"/>
        <w:tabs>
          <w:tab w:leader="none" w:pos="1580" w:val="left"/>
        </w:tabs>
        <w:rPr>
          <w:sz w:val="20"/>
          <w:szCs w:val="20"/>
          <w:color w:val="auto"/>
        </w:rPr>
      </w:pPr>
      <w:r>
        <w:rPr>
          <w:rFonts w:ascii="Times New Roman" w:cs="Times New Roman" w:eastAsia="Times New Roman" w:hAnsi="Times New Roman"/>
          <w:sz w:val="13"/>
          <w:szCs w:val="13"/>
          <w:color w:val="auto"/>
        </w:rPr>
        <w:t>10.11</w:t>
      </w:r>
      <w:r>
        <w:rPr>
          <w:sz w:val="20"/>
          <w:szCs w:val="20"/>
          <w:color w:val="auto"/>
        </w:rPr>
        <w:tab/>
      </w:r>
      <w:r>
        <w:rPr>
          <w:rFonts w:ascii="Times New Roman" w:cs="Times New Roman" w:eastAsia="Times New Roman" w:hAnsi="Times New Roman"/>
          <w:sz w:val="13"/>
          <w:szCs w:val="13"/>
          <w:color w:val="auto"/>
        </w:rPr>
        <w:t>Employment Agreement effective as of October 24, 2006 between the Registrant and Peter T. Sadowski.</w:t>
      </w:r>
      <w:r>
        <w:rPr>
          <w:rFonts w:ascii="Times New Roman" w:cs="Times New Roman" w:eastAsia="Times New Roman" w:hAnsi="Times New Roman"/>
          <w:sz w:val="11"/>
          <w:szCs w:val="11"/>
          <w:color w:val="auto"/>
        </w:rPr>
        <w:t>(1)</w:t>
      </w:r>
    </w:p>
    <w:p>
      <w:pPr>
        <w:spacing w:after="0" w:line="8" w:lineRule="exact"/>
        <w:rPr>
          <w:sz w:val="20"/>
          <w:szCs w:val="20"/>
          <w:color w:val="auto"/>
        </w:rPr>
      </w:pPr>
    </w:p>
    <w:p>
      <w:pPr>
        <w:ind w:left="980"/>
        <w:spacing w:after="0"/>
        <w:tabs>
          <w:tab w:leader="none" w:pos="1580" w:val="left"/>
        </w:tabs>
        <w:rPr>
          <w:sz w:val="20"/>
          <w:szCs w:val="20"/>
          <w:color w:val="auto"/>
        </w:rPr>
      </w:pPr>
      <w:r>
        <w:rPr>
          <w:rFonts w:ascii="Times New Roman" w:cs="Times New Roman" w:eastAsia="Times New Roman" w:hAnsi="Times New Roman"/>
          <w:sz w:val="13"/>
          <w:szCs w:val="13"/>
          <w:color w:val="auto"/>
        </w:rPr>
        <w:t>10.12</w:t>
      </w:r>
      <w:r>
        <w:rPr>
          <w:sz w:val="20"/>
          <w:szCs w:val="20"/>
          <w:color w:val="auto"/>
        </w:rPr>
        <w:tab/>
      </w:r>
      <w:r>
        <w:rPr>
          <w:rFonts w:ascii="Times New Roman" w:cs="Times New Roman" w:eastAsia="Times New Roman" w:hAnsi="Times New Roman"/>
          <w:sz w:val="13"/>
          <w:szCs w:val="13"/>
          <w:color w:val="auto"/>
        </w:rPr>
        <w:t>Employment Agreement effective as of October 24, 2006 between the Registrant and William P. Foley.</w:t>
      </w:r>
      <w:r>
        <w:rPr>
          <w:rFonts w:ascii="Times New Roman" w:cs="Times New Roman" w:eastAsia="Times New Roman" w:hAnsi="Times New Roman"/>
          <w:sz w:val="11"/>
          <w:szCs w:val="11"/>
          <w:color w:val="auto"/>
        </w:rPr>
        <w:t>(1)</w:t>
      </w:r>
    </w:p>
    <w:p>
      <w:pPr>
        <w:spacing w:after="0" w:line="8" w:lineRule="exact"/>
        <w:rPr>
          <w:sz w:val="20"/>
          <w:szCs w:val="20"/>
          <w:color w:val="auto"/>
        </w:rPr>
      </w:pPr>
    </w:p>
    <w:p>
      <w:pPr>
        <w:ind w:left="980"/>
        <w:spacing w:after="0"/>
        <w:tabs>
          <w:tab w:leader="none" w:pos="1580" w:val="left"/>
        </w:tabs>
        <w:rPr>
          <w:sz w:val="20"/>
          <w:szCs w:val="20"/>
          <w:color w:val="auto"/>
        </w:rPr>
      </w:pPr>
      <w:r>
        <w:rPr>
          <w:rFonts w:ascii="Times New Roman" w:cs="Times New Roman" w:eastAsia="Times New Roman" w:hAnsi="Times New Roman"/>
          <w:sz w:val="13"/>
          <w:szCs w:val="13"/>
          <w:color w:val="auto"/>
        </w:rPr>
        <w:t>10.13</w:t>
      </w:r>
      <w:r>
        <w:rPr>
          <w:sz w:val="20"/>
          <w:szCs w:val="20"/>
          <w:color w:val="auto"/>
        </w:rPr>
        <w:tab/>
      </w:r>
      <w:r>
        <w:rPr>
          <w:rFonts w:ascii="Times New Roman" w:cs="Times New Roman" w:eastAsia="Times New Roman" w:hAnsi="Times New Roman"/>
          <w:sz w:val="13"/>
          <w:szCs w:val="13"/>
          <w:color w:val="auto"/>
        </w:rPr>
        <w:t>Employment Agreement effective as of October 24, 2006 between the Registrant and Alan L. Stinson.</w:t>
      </w:r>
      <w:r>
        <w:rPr>
          <w:rFonts w:ascii="Times New Roman" w:cs="Times New Roman" w:eastAsia="Times New Roman" w:hAnsi="Times New Roman"/>
          <w:sz w:val="11"/>
          <w:szCs w:val="11"/>
          <w:color w:val="auto"/>
        </w:rPr>
        <w:t>(1)</w:t>
      </w:r>
    </w:p>
    <w:p>
      <w:pPr>
        <w:spacing w:after="0" w:line="8" w:lineRule="exact"/>
        <w:rPr>
          <w:sz w:val="20"/>
          <w:szCs w:val="20"/>
          <w:color w:val="auto"/>
        </w:rPr>
      </w:pPr>
    </w:p>
    <w:p>
      <w:pPr>
        <w:ind w:left="980"/>
        <w:spacing w:after="0"/>
        <w:tabs>
          <w:tab w:leader="none" w:pos="1580" w:val="left"/>
        </w:tabs>
        <w:rPr>
          <w:sz w:val="20"/>
          <w:szCs w:val="20"/>
          <w:color w:val="auto"/>
        </w:rPr>
      </w:pPr>
      <w:r>
        <w:rPr>
          <w:rFonts w:ascii="Times New Roman" w:cs="Times New Roman" w:eastAsia="Times New Roman" w:hAnsi="Times New Roman"/>
          <w:sz w:val="13"/>
          <w:szCs w:val="13"/>
          <w:color w:val="auto"/>
        </w:rPr>
        <w:t>10.14</w:t>
      </w:r>
      <w:r>
        <w:rPr>
          <w:sz w:val="20"/>
          <w:szCs w:val="20"/>
          <w:color w:val="auto"/>
        </w:rPr>
        <w:tab/>
      </w:r>
      <w:r>
        <w:rPr>
          <w:rFonts w:ascii="Times New Roman" w:cs="Times New Roman" w:eastAsia="Times New Roman" w:hAnsi="Times New Roman"/>
          <w:sz w:val="13"/>
          <w:szCs w:val="13"/>
          <w:color w:val="auto"/>
        </w:rPr>
        <w:t>Employment Agreement effective as of October 24, 2006 between the Registrant and Raymond R. Quirk.</w:t>
      </w:r>
      <w:r>
        <w:rPr>
          <w:rFonts w:ascii="Times New Roman" w:cs="Times New Roman" w:eastAsia="Times New Roman" w:hAnsi="Times New Roman"/>
          <w:sz w:val="11"/>
          <w:szCs w:val="11"/>
          <w:color w:val="auto"/>
        </w:rPr>
        <w:t>(1)</w:t>
      </w:r>
    </w:p>
    <w:p>
      <w:pPr>
        <w:spacing w:after="0" w:line="8" w:lineRule="exact"/>
        <w:rPr>
          <w:sz w:val="20"/>
          <w:szCs w:val="20"/>
          <w:color w:val="auto"/>
        </w:rPr>
      </w:pPr>
    </w:p>
    <w:p>
      <w:pPr>
        <w:ind w:left="980"/>
        <w:spacing w:after="0"/>
        <w:tabs>
          <w:tab w:leader="none" w:pos="1580" w:val="left"/>
        </w:tabs>
        <w:rPr>
          <w:sz w:val="20"/>
          <w:szCs w:val="20"/>
          <w:color w:val="auto"/>
        </w:rPr>
      </w:pPr>
      <w:r>
        <w:rPr>
          <w:rFonts w:ascii="Times New Roman" w:cs="Times New Roman" w:eastAsia="Times New Roman" w:hAnsi="Times New Roman"/>
          <w:sz w:val="13"/>
          <w:szCs w:val="13"/>
          <w:color w:val="auto"/>
        </w:rPr>
        <w:t>10.15</w:t>
      </w:r>
      <w:r>
        <w:rPr>
          <w:sz w:val="20"/>
          <w:szCs w:val="20"/>
          <w:color w:val="auto"/>
        </w:rPr>
        <w:tab/>
      </w:r>
      <w:r>
        <w:rPr>
          <w:rFonts w:ascii="Times New Roman" w:cs="Times New Roman" w:eastAsia="Times New Roman" w:hAnsi="Times New Roman"/>
          <w:sz w:val="13"/>
          <w:szCs w:val="13"/>
          <w:color w:val="auto"/>
        </w:rPr>
        <w:t>Fidelity National Title Group, Inc., Annual Incentive Plan, incorporated by reference to Annex E to the Information Statement.</w:t>
      </w:r>
      <w:r>
        <w:rPr>
          <w:rFonts w:ascii="Times New Roman" w:cs="Times New Roman" w:eastAsia="Times New Roman" w:hAnsi="Times New Roman"/>
          <w:sz w:val="11"/>
          <w:szCs w:val="11"/>
          <w:color w:val="auto"/>
        </w:rPr>
        <w:t>(1)</w:t>
      </w:r>
    </w:p>
    <w:p>
      <w:pPr>
        <w:spacing w:after="0" w:line="8" w:lineRule="exact"/>
        <w:rPr>
          <w:sz w:val="20"/>
          <w:szCs w:val="20"/>
          <w:color w:val="auto"/>
        </w:rPr>
      </w:pPr>
    </w:p>
    <w:p>
      <w:pPr>
        <w:ind w:left="980"/>
        <w:spacing w:after="0"/>
        <w:tabs>
          <w:tab w:leader="none" w:pos="1580" w:val="left"/>
        </w:tabs>
        <w:rPr>
          <w:sz w:val="20"/>
          <w:szCs w:val="20"/>
          <w:color w:val="auto"/>
        </w:rPr>
      </w:pPr>
      <w:r>
        <w:rPr>
          <w:rFonts w:ascii="Times New Roman" w:cs="Times New Roman" w:eastAsia="Times New Roman" w:hAnsi="Times New Roman"/>
          <w:sz w:val="13"/>
          <w:szCs w:val="13"/>
          <w:color w:val="auto"/>
        </w:rPr>
        <w:t>10.16</w:t>
      </w:r>
      <w:r>
        <w:rPr>
          <w:sz w:val="20"/>
          <w:szCs w:val="20"/>
          <w:color w:val="auto"/>
        </w:rPr>
        <w:tab/>
      </w:r>
      <w:r>
        <w:rPr>
          <w:rFonts w:ascii="Times New Roman" w:cs="Times New Roman" w:eastAsia="Times New Roman" w:hAnsi="Times New Roman"/>
          <w:sz w:val="13"/>
          <w:szCs w:val="13"/>
          <w:color w:val="auto"/>
        </w:rPr>
        <w:t>Form of Option Agreement under the Fidelity National Title Group, Inc. 2005 Omnibus Incentive Plan.</w:t>
      </w:r>
      <w:r>
        <w:rPr>
          <w:rFonts w:ascii="Times New Roman" w:cs="Times New Roman" w:eastAsia="Times New Roman" w:hAnsi="Times New Roman"/>
          <w:sz w:val="11"/>
          <w:szCs w:val="11"/>
          <w:color w:val="auto"/>
        </w:rPr>
        <w:t>(1)</w:t>
      </w:r>
    </w:p>
    <w:p>
      <w:pPr>
        <w:spacing w:after="0" w:line="8" w:lineRule="exact"/>
        <w:rPr>
          <w:sz w:val="20"/>
          <w:szCs w:val="20"/>
          <w:color w:val="auto"/>
        </w:rPr>
      </w:pPr>
    </w:p>
    <w:p>
      <w:pPr>
        <w:ind w:left="980"/>
        <w:spacing w:after="0"/>
        <w:tabs>
          <w:tab w:leader="none" w:pos="1580" w:val="left"/>
        </w:tabs>
        <w:rPr>
          <w:sz w:val="20"/>
          <w:szCs w:val="20"/>
          <w:color w:val="auto"/>
        </w:rPr>
      </w:pPr>
      <w:r>
        <w:rPr>
          <w:rFonts w:ascii="Times New Roman" w:cs="Times New Roman" w:eastAsia="Times New Roman" w:hAnsi="Times New Roman"/>
          <w:sz w:val="13"/>
          <w:szCs w:val="13"/>
          <w:color w:val="auto"/>
        </w:rPr>
        <w:t>10.17</w:t>
      </w:r>
      <w:r>
        <w:rPr>
          <w:sz w:val="20"/>
          <w:szCs w:val="20"/>
          <w:color w:val="auto"/>
        </w:rPr>
        <w:tab/>
      </w:r>
      <w:r>
        <w:rPr>
          <w:rFonts w:ascii="Times New Roman" w:cs="Times New Roman" w:eastAsia="Times New Roman" w:hAnsi="Times New Roman"/>
          <w:sz w:val="13"/>
          <w:szCs w:val="13"/>
          <w:color w:val="auto"/>
        </w:rPr>
        <w:t>Form of Option Agreement under the Fidelity National Title Group, Inc. 2005 Omnibus Incentive Plan.</w:t>
      </w:r>
      <w:r>
        <w:rPr>
          <w:rFonts w:ascii="Times New Roman" w:cs="Times New Roman" w:eastAsia="Times New Roman" w:hAnsi="Times New Roman"/>
          <w:sz w:val="11"/>
          <w:szCs w:val="11"/>
          <w:color w:val="auto"/>
        </w:rPr>
        <w:t>(1)</w:t>
      </w:r>
    </w:p>
    <w:p>
      <w:pPr>
        <w:spacing w:after="0" w:line="9" w:lineRule="exact"/>
        <w:rPr>
          <w:sz w:val="20"/>
          <w:szCs w:val="20"/>
          <w:color w:val="auto"/>
        </w:rPr>
      </w:pPr>
    </w:p>
    <w:p>
      <w:pPr>
        <w:ind w:left="980"/>
        <w:spacing w:after="0"/>
        <w:tabs>
          <w:tab w:leader="none" w:pos="1580" w:val="left"/>
        </w:tabs>
        <w:rPr>
          <w:sz w:val="20"/>
          <w:szCs w:val="20"/>
          <w:color w:val="auto"/>
        </w:rPr>
      </w:pPr>
      <w:r>
        <w:rPr>
          <w:rFonts w:ascii="Times New Roman" w:cs="Times New Roman" w:eastAsia="Times New Roman" w:hAnsi="Times New Roman"/>
          <w:sz w:val="13"/>
          <w:szCs w:val="13"/>
          <w:color w:val="auto"/>
        </w:rPr>
        <w:t>21.1</w:t>
      </w:r>
      <w:r>
        <w:rPr>
          <w:sz w:val="20"/>
          <w:szCs w:val="20"/>
          <w:color w:val="auto"/>
        </w:rPr>
        <w:tab/>
      </w:r>
      <w:r>
        <w:rPr>
          <w:rFonts w:ascii="Times New Roman" w:cs="Times New Roman" w:eastAsia="Times New Roman" w:hAnsi="Times New Roman"/>
          <w:sz w:val="13"/>
          <w:szCs w:val="13"/>
          <w:color w:val="auto"/>
        </w:rPr>
        <w:t>Subsidiaries of the Registrant.</w:t>
      </w:r>
    </w:p>
    <w:p>
      <w:pPr>
        <w:spacing w:after="0" w:line="8" w:lineRule="exact"/>
        <w:rPr>
          <w:sz w:val="20"/>
          <w:szCs w:val="20"/>
          <w:color w:val="auto"/>
        </w:rPr>
      </w:pPr>
    </w:p>
    <w:p>
      <w:pPr>
        <w:ind w:left="980"/>
        <w:spacing w:after="0"/>
        <w:tabs>
          <w:tab w:leader="none" w:pos="1580" w:val="left"/>
        </w:tabs>
        <w:rPr>
          <w:sz w:val="20"/>
          <w:szCs w:val="20"/>
          <w:color w:val="auto"/>
        </w:rPr>
      </w:pPr>
      <w:r>
        <w:rPr>
          <w:rFonts w:ascii="Times New Roman" w:cs="Times New Roman" w:eastAsia="Times New Roman" w:hAnsi="Times New Roman"/>
          <w:sz w:val="13"/>
          <w:szCs w:val="13"/>
          <w:color w:val="auto"/>
        </w:rPr>
        <w:t>23.1</w:t>
      </w:r>
      <w:r>
        <w:rPr>
          <w:sz w:val="20"/>
          <w:szCs w:val="20"/>
          <w:color w:val="auto"/>
        </w:rPr>
        <w:tab/>
      </w:r>
      <w:r>
        <w:rPr>
          <w:rFonts w:ascii="Times New Roman" w:cs="Times New Roman" w:eastAsia="Times New Roman" w:hAnsi="Times New Roman"/>
          <w:sz w:val="13"/>
          <w:szCs w:val="13"/>
          <w:color w:val="auto"/>
        </w:rPr>
        <w:t>Consents of KPMG LLP, Independent Registered Public Accounting Firm.</w:t>
      </w:r>
    </w:p>
    <w:p>
      <w:pPr>
        <w:spacing w:after="0" w:line="8" w:lineRule="exact"/>
        <w:rPr>
          <w:sz w:val="20"/>
          <w:szCs w:val="20"/>
          <w:color w:val="auto"/>
        </w:rPr>
      </w:pPr>
    </w:p>
    <w:p>
      <w:pPr>
        <w:ind w:left="980"/>
        <w:spacing w:after="0"/>
        <w:tabs>
          <w:tab w:leader="none" w:pos="1580" w:val="left"/>
        </w:tabs>
        <w:rPr>
          <w:sz w:val="20"/>
          <w:szCs w:val="20"/>
          <w:color w:val="auto"/>
        </w:rPr>
      </w:pPr>
      <w:r>
        <w:rPr>
          <w:rFonts w:ascii="Times New Roman" w:cs="Times New Roman" w:eastAsia="Times New Roman" w:hAnsi="Times New Roman"/>
          <w:sz w:val="13"/>
          <w:szCs w:val="13"/>
          <w:color w:val="auto"/>
        </w:rPr>
        <w:t>31.1</w:t>
      </w:r>
      <w:r>
        <w:rPr>
          <w:sz w:val="20"/>
          <w:szCs w:val="20"/>
          <w:color w:val="auto"/>
        </w:rPr>
        <w:tab/>
      </w:r>
      <w:r>
        <w:rPr>
          <w:rFonts w:ascii="Times New Roman" w:cs="Times New Roman" w:eastAsia="Times New Roman" w:hAnsi="Times New Roman"/>
          <w:sz w:val="13"/>
          <w:szCs w:val="13"/>
          <w:color w:val="auto"/>
        </w:rPr>
        <w:t>Certification of Chief Executive Officer pursuant to Section 302 of the Sarbanes-Oxley Act of 2002.</w:t>
      </w:r>
    </w:p>
    <w:p>
      <w:pPr>
        <w:spacing w:after="0" w:line="8" w:lineRule="exact"/>
        <w:rPr>
          <w:sz w:val="20"/>
          <w:szCs w:val="20"/>
          <w:color w:val="auto"/>
        </w:rPr>
      </w:pPr>
    </w:p>
    <w:p>
      <w:pPr>
        <w:ind w:left="980"/>
        <w:spacing w:after="0"/>
        <w:tabs>
          <w:tab w:leader="none" w:pos="1580" w:val="left"/>
        </w:tabs>
        <w:rPr>
          <w:sz w:val="20"/>
          <w:szCs w:val="20"/>
          <w:color w:val="auto"/>
        </w:rPr>
      </w:pPr>
      <w:r>
        <w:rPr>
          <w:rFonts w:ascii="Times New Roman" w:cs="Times New Roman" w:eastAsia="Times New Roman" w:hAnsi="Times New Roman"/>
          <w:sz w:val="13"/>
          <w:szCs w:val="13"/>
          <w:color w:val="auto"/>
        </w:rPr>
        <w:t>31.2</w:t>
      </w:r>
      <w:r>
        <w:rPr>
          <w:sz w:val="20"/>
          <w:szCs w:val="20"/>
          <w:color w:val="auto"/>
        </w:rPr>
        <w:tab/>
      </w:r>
      <w:r>
        <w:rPr>
          <w:rFonts w:ascii="Times New Roman" w:cs="Times New Roman" w:eastAsia="Times New Roman" w:hAnsi="Times New Roman"/>
          <w:sz w:val="13"/>
          <w:szCs w:val="13"/>
          <w:color w:val="auto"/>
        </w:rPr>
        <w:t>Certification of Chief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28" w:name="page129"/>
    <w:bookmarkEnd w:id="128"/>
    <w:p>
      <w:pPr>
        <w:spacing w:after="0"/>
        <w:rPr>
          <w:rFonts w:ascii="Times New Roman" w:cs="Times New Roman" w:eastAsia="Times New Roman" w:hAnsi="Times New Roman"/>
          <w:sz w:val="13"/>
          <w:szCs w:val="13"/>
          <w:b w:val="1"/>
          <w:bCs w:val="1"/>
          <w:u w:val="single" w:color="auto"/>
          <w:color w:val="0000EE"/>
        </w:rPr>
      </w:pPr>
      <w:hyperlink w:anchor="page3">
        <w:r>
          <w:rPr>
            <w:rFonts w:ascii="Times New Roman" w:cs="Times New Roman" w:eastAsia="Times New Roman" w:hAnsi="Times New Roman"/>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880" w:type="dxa"/>
        <w:tblCellMar>
          <w:top w:w="0" w:type="dxa"/>
          <w:left w:w="0" w:type="dxa"/>
          <w:bottom w:w="0" w:type="dxa"/>
          <w:right w:w="0" w:type="dxa"/>
        </w:tblCellMar>
      </w:tblPr>
      <w:tr>
        <w:trPr>
          <w:trHeight w:val="115"/>
        </w:trPr>
        <w:tc>
          <w:tcPr>
            <w:tcW w:w="2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2860" w:type="dxa"/>
            <w:vAlign w:val="bottom"/>
            <w:vMerge w:val="restart"/>
          </w:tcPr>
          <w:p>
            <w:pPr>
              <w:ind w:left="2340"/>
              <w:spacing w:after="0"/>
              <w:rPr>
                <w:sz w:val="20"/>
                <w:szCs w:val="20"/>
                <w:color w:val="auto"/>
              </w:rPr>
            </w:pPr>
            <w:r>
              <w:rPr>
                <w:rFonts w:ascii="Times New Roman" w:cs="Times New Roman" w:eastAsia="Times New Roman" w:hAnsi="Times New Roman"/>
                <w:sz w:val="10"/>
                <w:szCs w:val="10"/>
                <w:b w:val="1"/>
                <w:bCs w:val="1"/>
                <w:u w:val="single" w:color="auto"/>
                <w:color w:val="auto"/>
              </w:rPr>
              <w:t>D</w:t>
            </w:r>
            <w:r>
              <w:rPr>
                <w:rFonts w:ascii="Times New Roman" w:cs="Times New Roman" w:eastAsia="Times New Roman" w:hAnsi="Times New Roman"/>
                <w:sz w:val="10"/>
                <w:szCs w:val="10"/>
                <w:b w:val="1"/>
                <w:bCs w:val="1"/>
                <w:color w:val="auto"/>
              </w:rPr>
              <w:t>escription</w:t>
            </w:r>
          </w:p>
        </w:tc>
        <w:tc>
          <w:tcPr>
            <w:tcW w:w="0" w:type="dxa"/>
            <w:vAlign w:val="bottom"/>
          </w:tcPr>
          <w:p>
            <w:pPr>
              <w:spacing w:after="0"/>
              <w:rPr>
                <w:sz w:val="1"/>
                <w:szCs w:val="1"/>
                <w:color w:val="auto"/>
              </w:rPr>
            </w:pPr>
          </w:p>
        </w:tc>
      </w:tr>
      <w:tr>
        <w:trPr>
          <w:trHeight w:val="139"/>
        </w:trPr>
        <w:tc>
          <w:tcPr>
            <w:tcW w:w="286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2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wp:posOffset>
            </wp:positionV>
            <wp:extent cx="635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4" w:lineRule="exact"/>
        <w:rPr>
          <w:sz w:val="20"/>
          <w:szCs w:val="20"/>
          <w:color w:val="auto"/>
        </w:rPr>
      </w:pPr>
    </w:p>
    <w:p>
      <w:pPr>
        <w:jc w:val="right"/>
        <w:ind w:right="479"/>
        <w:spacing w:after="0"/>
        <w:tabs>
          <w:tab w:leader="none" w:pos="8140" w:val="left"/>
        </w:tabs>
        <w:rPr>
          <w:sz w:val="20"/>
          <w:szCs w:val="20"/>
          <w:color w:val="auto"/>
        </w:rPr>
      </w:pPr>
      <w:r>
        <w:rPr>
          <w:rFonts w:ascii="Times New Roman" w:cs="Times New Roman" w:eastAsia="Times New Roman" w:hAnsi="Times New Roman"/>
          <w:sz w:val="13"/>
          <w:szCs w:val="13"/>
          <w:color w:val="auto"/>
        </w:rPr>
        <w:t>32.1</w:t>
        <w:tab/>
        <w:t>Certification by Chief Executive Officer of Periodic Financial Reports pursuant to Section 906 of the Sarbanes-Oxley Act of 2002, 18 U.S.C. Section 1350.</w:t>
      </w:r>
    </w:p>
    <w:p>
      <w:pPr>
        <w:spacing w:after="0" w:line="21" w:lineRule="exact"/>
        <w:rPr>
          <w:sz w:val="20"/>
          <w:szCs w:val="20"/>
          <w:color w:val="auto"/>
        </w:rPr>
      </w:pPr>
    </w:p>
    <w:p>
      <w:pPr>
        <w:ind w:left="1160"/>
        <w:spacing w:after="0"/>
        <w:tabs>
          <w:tab w:leader="none" w:pos="1580" w:val="left"/>
        </w:tabs>
        <w:rPr>
          <w:sz w:val="20"/>
          <w:szCs w:val="20"/>
          <w:color w:val="auto"/>
        </w:rPr>
      </w:pPr>
      <w:r>
        <w:rPr>
          <w:rFonts w:ascii="Times New Roman" w:cs="Times New Roman" w:eastAsia="Times New Roman" w:hAnsi="Times New Roman"/>
          <w:sz w:val="13"/>
          <w:szCs w:val="13"/>
          <w:color w:val="auto"/>
        </w:rPr>
        <w:t>32.2</w:t>
        <w:tab/>
        <w:t>Certification by Chief Financial Officer of Periodic Financial Reports pursuant to Section 906 of the Sarbanes-Oxley Act of 2002,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66675</wp:posOffset>
            </wp:positionV>
            <wp:extent cx="823595"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2" w:lineRule="exact"/>
        <w:rPr>
          <w:sz w:val="20"/>
          <w:szCs w:val="20"/>
          <w:color w:val="auto"/>
        </w:rPr>
      </w:pPr>
    </w:p>
    <w:p>
      <w:pPr>
        <w:ind w:left="1180" w:hanging="493"/>
        <w:spacing w:after="0"/>
        <w:tabs>
          <w:tab w:leader="none" w:pos="11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Incorporated by reference to the Registrant’s Quarterly Report on Form 10-Q for the quarter ended September 30, 2005 (File No. 1-32630).</w:t>
      </w:r>
    </w:p>
    <w:p>
      <w:pPr>
        <w:spacing w:after="0" w:line="47" w:lineRule="exact"/>
        <w:rPr>
          <w:rFonts w:ascii="Times New Roman" w:cs="Times New Roman" w:eastAsia="Times New Roman" w:hAnsi="Times New Roman"/>
          <w:sz w:val="13"/>
          <w:szCs w:val="13"/>
          <w:color w:val="auto"/>
        </w:rPr>
      </w:pPr>
    </w:p>
    <w:p>
      <w:pPr>
        <w:ind w:left="6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††Incorporated by reference to the Registration Statement on Form S-4 (File No. 333-129310) filed on October 28, 2005.</w:t>
      </w:r>
    </w:p>
    <w:p>
      <w:pPr>
        <w:spacing w:after="0" w:line="47" w:lineRule="exact"/>
        <w:rPr>
          <w:rFonts w:ascii="Times New Roman" w:cs="Times New Roman" w:eastAsia="Times New Roman" w:hAnsi="Times New Roman"/>
          <w:sz w:val="13"/>
          <w:szCs w:val="13"/>
          <w:color w:val="auto"/>
        </w:rPr>
      </w:pPr>
    </w:p>
    <w:p>
      <w:pPr>
        <w:ind w:left="6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†††Incorporated by reference to the Registrant’s Registration Statement on Form S-1 (File No. 333-126402) filed on September 26, 2005.</w:t>
      </w:r>
    </w:p>
    <w:p>
      <w:pPr>
        <w:spacing w:after="0" w:line="47" w:lineRule="exact"/>
        <w:rPr>
          <w:sz w:val="20"/>
          <w:szCs w:val="20"/>
          <w:color w:val="auto"/>
        </w:rPr>
      </w:pPr>
    </w:p>
    <w:p>
      <w:pPr>
        <w:ind w:left="1180" w:hanging="493"/>
        <w:spacing w:after="0"/>
        <w:tabs>
          <w:tab w:leader="none" w:pos="118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A management or compensatory plan or arrangement required to be filed as an exhibit to this report pursuant to Item 15(c) of Form 10-K</w:t>
      </w:r>
    </w:p>
    <w:p>
      <w:pPr>
        <w:sectPr>
          <w:pgSz w:w="11900" w:h="16838" w:orient="portrait"/>
          <w:cols w:equalWidth="0" w:num="1">
            <w:col w:w="10239"/>
          </w:cols>
          <w:pgMar w:left="220" w:top="341" w:right="1440" w:bottom="1440" w:gutter="0" w:footer="0" w:header="0"/>
        </w:sectPr>
      </w:pPr>
    </w:p>
    <w:bookmarkStart w:id="129" w:name="page130"/>
    <w:bookmarkEnd w:id="129"/>
    <w:p>
      <w:pPr>
        <w:jc w:val="right"/>
        <w:ind w:right="4099"/>
        <w:spacing w:after="0"/>
        <w:rPr>
          <w:sz w:val="20"/>
          <w:szCs w:val="20"/>
          <w:color w:val="auto"/>
        </w:rPr>
      </w:pPr>
      <w:r>
        <w:rPr>
          <w:rFonts w:ascii="Courier New" w:cs="Courier New" w:eastAsia="Courier New" w:hAnsi="Courier New"/>
          <w:sz w:val="13"/>
          <w:szCs w:val="13"/>
          <w:color w:val="auto"/>
        </w:rPr>
        <w:t>Exhibit 4.5</w:t>
      </w:r>
    </w:p>
    <w:p>
      <w:pPr>
        <w:spacing w:after="0" w:line="24"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3"/>
          <w:szCs w:val="13"/>
          <w:color w:val="auto"/>
        </w:rPr>
        <w:t>[Front of the Stock Certificate]</w:t>
      </w:r>
    </w:p>
    <w:p>
      <w:pPr>
        <w:spacing w:after="0" w:line="124" w:lineRule="exact"/>
        <w:rPr>
          <w:sz w:val="20"/>
          <w:szCs w:val="20"/>
          <w:color w:val="auto"/>
        </w:rPr>
      </w:pPr>
    </w:p>
    <w:p>
      <w:pPr>
        <w:ind w:left="1680"/>
        <w:spacing w:after="0"/>
        <w:rPr>
          <w:sz w:val="20"/>
          <w:szCs w:val="20"/>
          <w:color w:val="auto"/>
        </w:rPr>
      </w:pPr>
      <w:r>
        <w:rPr>
          <w:rFonts w:ascii="Courier New" w:cs="Courier New" w:eastAsia="Courier New" w:hAnsi="Courier New"/>
          <w:sz w:val="13"/>
          <w:szCs w:val="13"/>
          <w:color w:val="auto"/>
        </w:rPr>
        <w:t>FIDELITY NATIONAL FINANCIAL, INC.</w:t>
      </w:r>
    </w:p>
    <w:p>
      <w:pPr>
        <w:spacing w:after="0" w:line="24" w:lineRule="exact"/>
        <w:rPr>
          <w:sz w:val="20"/>
          <w:szCs w:val="20"/>
          <w:color w:val="auto"/>
        </w:rPr>
      </w:pPr>
    </w:p>
    <w:p>
      <w:pPr>
        <w:ind w:left="2220"/>
        <w:spacing w:after="0"/>
        <w:rPr>
          <w:sz w:val="20"/>
          <w:szCs w:val="20"/>
          <w:color w:val="auto"/>
        </w:rPr>
      </w:pPr>
      <w:r>
        <w:rPr>
          <w:rFonts w:ascii="Courier New" w:cs="Courier New" w:eastAsia="Courier New" w:hAnsi="Courier New"/>
          <w:sz w:val="13"/>
          <w:szCs w:val="13"/>
          <w:color w:val="auto"/>
        </w:rPr>
        <w:t>A DELAWARE CORPORATION</w:t>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Class A Common Stock</w:t>
      </w:r>
    </w:p>
    <w:p>
      <w:pPr>
        <w:sectPr>
          <w:pgSz w:w="11900" w:h="16838" w:orient="portrait"/>
          <w:cols w:equalWidth="0" w:num="1">
            <w:col w:w="10239"/>
          </w:cols>
          <w:pgMar w:left="220" w:top="412" w:right="1440" w:bottom="1440" w:gutter="0" w:footer="0" w:header="0"/>
        </w:sectPr>
      </w:pPr>
    </w:p>
    <w:p>
      <w:pPr>
        <w:spacing w:after="0" w:line="148" w:lineRule="exact"/>
        <w:rPr>
          <w:sz w:val="20"/>
          <w:szCs w:val="20"/>
          <w:color w:val="auto"/>
        </w:rPr>
      </w:pPr>
    </w:p>
    <w:p>
      <w:pPr>
        <w:ind w:left="220"/>
        <w:spacing w:after="0"/>
        <w:rPr>
          <w:sz w:val="20"/>
          <w:szCs w:val="20"/>
          <w:color w:val="auto"/>
        </w:rPr>
      </w:pPr>
      <w:r>
        <w:rPr>
          <w:rFonts w:ascii="Courier New" w:cs="Courier New" w:eastAsia="Courier New" w:hAnsi="Courier New"/>
          <w:sz w:val="12"/>
          <w:szCs w:val="12"/>
          <w:color w:val="auto"/>
        </w:rPr>
        <w:t>NUMBER</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2"/>
          <w:szCs w:val="12"/>
          <w:color w:val="auto"/>
        </w:rPr>
        <w:t>SHARES</w:t>
      </w:r>
    </w:p>
    <w:p>
      <w:pPr>
        <w:spacing w:after="0" w:line="200" w:lineRule="exact"/>
        <w:rPr>
          <w:sz w:val="20"/>
          <w:szCs w:val="20"/>
          <w:color w:val="auto"/>
        </w:rPr>
      </w:pPr>
    </w:p>
    <w:p>
      <w:pPr>
        <w:sectPr>
          <w:pgSz w:w="11900" w:h="16838" w:orient="portrait"/>
          <w:cols w:equalWidth="0" w:num="2">
            <w:col w:w="4720" w:space="720"/>
            <w:col w:w="4799"/>
          </w:cols>
          <w:pgMar w:left="220" w:top="412" w:right="1440"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THIS CERTIFICATE IS TRANSFERRABLE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EITHER IN JERSEY CITY, NEW JERSEY</w:t>
      </w:r>
    </w:p>
    <w:p>
      <w:pPr>
        <w:spacing w:after="0"/>
        <w:rPr>
          <w:sz w:val="20"/>
          <w:szCs w:val="20"/>
          <w:color w:val="auto"/>
        </w:rPr>
      </w:pPr>
      <w:r>
        <w:rPr>
          <w:rFonts w:ascii="Courier New" w:cs="Courier New" w:eastAsia="Courier New" w:hAnsi="Courier New"/>
          <w:sz w:val="13"/>
          <w:szCs w:val="13"/>
          <w:color w:val="auto"/>
        </w:rPr>
        <w:t>OR NEW YORK, NEW YORK.</w:t>
      </w:r>
    </w:p>
    <w:p>
      <w:pPr>
        <w:spacing w:after="0" w:line="124" w:lineRule="exact"/>
        <w:rPr>
          <w:sz w:val="20"/>
          <w:szCs w:val="20"/>
          <w:color w:val="auto"/>
        </w:rPr>
      </w:pPr>
    </w:p>
    <w:p>
      <w:pPr>
        <w:ind w:left="4680"/>
        <w:spacing w:after="0"/>
        <w:rPr>
          <w:sz w:val="20"/>
          <w:szCs w:val="20"/>
          <w:color w:val="auto"/>
        </w:rPr>
      </w:pPr>
      <w:r>
        <w:rPr>
          <w:rFonts w:ascii="Courier New" w:cs="Courier New" w:eastAsia="Courier New" w:hAnsi="Courier New"/>
          <w:sz w:val="12"/>
          <w:szCs w:val="12"/>
          <w:color w:val="auto"/>
        </w:rPr>
        <w:t>CUSIP[___________]</w:t>
      </w:r>
    </w:p>
    <w:p>
      <w:pPr>
        <w:spacing w:after="0" w:line="306" w:lineRule="exact"/>
        <w:rPr>
          <w:sz w:val="20"/>
          <w:szCs w:val="20"/>
          <w:color w:val="auto"/>
        </w:rPr>
      </w:pPr>
    </w:p>
    <w:p>
      <w:pPr>
        <w:ind w:left="2680"/>
        <w:spacing w:after="0"/>
        <w:rPr>
          <w:sz w:val="20"/>
          <w:szCs w:val="20"/>
          <w:color w:val="auto"/>
        </w:rPr>
      </w:pPr>
      <w:r>
        <w:rPr>
          <w:rFonts w:ascii="Courier New" w:cs="Courier New" w:eastAsia="Courier New" w:hAnsi="Courier New"/>
          <w:sz w:val="13"/>
          <w:szCs w:val="13"/>
          <w:color w:val="auto"/>
        </w:rPr>
        <w:t>SEE REVERSE FOR CERTAIN DEFINITIONS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This certifies that</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is the owner of</w:t>
      </w:r>
    </w:p>
    <w:p>
      <w:pPr>
        <w:sectPr>
          <w:pgSz w:w="11900" w:h="16838" w:orient="portrait"/>
          <w:cols w:equalWidth="0" w:num="1">
            <w:col w:w="10239"/>
          </w:cols>
          <w:pgMar w:left="220" w:top="412" w:right="1440" w:bottom="1440" w:gutter="0" w:footer="0" w:header="0"/>
          <w:type w:val="continuous"/>
        </w:sectPr>
      </w:pPr>
    </w:p>
    <w:p>
      <w:pPr>
        <w:spacing w:after="0" w:line="148" w:lineRule="exact"/>
        <w:rPr>
          <w:sz w:val="20"/>
          <w:szCs w:val="20"/>
          <w:color w:val="auto"/>
        </w:rPr>
      </w:pPr>
    </w:p>
    <w:p>
      <w:pPr>
        <w:ind w:right="4259"/>
        <w:spacing w:after="0" w:line="353" w:lineRule="auto"/>
        <w:rPr>
          <w:sz w:val="20"/>
          <w:szCs w:val="20"/>
          <w:color w:val="auto"/>
        </w:rPr>
      </w:pPr>
      <w:r>
        <w:rPr>
          <w:rFonts w:ascii="Courier New" w:cs="Courier New" w:eastAsia="Courier New" w:hAnsi="Courier New"/>
          <w:sz w:val="13"/>
          <w:szCs w:val="13"/>
          <w:color w:val="auto"/>
        </w:rPr>
        <w:t>FULLY PAID AND NON-ASSESSABLE SHARES OF THE PAR VALUE $.0001, PER SHARE OF THE CLASS A COMMON STOCK OF</w:t>
      </w:r>
    </w:p>
    <w:p>
      <w:pPr>
        <w:spacing w:after="0" w:line="9"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3"/>
          <w:szCs w:val="13"/>
          <w:color w:val="auto"/>
        </w:rPr>
        <w:t>FIDELITY NATIONAL FINANCIAL, INC.</w:t>
      </w:r>
    </w:p>
    <w:p>
      <w:pPr>
        <w:spacing w:after="0" w:line="148" w:lineRule="exact"/>
        <w:rPr>
          <w:sz w:val="20"/>
          <w:szCs w:val="20"/>
          <w:color w:val="auto"/>
        </w:rPr>
      </w:pPr>
    </w:p>
    <w:p>
      <w:pPr>
        <w:ind w:right="4099"/>
        <w:spacing w:after="0" w:line="277" w:lineRule="auto"/>
        <w:rPr>
          <w:sz w:val="20"/>
          <w:szCs w:val="20"/>
          <w:color w:val="auto"/>
        </w:rPr>
      </w:pPr>
      <w:r>
        <w:rPr>
          <w:rFonts w:ascii="Courier New" w:cs="Courier New" w:eastAsia="Courier New" w:hAnsi="Courier New"/>
          <w:sz w:val="13"/>
          <w:szCs w:val="13"/>
          <w:color w:val="auto"/>
        </w:rPr>
        <w:t>transferable only on the books of the corporation by the holder hereof in person or by duly authorized attorney upon surrender of this certificate properly endorsed. This Certificate is not valid unless countersigned and registered by the Transfer Agent and Registrar.</w:t>
      </w:r>
    </w:p>
    <w:p>
      <w:pPr>
        <w:spacing w:after="0" w:line="57" w:lineRule="exact"/>
        <w:rPr>
          <w:sz w:val="20"/>
          <w:szCs w:val="20"/>
          <w:color w:val="auto"/>
        </w:rPr>
      </w:pPr>
    </w:p>
    <w:p>
      <w:pPr>
        <w:ind w:right="4259"/>
        <w:spacing w:after="0" w:line="296" w:lineRule="auto"/>
        <w:rPr>
          <w:sz w:val="20"/>
          <w:szCs w:val="20"/>
          <w:color w:val="auto"/>
        </w:rPr>
      </w:pPr>
      <w:r>
        <w:rPr>
          <w:rFonts w:ascii="Courier New" w:cs="Courier New" w:eastAsia="Courier New" w:hAnsi="Courier New"/>
          <w:sz w:val="13"/>
          <w:szCs w:val="13"/>
          <w:color w:val="auto"/>
        </w:rPr>
        <w:t>IN WITNESS WHEREOF, the Corporation has caused this certificate to be executed by facsimile signatures of its duly authorized officers and to be sealed with the facsimile seal of the Corporation.</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Dated:</w:t>
      </w:r>
    </w:p>
    <w:p>
      <w:pPr>
        <w:spacing w:after="0" w:line="295"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2"/>
          <w:szCs w:val="12"/>
          <w:color w:val="auto"/>
        </w:rPr>
        <w:t>SECRETARY</w:t>
      </w:r>
      <w:r>
        <w:rPr>
          <w:sz w:val="20"/>
          <w:szCs w:val="20"/>
          <w:color w:val="auto"/>
        </w:rPr>
        <w:tab/>
      </w:r>
      <w:r>
        <w:rPr>
          <w:rFonts w:ascii="Courier New" w:cs="Courier New" w:eastAsia="Courier New" w:hAnsi="Courier New"/>
          <w:sz w:val="12"/>
          <w:szCs w:val="12"/>
          <w:color w:val="auto"/>
        </w:rPr>
        <w:t>CHIEF EXECUTIVE OFFICER</w:t>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Countersigned and Registered:</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Continental Stock Transfer &amp; Trust Company</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Transfer Agent and Registrar</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AUTHORIZED OFFICER</w:t>
      </w:r>
    </w:p>
    <w:p>
      <w:pPr>
        <w:sectPr>
          <w:pgSz w:w="11900" w:h="16838" w:orient="portrait"/>
          <w:cols w:equalWidth="0" w:num="1">
            <w:col w:w="10239"/>
          </w:cols>
          <w:pgMar w:left="220" w:top="412" w:right="1440" w:bottom="1440" w:gutter="0" w:footer="0" w:header="0"/>
          <w:type w:val="continuous"/>
        </w:sectPr>
      </w:pPr>
    </w:p>
    <w:bookmarkStart w:id="130" w:name="page131"/>
    <w:bookmarkEnd w:id="130"/>
    <w:p>
      <w:pPr>
        <w:ind w:left="3760"/>
        <w:spacing w:after="0"/>
        <w:rPr>
          <w:sz w:val="20"/>
          <w:szCs w:val="20"/>
          <w:color w:val="auto"/>
        </w:rPr>
      </w:pPr>
      <w:r>
        <w:rPr>
          <w:rFonts w:ascii="Courier New" w:cs="Courier New" w:eastAsia="Courier New" w:hAnsi="Courier New"/>
          <w:sz w:val="13"/>
          <w:szCs w:val="13"/>
          <w:color w:val="auto"/>
        </w:rPr>
        <w:t>[Back of the Stock Certificate]</w:t>
      </w:r>
    </w:p>
    <w:p>
      <w:pPr>
        <w:spacing w:after="0" w:line="148" w:lineRule="exact"/>
        <w:rPr>
          <w:sz w:val="20"/>
          <w:szCs w:val="20"/>
          <w:color w:val="auto"/>
        </w:rPr>
      </w:pPr>
    </w:p>
    <w:p>
      <w:pPr>
        <w:ind w:left="1680"/>
        <w:spacing w:after="0"/>
        <w:rPr>
          <w:sz w:val="20"/>
          <w:szCs w:val="20"/>
          <w:color w:val="auto"/>
        </w:rPr>
      </w:pPr>
      <w:r>
        <w:rPr>
          <w:rFonts w:ascii="Courier New" w:cs="Courier New" w:eastAsia="Courier New" w:hAnsi="Courier New"/>
          <w:sz w:val="13"/>
          <w:szCs w:val="13"/>
          <w:color w:val="auto"/>
        </w:rPr>
        <w:t>FIDELITY NATIONAL FINANCIAL, INC.</w:t>
      </w:r>
    </w:p>
    <w:p>
      <w:pPr>
        <w:spacing w:after="0" w:line="148" w:lineRule="exact"/>
        <w:rPr>
          <w:sz w:val="20"/>
          <w:szCs w:val="20"/>
          <w:color w:val="auto"/>
        </w:rPr>
      </w:pPr>
    </w:p>
    <w:p>
      <w:pPr>
        <w:ind w:right="4259" w:firstLine="460"/>
        <w:spacing w:after="0" w:line="280" w:lineRule="auto"/>
        <w:rPr>
          <w:sz w:val="20"/>
          <w:szCs w:val="20"/>
          <w:color w:val="auto"/>
        </w:rPr>
      </w:pPr>
      <w:r>
        <w:rPr>
          <w:rFonts w:ascii="Courier New" w:cs="Courier New" w:eastAsia="Courier New" w:hAnsi="Courier New"/>
          <w:sz w:val="12"/>
          <w:szCs w:val="12"/>
          <w:color w:val="auto"/>
        </w:rPr>
        <w:t>THE CORPORATION WILL FURNISH WITHOUT CHARGE TO EACH STOCKHOLDER WHO SO REQUESTS A STATEMENT OF THE POWERS, DESIGNATIONS, PREFERENCES AND RELATIVE, PARTICIPATING, OPTIONAL OR OTHER SPECIAL RIGHTS OF EACH CLASS OF STOCK OF THE CORPORATION OR SERIES THEREOF AND THE QUALIFICATIONS, LIMITATIONS OR RESTRICTIONS OF SUCH PREFERENCES AND/OR RIGHTS. SUCH REQUESTS SHALL BE MADE TO THE CORPORATION'S SECRETARY AT THE PRINCIPAL OFFICE OF THE CORPORATION. THE CORPORATION IS AUTHORIZED TO ISSUE MORE THAN ONE CLASS OF STOCK, INCLUDING A CLASS OF PREFERRED STOCK, WHICH MAY BE ISSUED IN ONE OR MORE SERIES.</w:t>
      </w:r>
    </w:p>
    <w:p>
      <w:pPr>
        <w:spacing w:after="0" w:line="58" w:lineRule="exact"/>
        <w:rPr>
          <w:sz w:val="20"/>
          <w:szCs w:val="20"/>
          <w:color w:val="auto"/>
        </w:rPr>
      </w:pPr>
    </w:p>
    <w:p>
      <w:pPr>
        <w:ind w:right="4259" w:firstLine="460"/>
        <w:spacing w:after="0" w:line="296" w:lineRule="auto"/>
        <w:rPr>
          <w:sz w:val="20"/>
          <w:szCs w:val="20"/>
          <w:color w:val="auto"/>
        </w:rPr>
      </w:pPr>
      <w:r>
        <w:rPr>
          <w:rFonts w:ascii="Courier New" w:cs="Courier New" w:eastAsia="Courier New" w:hAnsi="Courier New"/>
          <w:sz w:val="13"/>
          <w:szCs w:val="13"/>
          <w:color w:val="auto"/>
        </w:rPr>
        <w:t>The following abbreviations, when used in the inscription on the face of this certificate, shall be construed as though they were written out in full according to applicable laws or regulations: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20" w:type="dxa"/>
            <w:vAlign w:val="bottom"/>
          </w:tcPr>
          <w:p>
            <w:pPr>
              <w:spacing w:after="0"/>
              <w:rPr>
                <w:sz w:val="20"/>
                <w:szCs w:val="20"/>
                <w:color w:val="auto"/>
              </w:rPr>
            </w:pPr>
            <w:r>
              <w:rPr>
                <w:rFonts w:ascii="Courier New" w:cs="Courier New" w:eastAsia="Courier New" w:hAnsi="Courier New"/>
                <w:sz w:val="13"/>
                <w:szCs w:val="13"/>
                <w:color w:val="auto"/>
                <w:w w:val="99"/>
              </w:rPr>
              <w:t>TEN COM--</w:t>
            </w:r>
          </w:p>
        </w:tc>
        <w:tc>
          <w:tcPr>
            <w:tcW w:w="2580" w:type="dxa"/>
            <w:vAlign w:val="bottom"/>
          </w:tcPr>
          <w:p>
            <w:pPr>
              <w:ind w:left="40"/>
              <w:spacing w:after="0"/>
              <w:rPr>
                <w:sz w:val="20"/>
                <w:szCs w:val="20"/>
                <w:color w:val="auto"/>
              </w:rPr>
            </w:pPr>
            <w:r>
              <w:rPr>
                <w:rFonts w:ascii="Courier New" w:cs="Courier New" w:eastAsia="Courier New" w:hAnsi="Courier New"/>
                <w:sz w:val="13"/>
                <w:szCs w:val="13"/>
                <w:color w:val="auto"/>
              </w:rPr>
              <w:t>as tenants in common</w:t>
            </w:r>
          </w:p>
        </w:tc>
        <w:tc>
          <w:tcPr>
            <w:tcW w:w="1460" w:type="dxa"/>
            <w:vAlign w:val="bottom"/>
          </w:tcPr>
          <w:p>
            <w:pPr>
              <w:ind w:left="80"/>
              <w:spacing w:after="0"/>
              <w:rPr>
                <w:sz w:val="20"/>
                <w:szCs w:val="20"/>
                <w:color w:val="auto"/>
              </w:rPr>
            </w:pPr>
            <w:r>
              <w:rPr>
                <w:rFonts w:ascii="Courier New" w:cs="Courier New" w:eastAsia="Courier New" w:hAnsi="Courier New"/>
                <w:sz w:val="13"/>
                <w:szCs w:val="13"/>
                <w:color w:val="auto"/>
              </w:rPr>
              <w:t>UNIF GIFT MIN ACT</w:t>
            </w:r>
          </w:p>
        </w:tc>
        <w:tc>
          <w:tcPr>
            <w:tcW w:w="2680" w:type="dxa"/>
            <w:vAlign w:val="bottom"/>
          </w:tcPr>
          <w:p>
            <w:pPr>
              <w:jc w:val="right"/>
              <w:spacing w:after="0"/>
              <w:rPr>
                <w:sz w:val="20"/>
                <w:szCs w:val="20"/>
                <w:color w:val="auto"/>
              </w:rPr>
            </w:pPr>
            <w:r>
              <w:rPr>
                <w:rFonts w:ascii="Courier New" w:cs="Courier New" w:eastAsia="Courier New" w:hAnsi="Courier New"/>
                <w:sz w:val="13"/>
                <w:szCs w:val="13"/>
                <w:color w:val="auto"/>
                <w:w w:val="72"/>
              </w:rPr>
              <w:t>................  Custodian ...................</w:t>
            </w:r>
          </w:p>
        </w:tc>
        <w:tc>
          <w:tcPr>
            <w:tcW w:w="540" w:type="dxa"/>
            <w:vAlign w:val="bottom"/>
            <w:vMerge w:val="restart"/>
          </w:tcPr>
          <w:p>
            <w:pPr>
              <w:spacing w:after="0"/>
              <w:rPr>
                <w:sz w:val="20"/>
                <w:szCs w:val="20"/>
                <w:color w:val="auto"/>
              </w:rPr>
            </w:pPr>
            <w:r>
              <w:rPr>
                <w:rFonts w:ascii="Courier New" w:cs="Courier New" w:eastAsia="Courier New" w:hAnsi="Courier New"/>
                <w:sz w:val="13"/>
                <w:szCs w:val="13"/>
                <w:color w:val="auto"/>
                <w:w w:val="95"/>
              </w:rPr>
              <w:t>(Minor)</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20"/>
                <w:szCs w:val="20"/>
                <w:color w:val="auto"/>
              </w:rPr>
            </w:pPr>
            <w:r>
              <w:rPr>
                <w:rFonts w:ascii="Courier New" w:cs="Courier New" w:eastAsia="Courier New" w:hAnsi="Courier New"/>
                <w:sz w:val="13"/>
                <w:szCs w:val="13"/>
                <w:color w:val="auto"/>
                <w:w w:val="99"/>
              </w:rPr>
              <w:t>TEN ENT--</w:t>
            </w:r>
          </w:p>
        </w:tc>
        <w:tc>
          <w:tcPr>
            <w:tcW w:w="2580" w:type="dxa"/>
            <w:vAlign w:val="bottom"/>
          </w:tcPr>
          <w:p>
            <w:pPr>
              <w:ind w:left="40"/>
              <w:spacing w:after="0"/>
              <w:rPr>
                <w:sz w:val="20"/>
                <w:szCs w:val="20"/>
                <w:color w:val="auto"/>
              </w:rPr>
            </w:pPr>
            <w:r>
              <w:rPr>
                <w:rFonts w:ascii="Courier New" w:cs="Courier New" w:eastAsia="Courier New" w:hAnsi="Courier New"/>
                <w:sz w:val="13"/>
                <w:szCs w:val="13"/>
                <w:color w:val="auto"/>
              </w:rPr>
              <w:t>as tenants by the entireties</w:t>
            </w:r>
          </w:p>
        </w:tc>
        <w:tc>
          <w:tcPr>
            <w:tcW w:w="1460" w:type="dxa"/>
            <w:vAlign w:val="bottom"/>
          </w:tcPr>
          <w:p>
            <w:pPr>
              <w:spacing w:after="0"/>
              <w:rPr>
                <w:sz w:val="12"/>
                <w:szCs w:val="12"/>
                <w:color w:val="auto"/>
              </w:rPr>
            </w:pPr>
          </w:p>
        </w:tc>
        <w:tc>
          <w:tcPr>
            <w:tcW w:w="2680" w:type="dxa"/>
            <w:vAlign w:val="bottom"/>
          </w:tcPr>
          <w:p>
            <w:pPr>
              <w:jc w:val="right"/>
              <w:ind w:right="1776"/>
              <w:spacing w:after="0"/>
              <w:rPr>
                <w:sz w:val="20"/>
                <w:szCs w:val="20"/>
                <w:color w:val="auto"/>
              </w:rPr>
            </w:pPr>
            <w:r>
              <w:rPr>
                <w:rFonts w:ascii="Courier New" w:cs="Courier New" w:eastAsia="Courier New" w:hAnsi="Courier New"/>
                <w:sz w:val="13"/>
                <w:szCs w:val="13"/>
                <w:color w:val="auto"/>
              </w:rPr>
              <w:t>(Cust)</w:t>
            </w: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 w:type="dxa"/>
            <w:vAlign w:val="bottom"/>
          </w:tcPr>
          <w:p>
            <w:pPr>
              <w:spacing w:after="0"/>
              <w:rPr>
                <w:sz w:val="20"/>
                <w:szCs w:val="20"/>
                <w:color w:val="auto"/>
              </w:rPr>
            </w:pPr>
            <w:r>
              <w:rPr>
                <w:rFonts w:ascii="Courier New" w:cs="Courier New" w:eastAsia="Courier New" w:hAnsi="Courier New"/>
                <w:sz w:val="13"/>
                <w:szCs w:val="13"/>
                <w:color w:val="auto"/>
                <w:w w:val="99"/>
              </w:rPr>
              <w:t>JT TEN --</w:t>
            </w:r>
          </w:p>
        </w:tc>
        <w:tc>
          <w:tcPr>
            <w:tcW w:w="2580" w:type="dxa"/>
            <w:vAlign w:val="bottom"/>
          </w:tcPr>
          <w:p>
            <w:pPr>
              <w:ind w:left="40"/>
              <w:spacing w:after="0"/>
              <w:rPr>
                <w:sz w:val="20"/>
                <w:szCs w:val="20"/>
                <w:color w:val="auto"/>
              </w:rPr>
            </w:pPr>
            <w:r>
              <w:rPr>
                <w:rFonts w:ascii="Courier New" w:cs="Courier New" w:eastAsia="Courier New" w:hAnsi="Courier New"/>
                <w:sz w:val="13"/>
                <w:szCs w:val="13"/>
                <w:color w:val="auto"/>
              </w:rPr>
              <w:t>as joint tenants with right of</w:t>
            </w:r>
          </w:p>
        </w:tc>
        <w:tc>
          <w:tcPr>
            <w:tcW w:w="1460" w:type="dxa"/>
            <w:vAlign w:val="bottom"/>
          </w:tcPr>
          <w:p>
            <w:pPr>
              <w:spacing w:after="0"/>
              <w:rPr>
                <w:sz w:val="12"/>
                <w:szCs w:val="12"/>
                <w:color w:val="auto"/>
              </w:rPr>
            </w:pPr>
          </w:p>
        </w:tc>
        <w:tc>
          <w:tcPr>
            <w:tcW w:w="2680" w:type="dxa"/>
            <w:vAlign w:val="bottom"/>
          </w:tcPr>
          <w:p>
            <w:pPr>
              <w:jc w:val="right"/>
              <w:ind w:right="396"/>
              <w:spacing w:after="0"/>
              <w:rPr>
                <w:sz w:val="20"/>
                <w:szCs w:val="20"/>
                <w:color w:val="auto"/>
              </w:rPr>
            </w:pPr>
            <w:r>
              <w:rPr>
                <w:rFonts w:ascii="Courier New" w:cs="Courier New" w:eastAsia="Courier New" w:hAnsi="Courier New"/>
                <w:sz w:val="13"/>
                <w:szCs w:val="13"/>
                <w:color w:val="auto"/>
                <w:w w:val="97"/>
              </w:rPr>
              <w:t>under Uniform Gifts to Minors</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3"/>
                <w:szCs w:val="13"/>
                <w:color w:val="auto"/>
              </w:rPr>
              <w:t>survivorship and not as tenants</w:t>
            </w:r>
          </w:p>
        </w:tc>
        <w:tc>
          <w:tcPr>
            <w:tcW w:w="1460" w:type="dxa"/>
            <w:vAlign w:val="bottom"/>
          </w:tcPr>
          <w:p>
            <w:pPr>
              <w:spacing w:after="0"/>
              <w:rPr>
                <w:sz w:val="12"/>
                <w:szCs w:val="12"/>
                <w:color w:val="auto"/>
              </w:rPr>
            </w:pPr>
          </w:p>
        </w:tc>
        <w:tc>
          <w:tcPr>
            <w:tcW w:w="2680" w:type="dxa"/>
            <w:vAlign w:val="bottom"/>
          </w:tcPr>
          <w:p>
            <w:pPr>
              <w:jc w:val="right"/>
              <w:ind w:right="396"/>
              <w:spacing w:after="0"/>
              <w:rPr>
                <w:sz w:val="20"/>
                <w:szCs w:val="20"/>
                <w:color w:val="auto"/>
              </w:rPr>
            </w:pPr>
            <w:r>
              <w:rPr>
                <w:rFonts w:ascii="Courier New" w:cs="Courier New" w:eastAsia="Courier New" w:hAnsi="Courier New"/>
                <w:sz w:val="13"/>
                <w:szCs w:val="13"/>
                <w:color w:val="auto"/>
                <w:w w:val="97"/>
              </w:rPr>
              <w:t>Act__________________________</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3"/>
                <w:szCs w:val="13"/>
                <w:color w:val="auto"/>
              </w:rPr>
              <w:t>in common</w:t>
            </w:r>
          </w:p>
        </w:tc>
        <w:tc>
          <w:tcPr>
            <w:tcW w:w="1460" w:type="dxa"/>
            <w:vAlign w:val="bottom"/>
            <w:vMerge w:val="restart"/>
          </w:tcPr>
          <w:p>
            <w:pPr>
              <w:ind w:left="80"/>
              <w:spacing w:after="0"/>
              <w:rPr>
                <w:sz w:val="20"/>
                <w:szCs w:val="20"/>
                <w:color w:val="auto"/>
              </w:rPr>
            </w:pPr>
            <w:r>
              <w:rPr>
                <w:rFonts w:ascii="Courier New" w:cs="Courier New" w:eastAsia="Courier New" w:hAnsi="Courier New"/>
                <w:sz w:val="13"/>
                <w:szCs w:val="13"/>
                <w:color w:val="auto"/>
                <w:w w:val="96"/>
              </w:rPr>
              <w:t>UNIF TRANS MIN ACT</w:t>
            </w:r>
          </w:p>
        </w:tc>
        <w:tc>
          <w:tcPr>
            <w:tcW w:w="2680" w:type="dxa"/>
            <w:vAlign w:val="bottom"/>
          </w:tcPr>
          <w:p>
            <w:pPr>
              <w:jc w:val="right"/>
              <w:ind w:right="1096"/>
              <w:spacing w:after="0"/>
              <w:rPr>
                <w:sz w:val="20"/>
                <w:szCs w:val="20"/>
                <w:color w:val="auto"/>
              </w:rPr>
            </w:pPr>
            <w:r>
              <w:rPr>
                <w:rFonts w:ascii="Courier New" w:cs="Courier New" w:eastAsia="Courier New" w:hAnsi="Courier New"/>
                <w:sz w:val="13"/>
                <w:szCs w:val="13"/>
                <w:color w:val="auto"/>
              </w:rPr>
              <w:t>(State)</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322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87"/>
              </w:rPr>
              <w:t>...............  Custodian ...................</w:t>
            </w: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80" w:type="dxa"/>
            <w:vAlign w:val="bottom"/>
          </w:tcPr>
          <w:p>
            <w:pPr>
              <w:ind w:left="60"/>
              <w:spacing w:after="0"/>
              <w:rPr>
                <w:sz w:val="20"/>
                <w:szCs w:val="20"/>
                <w:color w:val="auto"/>
              </w:rPr>
            </w:pPr>
            <w:r>
              <w:rPr>
                <w:rFonts w:ascii="Courier New" w:cs="Courier New" w:eastAsia="Courier New" w:hAnsi="Courier New"/>
                <w:sz w:val="13"/>
                <w:szCs w:val="13"/>
                <w:color w:val="auto"/>
              </w:rPr>
              <w:t>under Uniform Transfer to Minors</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80" w:type="dxa"/>
            <w:vAlign w:val="bottom"/>
          </w:tcPr>
          <w:p>
            <w:pPr>
              <w:jc w:val="right"/>
              <w:ind w:right="396"/>
              <w:spacing w:after="0"/>
              <w:rPr>
                <w:sz w:val="20"/>
                <w:szCs w:val="20"/>
                <w:color w:val="auto"/>
              </w:rPr>
            </w:pPr>
            <w:r>
              <w:rPr>
                <w:rFonts w:ascii="Courier New" w:cs="Courier New" w:eastAsia="Courier New" w:hAnsi="Courier New"/>
                <w:sz w:val="13"/>
                <w:szCs w:val="13"/>
                <w:color w:val="auto"/>
              </w:rPr>
              <w:t>Act_________________________</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80" w:type="dxa"/>
            <w:vAlign w:val="bottom"/>
          </w:tcPr>
          <w:p>
            <w:pPr>
              <w:jc w:val="right"/>
              <w:ind w:right="1096"/>
              <w:spacing w:after="0"/>
              <w:rPr>
                <w:sz w:val="20"/>
                <w:szCs w:val="20"/>
                <w:color w:val="auto"/>
              </w:rPr>
            </w:pPr>
            <w:r>
              <w:rPr>
                <w:rFonts w:ascii="Courier New" w:cs="Courier New" w:eastAsia="Courier New" w:hAnsi="Courier New"/>
                <w:sz w:val="13"/>
                <w:szCs w:val="13"/>
                <w:color w:val="auto"/>
              </w:rPr>
              <w:t>(State)</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0"/>
        </w:trPr>
        <w:tc>
          <w:tcPr>
            <w:tcW w:w="7440" w:type="dxa"/>
            <w:vAlign w:val="bottom"/>
            <w:gridSpan w:val="4"/>
          </w:tcPr>
          <w:p>
            <w:pPr>
              <w:ind w:left="300"/>
              <w:spacing w:after="0"/>
              <w:rPr>
                <w:sz w:val="20"/>
                <w:szCs w:val="20"/>
                <w:color w:val="auto"/>
              </w:rPr>
            </w:pPr>
            <w:r>
              <w:rPr>
                <w:rFonts w:ascii="Courier New" w:cs="Courier New" w:eastAsia="Courier New" w:hAnsi="Courier New"/>
                <w:sz w:val="13"/>
                <w:szCs w:val="13"/>
                <w:color w:val="auto"/>
              </w:rPr>
              <w:t>ADDITIONAL ABBREVIATIONS MAY ALSO BE USED THOUGH NOT IN THE ABOVE LIST.</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20"/>
                <w:szCs w:val="20"/>
                <w:color w:val="auto"/>
              </w:rPr>
            </w:pPr>
            <w:r>
              <w:rPr>
                <w:rFonts w:ascii="Courier New" w:cs="Courier New" w:eastAsia="Courier New" w:hAnsi="Courier New"/>
                <w:sz w:val="13"/>
                <w:szCs w:val="13"/>
                <w:color w:val="auto"/>
                <w:w w:val="99"/>
              </w:rPr>
              <w:t>For value</w:t>
            </w:r>
          </w:p>
        </w:tc>
        <w:tc>
          <w:tcPr>
            <w:tcW w:w="6720" w:type="dxa"/>
            <w:vAlign w:val="bottom"/>
            <w:gridSpan w:val="3"/>
          </w:tcPr>
          <w:p>
            <w:pPr>
              <w:ind w:left="40"/>
              <w:spacing w:after="0"/>
              <w:rPr>
                <w:sz w:val="20"/>
                <w:szCs w:val="20"/>
                <w:color w:val="auto"/>
              </w:rPr>
            </w:pPr>
            <w:r>
              <w:rPr>
                <w:rFonts w:ascii="Courier New" w:cs="Courier New" w:eastAsia="Courier New" w:hAnsi="Courier New"/>
                <w:sz w:val="13"/>
                <w:szCs w:val="13"/>
                <w:color w:val="auto"/>
              </w:rPr>
              <w:t>received, __________________________________________________________</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Courier New" w:cs="Courier New" w:eastAsia="Courier New" w:hAnsi="Courier New"/>
                <w:sz w:val="13"/>
                <w:szCs w:val="13"/>
                <w:color w:val="auto"/>
              </w:rPr>
              <w:t>hereby sell, assign and transfer unto</w:t>
            </w:r>
          </w:p>
        </w:tc>
        <w:tc>
          <w:tcPr>
            <w:tcW w:w="14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3"/>
        </w:trPr>
        <w:tc>
          <w:tcPr>
            <w:tcW w:w="3300" w:type="dxa"/>
            <w:vAlign w:val="bottom"/>
            <w:gridSpan w:val="2"/>
          </w:tcPr>
          <w:p>
            <w:pPr>
              <w:spacing w:after="0"/>
              <w:rPr>
                <w:sz w:val="20"/>
                <w:szCs w:val="20"/>
                <w:color w:val="auto"/>
              </w:rPr>
            </w:pPr>
            <w:r>
              <w:rPr>
                <w:rFonts w:ascii="Courier New" w:cs="Courier New" w:eastAsia="Courier New" w:hAnsi="Courier New"/>
                <w:sz w:val="13"/>
                <w:szCs w:val="13"/>
                <w:color w:val="auto"/>
              </w:rPr>
              <w:t>PLEASE INSERT SOCIAL SECURITY OR OTHER</w:t>
            </w:r>
          </w:p>
        </w:tc>
        <w:tc>
          <w:tcPr>
            <w:tcW w:w="14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Courier New" w:cs="Courier New" w:eastAsia="Courier New" w:hAnsi="Courier New"/>
                <w:sz w:val="13"/>
                <w:szCs w:val="13"/>
                <w:color w:val="auto"/>
              </w:rPr>
              <w:t>TAXPAYER IDENTIFICATION NUMBER OF ASSIGNEE</w:t>
            </w:r>
          </w:p>
        </w:tc>
        <w:tc>
          <w:tcPr>
            <w:tcW w:w="14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3300" w:type="dxa"/>
            <w:vAlign w:val="bottom"/>
            <w:gridSpan w:val="2"/>
          </w:tcPr>
          <w:p>
            <w:pPr>
              <w:spacing w:after="0"/>
              <w:rPr>
                <w:sz w:val="20"/>
                <w:szCs w:val="20"/>
                <w:color w:val="auto"/>
              </w:rPr>
            </w:pPr>
            <w:r>
              <w:rPr>
                <w:rFonts w:ascii="Courier New" w:cs="Courier New" w:eastAsia="Courier New" w:hAnsi="Courier New"/>
                <w:sz w:val="13"/>
                <w:szCs w:val="13"/>
                <w:color w:val="auto"/>
              </w:rPr>
              <w:t>__________________________________________</w:t>
            </w:r>
          </w:p>
        </w:tc>
        <w:tc>
          <w:tcPr>
            <w:tcW w:w="14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7440" w:type="dxa"/>
            <w:vAlign w:val="bottom"/>
            <w:gridSpan w:val="4"/>
          </w:tcPr>
          <w:p>
            <w:pPr>
              <w:spacing w:after="0"/>
              <w:rPr>
                <w:sz w:val="20"/>
                <w:szCs w:val="20"/>
                <w:color w:val="auto"/>
              </w:rPr>
            </w:pPr>
            <w:r>
              <w:rPr>
                <w:rFonts w:ascii="Courier New" w:cs="Courier New" w:eastAsia="Courier New" w:hAnsi="Courier New"/>
                <w:sz w:val="13"/>
                <w:szCs w:val="13"/>
                <w:color w:val="auto"/>
              </w:rPr>
              <w:t>________________________________________________________________________________</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160"/>
              <w:spacing w:after="0"/>
              <w:rPr>
                <w:sz w:val="20"/>
                <w:szCs w:val="20"/>
                <w:color w:val="auto"/>
              </w:rPr>
            </w:pPr>
            <w:r>
              <w:rPr>
                <w:rFonts w:ascii="Courier New" w:cs="Courier New" w:eastAsia="Courier New" w:hAnsi="Courier New"/>
                <w:sz w:val="13"/>
                <w:szCs w:val="13"/>
                <w:color w:val="auto"/>
                <w:w w:val="98"/>
              </w:rPr>
              <w:t>(PLEASE</w:t>
            </w:r>
          </w:p>
        </w:tc>
        <w:tc>
          <w:tcPr>
            <w:tcW w:w="6720" w:type="dxa"/>
            <w:vAlign w:val="bottom"/>
            <w:gridSpan w:val="3"/>
          </w:tcPr>
          <w:p>
            <w:pPr>
              <w:ind w:left="40"/>
              <w:spacing w:after="0"/>
              <w:rPr>
                <w:sz w:val="20"/>
                <w:szCs w:val="20"/>
                <w:color w:val="auto"/>
              </w:rPr>
            </w:pPr>
            <w:r>
              <w:rPr>
                <w:rFonts w:ascii="Courier New" w:cs="Courier New" w:eastAsia="Courier New" w:hAnsi="Courier New"/>
                <w:sz w:val="13"/>
                <w:szCs w:val="13"/>
                <w:color w:val="auto"/>
              </w:rPr>
              <w:t>PRINT OR TYPEWRITE NAME AND ADDRESS INCLUDING ZIP CODE OF ASSIGNEE)</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________________________________________________________________________________</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________________________________________________________________________________</w:t>
      </w:r>
    </w:p>
    <w:p>
      <w:pPr>
        <w:sectPr>
          <w:pgSz w:w="11900" w:h="16838" w:orient="portrait"/>
          <w:cols w:equalWidth="0" w:num="1">
            <w:col w:w="10239"/>
          </w:cols>
          <w:pgMar w:left="220" w:top="540"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2"/>
          <w:szCs w:val="12"/>
          <w:color w:val="auto"/>
        </w:rPr>
        <w:t>_________________________________________________________________________ Shares</w:t>
      </w:r>
    </w:p>
    <w:p>
      <w:pPr>
        <w:spacing w:after="0" w:line="36" w:lineRule="exact"/>
        <w:rPr>
          <w:sz w:val="20"/>
          <w:szCs w:val="20"/>
          <w:color w:val="auto"/>
        </w:rPr>
      </w:pPr>
    </w:p>
    <w:p>
      <w:pPr>
        <w:ind w:right="4179"/>
        <w:spacing w:after="0" w:line="313" w:lineRule="auto"/>
        <w:rPr>
          <w:sz w:val="20"/>
          <w:szCs w:val="20"/>
          <w:color w:val="auto"/>
        </w:rPr>
      </w:pPr>
      <w:r>
        <w:rPr>
          <w:rFonts w:ascii="Courier New" w:cs="Courier New" w:eastAsia="Courier New" w:hAnsi="Courier New"/>
          <w:sz w:val="13"/>
          <w:szCs w:val="13"/>
          <w:color w:val="auto"/>
        </w:rPr>
        <w:t>of the Class A Common Stock represented by the within certificate and do hereby irrevocably constitute and appoint</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______________________________________________________________ Attorney, to</w:t>
      </w:r>
    </w:p>
    <w:p>
      <w:pPr>
        <w:spacing w:after="0" w:line="24" w:lineRule="exact"/>
        <w:rPr>
          <w:sz w:val="20"/>
          <w:szCs w:val="20"/>
          <w:color w:val="auto"/>
        </w:rPr>
      </w:pPr>
    </w:p>
    <w:p>
      <w:pPr>
        <w:ind w:right="4099"/>
        <w:spacing w:after="0" w:line="313" w:lineRule="auto"/>
        <w:rPr>
          <w:sz w:val="20"/>
          <w:szCs w:val="20"/>
          <w:color w:val="auto"/>
        </w:rPr>
      </w:pPr>
      <w:r>
        <w:rPr>
          <w:rFonts w:ascii="Courier New" w:cs="Courier New" w:eastAsia="Courier New" w:hAnsi="Courier New"/>
          <w:sz w:val="13"/>
          <w:szCs w:val="13"/>
          <w:color w:val="auto"/>
        </w:rPr>
        <w:t>transfer the said shares on the books of the within named Corporation, with full power of substitution in the premises.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Dated ________________________________________________</w:t>
      </w:r>
    </w:p>
    <w:p>
      <w:pPr>
        <w:spacing w:after="0" w:line="200" w:lineRule="exact"/>
        <w:rPr>
          <w:sz w:val="20"/>
          <w:szCs w:val="20"/>
          <w:color w:val="auto"/>
        </w:rPr>
      </w:pPr>
    </w:p>
    <w:p>
      <w:pPr>
        <w:spacing w:after="0" w:line="242" w:lineRule="exact"/>
        <w:rPr>
          <w:sz w:val="20"/>
          <w:szCs w:val="20"/>
          <w:color w:val="auto"/>
        </w:rPr>
      </w:pPr>
    </w:p>
    <w:p>
      <w:pPr>
        <w:ind w:left="620"/>
        <w:spacing w:after="0"/>
        <w:rPr>
          <w:sz w:val="20"/>
          <w:szCs w:val="20"/>
          <w:color w:val="auto"/>
        </w:rPr>
      </w:pPr>
      <w:r>
        <w:rPr>
          <w:rFonts w:ascii="Courier New" w:cs="Courier New" w:eastAsia="Courier New" w:hAnsi="Courier New"/>
          <w:sz w:val="12"/>
          <w:szCs w:val="12"/>
          <w:color w:val="auto"/>
        </w:rPr>
        <w:t>________________________________________________________________________</w:t>
      </w:r>
    </w:p>
    <w:p>
      <w:pPr>
        <w:spacing w:after="0" w:line="159" w:lineRule="exact"/>
        <w:rPr>
          <w:sz w:val="20"/>
          <w:szCs w:val="20"/>
          <w:color w:val="auto"/>
        </w:rPr>
      </w:pPr>
    </w:p>
    <w:p>
      <w:pPr>
        <w:ind w:left="1380" w:right="4259" w:hanging="759"/>
        <w:spacing w:after="0" w:line="277" w:lineRule="auto"/>
        <w:tabs>
          <w:tab w:leader="none" w:pos="1360" w:val="left"/>
        </w:tabs>
        <w:rPr>
          <w:sz w:val="20"/>
          <w:szCs w:val="20"/>
          <w:color w:val="auto"/>
        </w:rPr>
      </w:pPr>
      <w:r>
        <w:rPr>
          <w:rFonts w:ascii="Courier New" w:cs="Courier New" w:eastAsia="Courier New" w:hAnsi="Courier New"/>
          <w:sz w:val="13"/>
          <w:szCs w:val="13"/>
          <w:color w:val="auto"/>
        </w:rPr>
        <w:t>NOTICE:</w:t>
      </w:r>
      <w:r>
        <w:rPr>
          <w:sz w:val="20"/>
          <w:szCs w:val="20"/>
          <w:color w:val="auto"/>
        </w:rPr>
        <w:tab/>
      </w:r>
      <w:r>
        <w:rPr>
          <w:rFonts w:ascii="Courier New" w:cs="Courier New" w:eastAsia="Courier New" w:hAnsi="Courier New"/>
          <w:sz w:val="13"/>
          <w:szCs w:val="13"/>
          <w:color w:val="auto"/>
        </w:rPr>
        <w:t>THE SIGNATURE TO THIS ASSIGNMENT MUST CORRESPOND WITH THE NAME(S) AS WRITTEN UPON THE FACE OF THE CERTIFICATE IN EVERY PARTICULAR, WITHOUT ALTERATION OR ENLARGEMENT, OR ANY CHANGE WHATEVER.</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SIGNATURE(S) GUARANTEED: _______________________________________________________</w:t>
      </w:r>
    </w:p>
    <w:p>
      <w:pPr>
        <w:spacing w:after="0" w:line="36"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color w:val="auto"/>
        </w:rPr>
        <w:t>THE SIGNATURE(S) MUST BE GUARANTEED BY AN ELIGIBLE</w:t>
      </w:r>
    </w:p>
    <w:p>
      <w:pPr>
        <w:ind w:left="1920"/>
        <w:spacing w:after="0"/>
        <w:rPr>
          <w:sz w:val="20"/>
          <w:szCs w:val="20"/>
          <w:color w:val="auto"/>
        </w:rPr>
      </w:pPr>
      <w:r>
        <w:rPr>
          <w:rFonts w:ascii="Courier New" w:cs="Courier New" w:eastAsia="Courier New" w:hAnsi="Courier New"/>
          <w:sz w:val="12"/>
          <w:szCs w:val="12"/>
          <w:color w:val="auto"/>
        </w:rPr>
        <w:t>GUARANTOR INSTITUTION (BANKS, STOCKBROKERS, SAVINGS AND</w:t>
      </w:r>
    </w:p>
    <w:p>
      <w:pPr>
        <w:spacing w:after="0" w:line="12" w:lineRule="exact"/>
        <w:rPr>
          <w:sz w:val="20"/>
          <w:szCs w:val="20"/>
          <w:color w:val="auto"/>
        </w:rPr>
      </w:pPr>
    </w:p>
    <w:p>
      <w:pPr>
        <w:ind w:left="1920"/>
        <w:spacing w:after="0"/>
        <w:rPr>
          <w:sz w:val="20"/>
          <w:szCs w:val="20"/>
          <w:color w:val="auto"/>
        </w:rPr>
      </w:pPr>
      <w:r>
        <w:rPr>
          <w:rFonts w:ascii="Courier New" w:cs="Courier New" w:eastAsia="Courier New" w:hAnsi="Courier New"/>
          <w:sz w:val="13"/>
          <w:szCs w:val="13"/>
          <w:color w:val="auto"/>
        </w:rPr>
        <w:t>LOAN ASSOCIATIONS AND CREDIT UNIONS WITH MEMBERSHIP IN</w:t>
      </w:r>
    </w:p>
    <w:p>
      <w:pPr>
        <w:ind w:left="1920"/>
        <w:spacing w:after="0"/>
        <w:rPr>
          <w:sz w:val="20"/>
          <w:szCs w:val="20"/>
          <w:color w:val="auto"/>
        </w:rPr>
      </w:pPr>
      <w:r>
        <w:rPr>
          <w:rFonts w:ascii="Courier New" w:cs="Courier New" w:eastAsia="Courier New" w:hAnsi="Courier New"/>
          <w:sz w:val="13"/>
          <w:szCs w:val="13"/>
          <w:color w:val="auto"/>
        </w:rPr>
        <w:t>AN APPROVED SIGNATURE GUARANTEE MEDALLION PROGRAM),</w:t>
      </w:r>
    </w:p>
    <w:p>
      <w:pPr>
        <w:ind w:left="1920"/>
        <w:spacing w:after="0"/>
        <w:rPr>
          <w:sz w:val="20"/>
          <w:szCs w:val="20"/>
          <w:color w:val="auto"/>
        </w:rPr>
      </w:pPr>
      <w:r>
        <w:rPr>
          <w:rFonts w:ascii="Courier New" w:cs="Courier New" w:eastAsia="Courier New" w:hAnsi="Courier New"/>
          <w:sz w:val="13"/>
          <w:szCs w:val="13"/>
          <w:color w:val="auto"/>
        </w:rPr>
        <w:t>PURSUANT TO S.E.C. RULE 17AD-15.</w:t>
      </w:r>
    </w:p>
    <w:p>
      <w:pPr>
        <w:spacing w:after="0" w:line="271" w:lineRule="exact"/>
        <w:rPr>
          <w:sz w:val="20"/>
          <w:szCs w:val="20"/>
          <w:color w:val="auto"/>
        </w:rPr>
      </w:pPr>
    </w:p>
    <w:p>
      <w:pPr>
        <w:ind w:right="4339"/>
        <w:spacing w:after="0" w:line="296" w:lineRule="auto"/>
        <w:rPr>
          <w:sz w:val="20"/>
          <w:szCs w:val="20"/>
          <w:color w:val="auto"/>
        </w:rPr>
      </w:pPr>
      <w:r>
        <w:rPr>
          <w:rFonts w:ascii="Courier New" w:cs="Courier New" w:eastAsia="Courier New" w:hAnsi="Courier New"/>
          <w:sz w:val="13"/>
          <w:szCs w:val="13"/>
          <w:color w:val="auto"/>
        </w:rPr>
        <w:t>KEEP THIS CERTIFICATE IN A SAFE PLACE. IF IT IS LOST, STOLEN, MUTILATED OR DESTROYED, THE CORPORATION WILL REQUIRE A BOND OF INDEMNITY AS A CONDITION TO THE ISSUANCE OF A REPLACEMENT CERTIFICATE.</w:t>
      </w:r>
    </w:p>
    <w:p>
      <w:pPr>
        <w:sectPr>
          <w:pgSz w:w="11900" w:h="16838" w:orient="portrait"/>
          <w:cols w:equalWidth="0" w:num="1">
            <w:col w:w="10239"/>
          </w:cols>
          <w:pgMar w:left="220" w:top="540" w:right="1440" w:bottom="1440" w:gutter="0" w:footer="0" w:header="0"/>
        </w:sectPr>
      </w:pPr>
    </w:p>
    <w:bookmarkStart w:id="132" w:name="page133"/>
    <w:bookmarkEnd w:id="132"/>
    <w:p>
      <w:pPr>
        <w:jc w:val="right"/>
        <w:ind w:right="4099"/>
        <w:spacing w:after="0"/>
        <w:rPr>
          <w:sz w:val="20"/>
          <w:szCs w:val="20"/>
          <w:color w:val="auto"/>
        </w:rPr>
      </w:pPr>
      <w:r>
        <w:rPr>
          <w:rFonts w:ascii="Courier New" w:cs="Courier New" w:eastAsia="Courier New" w:hAnsi="Courier New"/>
          <w:sz w:val="13"/>
          <w:szCs w:val="13"/>
          <w:color w:val="auto"/>
        </w:rPr>
        <w:t>EXHIBIT 10.9</w:t>
      </w:r>
    </w:p>
    <w:p>
      <w:pPr>
        <w:spacing w:after="0" w:line="295" w:lineRule="exact"/>
        <w:rPr>
          <w:sz w:val="20"/>
          <w:szCs w:val="20"/>
          <w:color w:val="auto"/>
        </w:rPr>
      </w:pPr>
    </w:p>
    <w:p>
      <w:pPr>
        <w:ind w:left="2300"/>
        <w:spacing w:after="0"/>
        <w:rPr>
          <w:sz w:val="20"/>
          <w:szCs w:val="20"/>
          <w:color w:val="auto"/>
        </w:rPr>
      </w:pPr>
      <w:r>
        <w:rPr>
          <w:rFonts w:ascii="Courier New" w:cs="Courier New" w:eastAsia="Courier New" w:hAnsi="Courier New"/>
          <w:sz w:val="13"/>
          <w:szCs w:val="13"/>
          <w:color w:val="auto"/>
        </w:rPr>
        <w:t>EMPLOYMENT AGREEMENT</w:t>
      </w:r>
    </w:p>
    <w:p>
      <w:pPr>
        <w:spacing w:after="0" w:line="148" w:lineRule="exact"/>
        <w:rPr>
          <w:sz w:val="20"/>
          <w:szCs w:val="20"/>
          <w:color w:val="auto"/>
        </w:rPr>
      </w:pPr>
    </w:p>
    <w:p>
      <w:pPr>
        <w:ind w:right="4099" w:firstLine="383"/>
        <w:spacing w:after="0" w:line="268" w:lineRule="auto"/>
        <w:rPr>
          <w:sz w:val="20"/>
          <w:szCs w:val="20"/>
          <w:color w:val="auto"/>
        </w:rPr>
      </w:pPr>
      <w:r>
        <w:rPr>
          <w:rFonts w:ascii="Courier New" w:cs="Courier New" w:eastAsia="Courier New" w:hAnsi="Courier New"/>
          <w:sz w:val="13"/>
          <w:szCs w:val="13"/>
          <w:color w:val="auto"/>
        </w:rPr>
        <w:t>THIS EMPLOYMENT AGREEMENT (the "Agreement") is effective as of December 22, 2006 (the "Effective Date"), by and between FIDELITY NATIONAL FINANCIAL, INC., a Delaware corporation (the "Company"), and ANTHONY J. PARK (the "Employee"). In consideration of the mutual covenants and agreements set forth herein, the parties agree as follows:</w:t>
      </w:r>
    </w:p>
    <w:p>
      <w:pPr>
        <w:spacing w:after="0" w:line="62" w:lineRule="exact"/>
        <w:rPr>
          <w:sz w:val="20"/>
          <w:szCs w:val="20"/>
          <w:color w:val="auto"/>
        </w:rPr>
      </w:pPr>
    </w:p>
    <w:p>
      <w:pPr>
        <w:ind w:right="4099" w:firstLine="382"/>
        <w:spacing w:after="0" w:line="259" w:lineRule="auto"/>
        <w:tabs>
          <w:tab w:leader="none" w:pos="613" w:val="left"/>
        </w:tabs>
        <w:numPr>
          <w:ilvl w:val="0"/>
          <w:numId w:val="55"/>
        </w:numPr>
        <w:rPr>
          <w:rFonts w:ascii="Courier New" w:cs="Courier New" w:eastAsia="Courier New" w:hAnsi="Courier New"/>
          <w:sz w:val="13"/>
          <w:szCs w:val="13"/>
          <w:color w:val="auto"/>
        </w:rPr>
      </w:pPr>
      <w:r>
        <w:rPr>
          <w:rFonts w:ascii="Courier New" w:cs="Courier New" w:eastAsia="Courier New" w:hAnsi="Courier New"/>
          <w:sz w:val="13"/>
          <w:szCs w:val="13"/>
          <w:color w:val="auto"/>
        </w:rPr>
        <w:t>Employment and Duties. Subject to the terms and conditions of this Agreement, the Company employs the Employee to serve in an executive capacity as Chief Financial Officer. Employee accepts such employment and agrees to undertake and discharge the duties, functions and responsibilities commensurate with the aforesaid position and such other duties and responsibilities as may be prescribed from time to time by the Chief Executive Officer or the Board of Directors of the Company (the "Board").</w:t>
      </w:r>
    </w:p>
    <w:p>
      <w:pPr>
        <w:spacing w:after="0" w:line="67" w:lineRule="exact"/>
        <w:rPr>
          <w:rFonts w:ascii="Courier New" w:cs="Courier New" w:eastAsia="Courier New" w:hAnsi="Courier New"/>
          <w:sz w:val="13"/>
          <w:szCs w:val="13"/>
          <w:color w:val="auto"/>
        </w:rPr>
      </w:pPr>
    </w:p>
    <w:p>
      <w:pPr>
        <w:ind w:right="4099" w:firstLine="382"/>
        <w:spacing w:after="0" w:line="249" w:lineRule="auto"/>
        <w:tabs>
          <w:tab w:leader="none" w:pos="613" w:val="left"/>
        </w:tabs>
        <w:numPr>
          <w:ilvl w:val="0"/>
          <w:numId w:val="5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 The term of this Agreement shall commence on the Effective Date and shall continue for a period of three (3) years ending on the third anniversary of the Effective Date or, if later, ending on the last day of any extension made pursuant to the next sentence, subject to prior termination as set forth in Section 7 (such term, including any extensions pursuant to the next sentence, the "Employment Term"). The Employment Term shall be extended automatically for one (1) additional year on the first anniversary of the Effective Date and for an additional year each anniversary thereafter unless and until either party gives written notice to the other not to extend the Employment Term before such extension would be effectuated. Notwithstanding any termination of the Employment Term or the Employee's employment, the Employee and the Company agree that Sections 7 through 9 shall remain in effect until all parties' obligations and benefits are satisfied thereunder.</w:t>
      </w:r>
    </w:p>
    <w:p>
      <w:pPr>
        <w:spacing w:after="0" w:line="77" w:lineRule="exact"/>
        <w:rPr>
          <w:rFonts w:ascii="Courier New" w:cs="Courier New" w:eastAsia="Courier New" w:hAnsi="Courier New"/>
          <w:sz w:val="13"/>
          <w:szCs w:val="13"/>
          <w:color w:val="auto"/>
        </w:rPr>
      </w:pPr>
    </w:p>
    <w:p>
      <w:pPr>
        <w:ind w:right="4099" w:firstLine="382"/>
        <w:spacing w:after="0" w:line="256" w:lineRule="auto"/>
        <w:tabs>
          <w:tab w:leader="none" w:pos="613" w:val="left"/>
        </w:tabs>
        <w:numPr>
          <w:ilvl w:val="0"/>
          <w:numId w:val="55"/>
        </w:numPr>
        <w:rPr>
          <w:rFonts w:ascii="Courier New" w:cs="Courier New" w:eastAsia="Courier New" w:hAnsi="Courier New"/>
          <w:sz w:val="13"/>
          <w:szCs w:val="13"/>
          <w:color w:val="auto"/>
        </w:rPr>
      </w:pPr>
      <w:r>
        <w:rPr>
          <w:rFonts w:ascii="Courier New" w:cs="Courier New" w:eastAsia="Courier New" w:hAnsi="Courier New"/>
          <w:sz w:val="13"/>
          <w:szCs w:val="13"/>
          <w:color w:val="auto"/>
        </w:rPr>
        <w:t>Salary. During the Employment Term, the Company shall pay the Employee an annual base salary, before deducting all applicable withholdings, of $325,000 per year, payable at the time and in the manner dictated by the Company's standard payroll policies. Such minimum annual base salary may be periodically reviewed and increased at the discretion of the Compensation Committee of the Board (the "Committee") to reflect, among other matters, cost of living increases and performance results (such annual base salary, including any increases pursuant to this Section 3, the "Annual Base Salary").</w:t>
      </w:r>
    </w:p>
    <w:p>
      <w:pPr>
        <w:spacing w:after="0" w:line="70" w:lineRule="exact"/>
        <w:rPr>
          <w:rFonts w:ascii="Courier New" w:cs="Courier New" w:eastAsia="Courier New" w:hAnsi="Courier New"/>
          <w:sz w:val="13"/>
          <w:szCs w:val="13"/>
          <w:color w:val="auto"/>
        </w:rPr>
      </w:pPr>
    </w:p>
    <w:p>
      <w:pPr>
        <w:ind w:right="4259" w:firstLine="382"/>
        <w:spacing w:after="0" w:line="268" w:lineRule="auto"/>
        <w:tabs>
          <w:tab w:leader="none" w:pos="613" w:val="left"/>
        </w:tabs>
        <w:numPr>
          <w:ilvl w:val="0"/>
          <w:numId w:val="55"/>
        </w:numPr>
        <w:rPr>
          <w:rFonts w:ascii="Courier New" w:cs="Courier New" w:eastAsia="Courier New" w:hAnsi="Courier New"/>
          <w:sz w:val="13"/>
          <w:szCs w:val="13"/>
          <w:color w:val="auto"/>
        </w:rPr>
      </w:pPr>
      <w:r>
        <w:rPr>
          <w:rFonts w:ascii="Courier New" w:cs="Courier New" w:eastAsia="Courier New" w:hAnsi="Courier New"/>
          <w:sz w:val="13"/>
          <w:szCs w:val="13"/>
          <w:color w:val="auto"/>
        </w:rPr>
        <w:t>Other Compensation and Fringe Benefits. In addition to any executive bonus, pension, deferred compensation and long-term incentive plans which the Company or an affiliate of the Company may from time to time make available to the Employee, the Employee shall be entitled to the following during the Employment Term:</w:t>
      </w:r>
    </w:p>
    <w:p>
      <w:pPr>
        <w:spacing w:after="0" w:line="62" w:lineRule="exact"/>
        <w:rPr>
          <w:sz w:val="20"/>
          <w:szCs w:val="20"/>
          <w:color w:val="auto"/>
        </w:rPr>
      </w:pPr>
    </w:p>
    <w:p>
      <w:pPr>
        <w:ind w:left="760" w:right="4559" w:hanging="378"/>
        <w:spacing w:after="0" w:line="353" w:lineRule="auto"/>
        <w:tabs>
          <w:tab w:leader="none" w:pos="760" w:val="left"/>
        </w:tabs>
        <w:numPr>
          <w:ilvl w:val="0"/>
          <w:numId w:val="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standard Company benefits enjoyed by the Company's other top executives as a group;</w:t>
      </w:r>
    </w:p>
    <w:p>
      <w:pPr>
        <w:spacing w:after="0" w:line="9" w:lineRule="exact"/>
        <w:rPr>
          <w:rFonts w:ascii="Courier New" w:cs="Courier New" w:eastAsia="Courier New" w:hAnsi="Courier New"/>
          <w:sz w:val="13"/>
          <w:szCs w:val="13"/>
          <w:color w:val="auto"/>
        </w:rPr>
      </w:pPr>
    </w:p>
    <w:p>
      <w:pPr>
        <w:ind w:left="760" w:right="4179" w:hanging="378"/>
        <w:spacing w:after="0" w:line="277" w:lineRule="auto"/>
        <w:tabs>
          <w:tab w:leader="none" w:pos="760" w:val="left"/>
        </w:tabs>
        <w:numPr>
          <w:ilvl w:val="0"/>
          <w:numId w:val="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payment by the Company of the Employee's initiation and membership dues in all social and/or recreational clubs as deemed necessary and appropriate by the Company to maintain various business relationships on behalf of the Company;</w:t>
      </w:r>
    </w:p>
    <w:p>
      <w:pPr>
        <w:sectPr>
          <w:pgSz w:w="11900" w:h="16838" w:orient="portrait"/>
          <w:cols w:equalWidth="0" w:num="1">
            <w:col w:w="10239"/>
          </w:cols>
          <w:pgMar w:left="220" w:top="264" w:right="1440" w:bottom="1440" w:gutter="0" w:footer="0" w:header="0"/>
        </w:sectPr>
      </w:pPr>
    </w:p>
    <w:bookmarkStart w:id="133" w:name="page134"/>
    <w:bookmarkEnd w:id="133"/>
    <w:p>
      <w:pPr>
        <w:ind w:left="378" w:right="4179"/>
        <w:spacing w:after="0" w:line="390" w:lineRule="auto"/>
        <w:rPr>
          <w:sz w:val="20"/>
          <w:szCs w:val="20"/>
          <w:color w:val="auto"/>
        </w:rPr>
      </w:pPr>
      <w:r>
        <w:rPr>
          <w:rFonts w:ascii="Courier New" w:cs="Courier New" w:eastAsia="Courier New" w:hAnsi="Courier New"/>
          <w:sz w:val="12"/>
          <w:szCs w:val="12"/>
          <w:color w:val="auto"/>
        </w:rPr>
        <w:t>provided, however, that the Company shall not be obligated to pay for any of the Employee's personal purchases and expenses at such clubs;</w:t>
      </w:r>
    </w:p>
    <w:p>
      <w:pPr>
        <w:spacing w:after="0" w:line="1" w:lineRule="exact"/>
        <w:rPr>
          <w:sz w:val="20"/>
          <w:szCs w:val="20"/>
          <w:color w:val="auto"/>
        </w:rPr>
      </w:pPr>
    </w:p>
    <w:p>
      <w:pPr>
        <w:ind w:left="378" w:right="4099" w:hanging="378"/>
        <w:spacing w:after="0" w:line="296" w:lineRule="auto"/>
        <w:tabs>
          <w:tab w:leader="none" w:pos="378" w:val="left"/>
        </w:tabs>
        <w:numPr>
          <w:ilvl w:val="0"/>
          <w:numId w:val="57"/>
        </w:numPr>
        <w:rPr>
          <w:rFonts w:ascii="Courier New" w:cs="Courier New" w:eastAsia="Courier New" w:hAnsi="Courier New"/>
          <w:sz w:val="13"/>
          <w:szCs w:val="13"/>
          <w:color w:val="auto"/>
        </w:rPr>
      </w:pPr>
      <w:r>
        <w:rPr>
          <w:rFonts w:ascii="Courier New" w:cs="Courier New" w:eastAsia="Courier New" w:hAnsi="Courier New"/>
          <w:sz w:val="13"/>
          <w:szCs w:val="13"/>
          <w:color w:val="auto"/>
        </w:rPr>
        <w:t>medical and other insurance coverage (for the Employee and any covered dependents) provided by the Company to its other top executives as a group;</w:t>
      </w:r>
    </w:p>
    <w:p>
      <w:pPr>
        <w:spacing w:after="0" w:line="44" w:lineRule="exact"/>
        <w:rPr>
          <w:rFonts w:ascii="Courier New" w:cs="Courier New" w:eastAsia="Courier New" w:hAnsi="Courier New"/>
          <w:sz w:val="13"/>
          <w:szCs w:val="13"/>
          <w:color w:val="auto"/>
        </w:rPr>
      </w:pPr>
    </w:p>
    <w:p>
      <w:pPr>
        <w:ind w:left="378" w:right="4179" w:hanging="378"/>
        <w:spacing w:after="0" w:line="353" w:lineRule="auto"/>
        <w:tabs>
          <w:tab w:leader="none" w:pos="378" w:val="left"/>
        </w:tabs>
        <w:numPr>
          <w:ilvl w:val="0"/>
          <w:numId w:val="57"/>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supplemental disability insurance sufficient to provide two-thirds of the Employee's pre-disability Annual Base Salary;</w:t>
      </w:r>
    </w:p>
    <w:p>
      <w:pPr>
        <w:spacing w:after="0" w:line="9" w:lineRule="exact"/>
        <w:rPr>
          <w:rFonts w:ascii="Courier New" w:cs="Courier New" w:eastAsia="Courier New" w:hAnsi="Courier New"/>
          <w:sz w:val="13"/>
          <w:szCs w:val="13"/>
          <w:color w:val="auto"/>
        </w:rPr>
      </w:pPr>
    </w:p>
    <w:p>
      <w:pPr>
        <w:ind w:left="378" w:right="4099" w:hanging="378"/>
        <w:spacing w:after="0" w:line="248" w:lineRule="auto"/>
        <w:tabs>
          <w:tab w:leader="none" w:pos="378" w:val="left"/>
        </w:tabs>
        <w:numPr>
          <w:ilvl w:val="0"/>
          <w:numId w:val="57"/>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 annual incentive bonus opportunity under the Company's annual incentive plan ("Annual Bonus Plan") for each calendar year included in the Employment Term, with such opportunity to be earned based upon attainment of performance objectives established by the Committee ("Annual Bonus"). The Employee's "bonus factor" or "bonus target" under the Annual Bonus Plan shall be not less than 75% of the Employee's Annual Base Salary. The Employee's "bonus factor" may be periodically reviewed and increased (but not decreased without the Employee's express written consent) at the discretion of the Committee. The Annual Bonus shall be paid no later than the March 15th first following the calendar year to which the Annual Bonus relates. Unless provided otherwise herein or the Board determines otherwise, no Annual Bonus shall be paid to the Employee unless the Employee is employed by the Company, or an affiliate thereof, on the Annual Bonus payment date; and</w:t>
      </w:r>
    </w:p>
    <w:p>
      <w:pPr>
        <w:spacing w:after="0" w:line="76" w:lineRule="exact"/>
        <w:rPr>
          <w:rFonts w:ascii="Courier New" w:cs="Courier New" w:eastAsia="Courier New" w:hAnsi="Courier New"/>
          <w:sz w:val="13"/>
          <w:szCs w:val="13"/>
          <w:color w:val="auto"/>
        </w:rPr>
      </w:pPr>
    </w:p>
    <w:p>
      <w:pPr>
        <w:ind w:left="378" w:hanging="378"/>
        <w:spacing w:after="0"/>
        <w:tabs>
          <w:tab w:leader="none" w:pos="378" w:val="left"/>
        </w:tabs>
        <w:numPr>
          <w:ilvl w:val="0"/>
          <w:numId w:val="57"/>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participation in the Company's equity incentive plans.</w:t>
      </w:r>
    </w:p>
    <w:p>
      <w:pPr>
        <w:spacing w:after="0" w:line="148" w:lineRule="exact"/>
        <w:rPr>
          <w:sz w:val="20"/>
          <w:szCs w:val="20"/>
          <w:color w:val="auto"/>
        </w:rPr>
      </w:pPr>
    </w:p>
    <w:p>
      <w:pPr>
        <w:ind w:left="-382" w:right="4179" w:firstLine="382"/>
        <w:spacing w:after="0" w:line="262" w:lineRule="auto"/>
        <w:tabs>
          <w:tab w:leader="none" w:pos="231" w:val="left"/>
        </w:tabs>
        <w:numPr>
          <w:ilvl w:val="0"/>
          <w:numId w:val="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Vacation. For and during each calendar year within the Employment Term, the Employee shall be entitled to reasonable paid vacation periods consistent with his positions with the Company and in accordance with the Company's standard policies, or as the Board may approve. In addition, the Employee shall be entitled to such holidays consistent with the Company's standard policies or as the Board or the Committee may approve.</w:t>
      </w:r>
    </w:p>
    <w:p>
      <w:pPr>
        <w:spacing w:after="0" w:line="67" w:lineRule="exact"/>
        <w:rPr>
          <w:rFonts w:ascii="Courier New" w:cs="Courier New" w:eastAsia="Courier New" w:hAnsi="Courier New"/>
          <w:sz w:val="13"/>
          <w:szCs w:val="13"/>
          <w:color w:val="auto"/>
        </w:rPr>
      </w:pPr>
    </w:p>
    <w:p>
      <w:pPr>
        <w:ind w:left="-382" w:right="4259" w:firstLine="382"/>
        <w:spacing w:after="0" w:line="262" w:lineRule="auto"/>
        <w:tabs>
          <w:tab w:leader="none" w:pos="231" w:val="left"/>
        </w:tabs>
        <w:numPr>
          <w:ilvl w:val="0"/>
          <w:numId w:val="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Expense Reimbursement. In addition to the compensation and benefits provided herein, the Company shall, upon receipt of appropriate documentation, reimburse the Employee each month for his reasonable travel, lodging, entertainment, promotion and other ordinary and necessary business expenses to the extent such reimbursement is permitted under the Company's expense reimbursement policy.</w:t>
      </w:r>
    </w:p>
    <w:p>
      <w:pPr>
        <w:spacing w:after="0" w:line="67" w:lineRule="exact"/>
        <w:rPr>
          <w:rFonts w:ascii="Courier New" w:cs="Courier New" w:eastAsia="Courier New" w:hAnsi="Courier New"/>
          <w:sz w:val="13"/>
          <w:szCs w:val="13"/>
          <w:color w:val="auto"/>
        </w:rPr>
      </w:pPr>
    </w:p>
    <w:p>
      <w:pPr>
        <w:ind w:left="-382" w:right="4099" w:firstLine="382"/>
        <w:spacing w:after="0" w:line="268" w:lineRule="auto"/>
        <w:tabs>
          <w:tab w:leader="none" w:pos="231" w:val="left"/>
        </w:tabs>
        <w:numPr>
          <w:ilvl w:val="0"/>
          <w:numId w:val="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of Employment. The Company or the Employee may terminate the Employee's employment at any time and for any reason in accordance with subsection 7(a) below. The Employment Term shall be deemed to have ended on the last day of the Employee's employment. The Employment Term shall terminate automatically upon the Employee's death.</w:t>
      </w:r>
    </w:p>
    <w:p>
      <w:pPr>
        <w:spacing w:after="0" w:line="62" w:lineRule="exact"/>
        <w:rPr>
          <w:sz w:val="20"/>
          <w:szCs w:val="20"/>
          <w:color w:val="auto"/>
        </w:rPr>
      </w:pPr>
    </w:p>
    <w:p>
      <w:pPr>
        <w:ind w:left="378" w:right="4099" w:hanging="378"/>
        <w:spacing w:after="0" w:line="259" w:lineRule="auto"/>
        <w:tabs>
          <w:tab w:leader="none" w:pos="378" w:val="left"/>
        </w:tabs>
        <w:numPr>
          <w:ilvl w:val="0"/>
          <w:numId w:val="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Notice of Termination. Any purported termination of the Employee's employment (other than by reason of death) shall be communicated by written Notice of Termination (as defined herein) from one party hereto to the other party hereto in accordance with the notice provisions contained in Section 25. For purposes of this Agreement, a "Notice of Termination" shall mean a notice that indicates the Date of Termination (as that term is defined in Section 7(b)) and,</w:t>
      </w:r>
    </w:p>
    <w:p>
      <w:pPr>
        <w:spacing w:after="0" w:line="214"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9857"/>
          </w:cols>
          <w:pgMar w:left="602" w:top="540" w:right="1440" w:bottom="1440" w:gutter="0" w:footer="0" w:header="0"/>
        </w:sectPr>
      </w:pPr>
    </w:p>
    <w:bookmarkStart w:id="134" w:name="page135"/>
    <w:bookmarkEnd w:id="134"/>
    <w:p>
      <w:pPr>
        <w:ind w:left="378" w:right="4099"/>
        <w:spacing w:after="0" w:line="254" w:lineRule="auto"/>
        <w:rPr>
          <w:sz w:val="20"/>
          <w:szCs w:val="20"/>
          <w:color w:val="auto"/>
        </w:rPr>
      </w:pPr>
      <w:r>
        <w:rPr>
          <w:rFonts w:ascii="Courier New" w:cs="Courier New" w:eastAsia="Courier New" w:hAnsi="Courier New"/>
          <w:sz w:val="13"/>
          <w:szCs w:val="13"/>
          <w:color w:val="auto"/>
        </w:rPr>
        <w:t>with respect to a termination due to Disability (as that term is defined in Section 7(e)), Cause (as that term is defined in Section 7(d)) or Good Reason (as that term is defined in Section 7(f)), sets forth in reasonable detail the facts and circumstances that are alleged to provide a basis for such termination. A Notice of Termination from the Company shall specify whether the termination is with or without Cause or due to the Employee's Disability. A Notice of Termination from the Employee shall specify whether the termination is with or without Good Reason or due to Disability.</w:t>
      </w:r>
    </w:p>
    <w:p>
      <w:pPr>
        <w:spacing w:after="0" w:line="72" w:lineRule="exact"/>
        <w:rPr>
          <w:sz w:val="20"/>
          <w:szCs w:val="20"/>
          <w:color w:val="auto"/>
        </w:rPr>
      </w:pPr>
    </w:p>
    <w:p>
      <w:pPr>
        <w:ind w:left="378" w:right="4179" w:hanging="378"/>
        <w:spacing w:after="0" w:line="262" w:lineRule="auto"/>
        <w:tabs>
          <w:tab w:leader="none" w:pos="378" w:val="left"/>
        </w:tabs>
        <w:numPr>
          <w:ilvl w:val="0"/>
          <w:numId w:val="60"/>
        </w:numPr>
        <w:rPr>
          <w:rFonts w:ascii="Courier New" w:cs="Courier New" w:eastAsia="Courier New" w:hAnsi="Courier New"/>
          <w:sz w:val="13"/>
          <w:szCs w:val="13"/>
          <w:color w:val="auto"/>
        </w:rPr>
      </w:pPr>
      <w:r>
        <w:rPr>
          <w:rFonts w:ascii="Courier New" w:cs="Courier New" w:eastAsia="Courier New" w:hAnsi="Courier New"/>
          <w:sz w:val="13"/>
          <w:szCs w:val="13"/>
          <w:color w:val="auto"/>
        </w:rPr>
        <w:t>Date of Termination. For purposes of this Agreement, "Date of Termination" shall mean the date specified in the Notice of Termination (but in no event shall such date be earlier than the 30th day following the date the Notice of Termination is given, unless expressly agreed to by the parties hereto) or the date of the Employee's death.</w:t>
      </w:r>
    </w:p>
    <w:p>
      <w:pPr>
        <w:spacing w:after="0" w:line="67" w:lineRule="exact"/>
        <w:rPr>
          <w:rFonts w:ascii="Courier New" w:cs="Courier New" w:eastAsia="Courier New" w:hAnsi="Courier New"/>
          <w:sz w:val="13"/>
          <w:szCs w:val="13"/>
          <w:color w:val="auto"/>
        </w:rPr>
      </w:pPr>
    </w:p>
    <w:p>
      <w:pPr>
        <w:ind w:left="378" w:right="4099" w:hanging="378"/>
        <w:spacing w:after="0" w:line="262" w:lineRule="auto"/>
        <w:tabs>
          <w:tab w:leader="none" w:pos="378" w:val="left"/>
        </w:tabs>
        <w:numPr>
          <w:ilvl w:val="0"/>
          <w:numId w:val="60"/>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Waiver.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67" w:lineRule="exact"/>
        <w:rPr>
          <w:rFonts w:ascii="Courier New" w:cs="Courier New" w:eastAsia="Courier New" w:hAnsi="Courier New"/>
          <w:sz w:val="13"/>
          <w:szCs w:val="13"/>
          <w:color w:val="auto"/>
        </w:rPr>
      </w:pPr>
    </w:p>
    <w:p>
      <w:pPr>
        <w:ind w:left="378" w:hanging="378"/>
        <w:spacing w:after="0"/>
        <w:tabs>
          <w:tab w:leader="none" w:pos="378" w:val="left"/>
        </w:tabs>
        <w:numPr>
          <w:ilvl w:val="0"/>
          <w:numId w:val="60"/>
        </w:numPr>
        <w:rPr>
          <w:rFonts w:ascii="Courier New" w:cs="Courier New" w:eastAsia="Courier New" w:hAnsi="Courier New"/>
          <w:sz w:val="13"/>
          <w:szCs w:val="13"/>
          <w:color w:val="auto"/>
        </w:rPr>
      </w:pPr>
      <w:r>
        <w:rPr>
          <w:rFonts w:ascii="Courier New" w:cs="Courier New" w:eastAsia="Courier New" w:hAnsi="Courier New"/>
          <w:sz w:val="13"/>
          <w:szCs w:val="13"/>
          <w:color w:val="auto"/>
        </w:rPr>
        <w:t>Cause. For purposes of this Agreement, "Cause" means the Employee's</w:t>
      </w:r>
    </w:p>
    <w:p>
      <w:pPr>
        <w:spacing w:after="0" w:line="24" w:lineRule="exact"/>
        <w:rPr>
          <w:rFonts w:ascii="Courier New" w:cs="Courier New" w:eastAsia="Courier New" w:hAnsi="Courier New"/>
          <w:sz w:val="13"/>
          <w:szCs w:val="13"/>
          <w:color w:val="auto"/>
        </w:rPr>
      </w:pPr>
    </w:p>
    <w:p>
      <w:pPr>
        <w:ind w:left="378" w:right="4099" w:firstLine="5"/>
        <w:spacing w:after="0" w:line="265" w:lineRule="auto"/>
        <w:tabs>
          <w:tab w:leader="none" w:pos="685" w:val="left"/>
        </w:tabs>
        <w:numPr>
          <w:ilvl w:val="1"/>
          <w:numId w:val="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persistent failure to perform duties consistent with a commercially reasonable standard of care (other than due to a physical or mental impairment or due to an action or inaction directed by the Company that would otherwise constitute Good Reason); (ii) willful neglect of duties (other than due to a physical or mental impairment or due to an action or inaction directed by the Company that would otherwise constitute Good Reason); (iii) conviction of, or pleading nolo contendere to, criminal or other illegal activities involving dishonesty; (iv) material breach of this Agreement; or (v) impeding, or failing to materially cooperate with, an investigation authorized by the Board. The Employee's termination for Cause shall be effective when and if a resolution is duly adopted by an affirmative vote of at least 3/4 of the Board (less the Employee), stating that, in the good faith opinion of the Board, the Employee is guilty of the conduct described in the Notice of Termination and such conduct constitutes Cause under this Agreement; provided, however, that the Employee shall have been given reasonable opportunity (i) to cure any act or omission that constitutes Cause if capable of cure and (ii), together with counsel, during the thirty (30) day period following the receipt by the Employee of the Notice of Termination and prior to the adoption of the Board's resolution, to be heard by the Board.</w:t>
      </w:r>
    </w:p>
    <w:p>
      <w:pPr>
        <w:spacing w:after="0" w:line="217" w:lineRule="exact"/>
        <w:rPr>
          <w:rFonts w:ascii="Courier New" w:cs="Courier New" w:eastAsia="Courier New" w:hAnsi="Courier New"/>
          <w:sz w:val="12"/>
          <w:szCs w:val="12"/>
          <w:color w:val="auto"/>
        </w:rPr>
      </w:pPr>
    </w:p>
    <w:p>
      <w:pPr>
        <w:ind w:left="378" w:right="4099" w:hanging="378"/>
        <w:spacing w:after="0" w:line="307" w:lineRule="auto"/>
        <w:tabs>
          <w:tab w:leader="none" w:pos="378" w:val="left"/>
        </w:tabs>
        <w:numPr>
          <w:ilvl w:val="0"/>
          <w:numId w:val="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Disability. For purposes of this Agreement, the Employee shall be deemed to have a "Disability" if the Employee is entitled to long-term disability benefits under the Company's long-term disability plan or policy, as the case may be, as in effect on the Date of Termination.</w:t>
      </w:r>
    </w:p>
    <w:p>
      <w:pPr>
        <w:spacing w:after="0" w:line="189"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9857"/>
          </w:cols>
          <w:pgMar w:left="602" w:top="540" w:right="1440" w:bottom="1440" w:gutter="0" w:footer="0" w:header="0"/>
        </w:sectPr>
      </w:pPr>
    </w:p>
    <w:bookmarkStart w:id="135" w:name="page136"/>
    <w:bookmarkEnd w:id="135"/>
    <w:p>
      <w:pPr>
        <w:ind w:left="760" w:right="4099" w:hanging="378"/>
        <w:spacing w:after="0" w:line="277" w:lineRule="auto"/>
        <w:tabs>
          <w:tab w:leader="none" w:pos="760" w:val="left"/>
        </w:tabs>
        <w:numPr>
          <w:ilvl w:val="0"/>
          <w:numId w:val="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Good Reason. For purposes of this Agreement, the term "Good Reason" means the occurrence (without the Employee's express written consent) during the Employment Term of any of the following acts or failures to act by the Company:</w:t>
      </w:r>
    </w:p>
    <w:p>
      <w:pPr>
        <w:spacing w:after="0" w:line="57" w:lineRule="exact"/>
        <w:rPr>
          <w:rFonts w:ascii="Courier New" w:cs="Courier New" w:eastAsia="Courier New" w:hAnsi="Courier New"/>
          <w:sz w:val="13"/>
          <w:szCs w:val="13"/>
          <w:color w:val="auto"/>
        </w:rPr>
      </w:pPr>
    </w:p>
    <w:p>
      <w:pPr>
        <w:ind w:left="1140" w:right="4179" w:hanging="375"/>
        <w:spacing w:after="0" w:line="277" w:lineRule="auto"/>
        <w:tabs>
          <w:tab w:leader="none" w:pos="1140" w:val="left"/>
        </w:tabs>
        <w:numPr>
          <w:ilvl w:val="1"/>
          <w:numId w:val="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 adverse change in the Employee's title, the assignment to the Employee of duties materially inconsistent with the Employee's position of Chief Financial Officer, or a substantial diminution in the Employee's authority;</w:t>
      </w:r>
    </w:p>
    <w:p>
      <w:pPr>
        <w:spacing w:after="0" w:line="57" w:lineRule="exact"/>
        <w:rPr>
          <w:rFonts w:ascii="Courier New" w:cs="Courier New" w:eastAsia="Courier New" w:hAnsi="Courier New"/>
          <w:sz w:val="13"/>
          <w:szCs w:val="13"/>
          <w:color w:val="auto"/>
        </w:rPr>
      </w:pPr>
    </w:p>
    <w:p>
      <w:pPr>
        <w:ind w:left="1140" w:right="4959" w:hanging="375"/>
        <w:spacing w:after="0" w:line="353" w:lineRule="auto"/>
        <w:tabs>
          <w:tab w:leader="none" w:pos="1140" w:val="left"/>
        </w:tabs>
        <w:numPr>
          <w:ilvl w:val="1"/>
          <w:numId w:val="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material breach by the Company of any of its other obligations under this Agreement;</w:t>
      </w:r>
    </w:p>
    <w:p>
      <w:pPr>
        <w:spacing w:after="0" w:line="9" w:lineRule="exact"/>
        <w:rPr>
          <w:rFonts w:ascii="Courier New" w:cs="Courier New" w:eastAsia="Courier New" w:hAnsi="Courier New"/>
          <w:sz w:val="13"/>
          <w:szCs w:val="13"/>
          <w:color w:val="auto"/>
        </w:rPr>
      </w:pPr>
    </w:p>
    <w:p>
      <w:pPr>
        <w:ind w:left="1140" w:right="4499" w:hanging="375"/>
        <w:spacing w:after="0" w:line="296" w:lineRule="auto"/>
        <w:tabs>
          <w:tab w:leader="none" w:pos="1217" w:val="left"/>
        </w:tabs>
        <w:numPr>
          <w:ilvl w:val="1"/>
          <w:numId w:val="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gives the Employee notice of its intent not to extend the Employment Term, any time during the one (1) year period immediately following a Change in Control;</w:t>
      </w:r>
    </w:p>
    <w:p>
      <w:pPr>
        <w:spacing w:after="0" w:line="44" w:lineRule="exact"/>
        <w:rPr>
          <w:rFonts w:ascii="Courier New" w:cs="Courier New" w:eastAsia="Courier New" w:hAnsi="Courier New"/>
          <w:sz w:val="13"/>
          <w:szCs w:val="13"/>
          <w:color w:val="auto"/>
        </w:rPr>
      </w:pPr>
    </w:p>
    <w:p>
      <w:pPr>
        <w:ind w:left="1140" w:right="4099" w:hanging="375"/>
        <w:spacing w:after="0" w:line="277" w:lineRule="auto"/>
        <w:tabs>
          <w:tab w:leader="none" w:pos="1140" w:val="left"/>
        </w:tabs>
        <w:numPr>
          <w:ilvl w:val="1"/>
          <w:numId w:val="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following a Change in Control, the relocation of the Employee's primary place of employment to a location more than 50 miles from the Employee's primary place of employment immediately prior to the Change in Control; or</w:t>
      </w:r>
    </w:p>
    <w:p>
      <w:pPr>
        <w:spacing w:after="0" w:line="57" w:lineRule="exact"/>
        <w:rPr>
          <w:rFonts w:ascii="Courier New" w:cs="Courier New" w:eastAsia="Courier New" w:hAnsi="Courier New"/>
          <w:sz w:val="13"/>
          <w:szCs w:val="13"/>
          <w:color w:val="auto"/>
        </w:rPr>
      </w:pPr>
    </w:p>
    <w:p>
      <w:pPr>
        <w:ind w:left="1140" w:right="4559" w:hanging="375"/>
        <w:spacing w:after="0" w:line="353" w:lineRule="auto"/>
        <w:tabs>
          <w:tab w:leader="none" w:pos="1140" w:val="left"/>
        </w:tabs>
        <w:numPr>
          <w:ilvl w:val="1"/>
          <w:numId w:val="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failure of the Company to obtain the assumption of this Agreement as contemplated in Section 21.</w:t>
      </w:r>
    </w:p>
    <w:p>
      <w:pPr>
        <w:spacing w:after="0" w:line="9" w:lineRule="exact"/>
        <w:rPr>
          <w:sz w:val="20"/>
          <w:szCs w:val="20"/>
          <w:color w:val="auto"/>
        </w:rPr>
      </w:pPr>
    </w:p>
    <w:p>
      <w:pPr>
        <w:ind w:right="4179"/>
        <w:spacing w:after="0" w:line="250" w:lineRule="auto"/>
        <w:rPr>
          <w:sz w:val="20"/>
          <w:szCs w:val="20"/>
          <w:color w:val="auto"/>
        </w:rPr>
      </w:pPr>
      <w:r>
        <w:rPr>
          <w:rFonts w:ascii="Courier New" w:cs="Courier New" w:eastAsia="Courier New" w:hAnsi="Courier New"/>
          <w:sz w:val="13"/>
          <w:szCs w:val="13"/>
          <w:color w:val="auto"/>
        </w:rPr>
        <w:t>Notwithstanding the foregoing, the Board placing the Employee on a paid leave for up to 60 days pending the determination of whether there is a basis to terminate the Employee for Cause, shall not constitute Good Reason. The Employee's continued employment shall not constitute consent to, or a waiver of rights with respect to, any act or failure to act constituting Good Reason hereunder; provided, however, that no such event described above shall constitute Good Reason unless the Employee has given a Notice of Termination to the Company specifying the condition or event relied upon for such termination within ninety (90) days from the Employee's actual knowledge of the occurrence of such event and, if capable of cure, the Company has failed to cure the condition or event constituting Good Reason within the thirty (30) day period following receipt of the Employee's Notice of Termination.</w:t>
      </w:r>
    </w:p>
    <w:p>
      <w:pPr>
        <w:spacing w:after="0" w:line="76"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8. Obligations of the Company upon Termination.</w:t>
      </w:r>
    </w:p>
    <w:p>
      <w:pPr>
        <w:spacing w:after="0" w:line="148" w:lineRule="exact"/>
        <w:rPr>
          <w:sz w:val="20"/>
          <w:szCs w:val="20"/>
          <w:color w:val="auto"/>
        </w:rPr>
      </w:pPr>
    </w:p>
    <w:p>
      <w:pPr>
        <w:ind w:left="760" w:right="4419" w:hanging="378"/>
        <w:spacing w:after="0" w:line="277" w:lineRule="auto"/>
        <w:tabs>
          <w:tab w:leader="none" w:pos="760" w:val="left"/>
        </w:tabs>
        <w:numPr>
          <w:ilvl w:val="0"/>
          <w:numId w:val="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by the Company for other than Cause or Disability or Termination by the Employee for Good Reason. If the Employee's employment is terminated by the Company for any reason, other than Cause or Disability or by the Employee for Good Reason:</w:t>
      </w:r>
    </w:p>
    <w:p>
      <w:pPr>
        <w:spacing w:after="0" w:line="57" w:lineRule="exact"/>
        <w:rPr>
          <w:rFonts w:ascii="Courier New" w:cs="Courier New" w:eastAsia="Courier New" w:hAnsi="Courier New"/>
          <w:sz w:val="13"/>
          <w:szCs w:val="13"/>
          <w:color w:val="auto"/>
        </w:rPr>
      </w:pPr>
    </w:p>
    <w:p>
      <w:pPr>
        <w:ind w:left="1140" w:right="4179" w:hanging="375"/>
        <w:spacing w:after="0" w:line="259" w:lineRule="auto"/>
        <w:tabs>
          <w:tab w:leader="none" w:pos="1140" w:val="left"/>
        </w:tabs>
        <w:numPr>
          <w:ilvl w:val="1"/>
          <w:numId w:val="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shall pay to the Employee, (A) within five (5) business days after the Date of Termination, any earned but unpaid Annual Base Salary and any expense reimbursement payments owed to the Employee, and (B) no later than March 15 of the year in which the Date of Termination occurs, any earned but unpaid Annual Bonus payments relating to the prior calendar year (the "Accrued Obligations");</w:t>
      </w:r>
    </w:p>
    <w:p>
      <w:pPr>
        <w:spacing w:after="0" w:line="214"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39"/>
          </w:cols>
          <w:pgMar w:left="220" w:top="540" w:right="1440" w:bottom="1440" w:gutter="0" w:footer="0" w:header="0"/>
        </w:sectPr>
      </w:pPr>
    </w:p>
    <w:bookmarkStart w:id="136" w:name="page137"/>
    <w:bookmarkEnd w:id="136"/>
    <w:p>
      <w:pPr>
        <w:ind w:left="375" w:right="4099" w:hanging="375"/>
        <w:spacing w:after="0" w:line="268" w:lineRule="auto"/>
        <w:tabs>
          <w:tab w:leader="none" w:pos="375"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pay to the Employee, within thirty (30) business days after the Date of Termination, a prorated Annual Bonus based on (A) the target Annual Bonus opportunity in the year in which the Date of Termination occurs or the prior year if no target Annual Bonus opportunity has yet been determined and</w:t>
      </w:r>
    </w:p>
    <w:p>
      <w:pPr>
        <w:spacing w:after="0" w:line="2" w:lineRule="exact"/>
        <w:rPr>
          <w:rFonts w:ascii="Courier New" w:cs="Courier New" w:eastAsia="Courier New" w:hAnsi="Courier New"/>
          <w:sz w:val="12"/>
          <w:szCs w:val="12"/>
          <w:color w:val="auto"/>
        </w:rPr>
      </w:pPr>
    </w:p>
    <w:p>
      <w:pPr>
        <w:ind w:left="695" w:hanging="311"/>
        <w:spacing w:after="0"/>
        <w:tabs>
          <w:tab w:leader="none" w:pos="695" w:val="left"/>
        </w:tabs>
        <w:numPr>
          <w:ilvl w:val="1"/>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fraction of the year the Employee was employed;</w:t>
      </w:r>
    </w:p>
    <w:p>
      <w:pPr>
        <w:spacing w:after="0" w:line="123" w:lineRule="exact"/>
        <w:rPr>
          <w:rFonts w:ascii="Courier New" w:cs="Courier New" w:eastAsia="Courier New" w:hAnsi="Courier New"/>
          <w:sz w:val="13"/>
          <w:szCs w:val="13"/>
          <w:color w:val="auto"/>
        </w:rPr>
      </w:pPr>
    </w:p>
    <w:p>
      <w:pPr>
        <w:ind w:left="375" w:right="4099" w:hanging="375"/>
        <w:spacing w:after="0" w:line="252" w:lineRule="auto"/>
        <w:tabs>
          <w:tab w:leader="none" w:pos="451" w:val="left"/>
        </w:tabs>
        <w:numPr>
          <w:ilvl w:val="0"/>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shall pay to the Employee, within thirty (30) business days after the Date of Termination, a lump-sum payment equal to 200% of the sum of (x) the Employee's Annual Base Salary in effect immediately prior to the Date of Termination (disregarding any reduction in Annual Base Salary to which the Employee did not expressly consent in writing) and (y) the highest Annual Bonus paid to the Employee by the Company within the three (3) years preceding his termination of employment or, if higher, the target Annual Bonus opportunity in the year in which the Date of Termination occurs;</w:t>
      </w:r>
    </w:p>
    <w:p>
      <w:pPr>
        <w:spacing w:after="0" w:line="75" w:lineRule="exact"/>
        <w:rPr>
          <w:rFonts w:ascii="Courier New" w:cs="Courier New" w:eastAsia="Courier New" w:hAnsi="Courier New"/>
          <w:sz w:val="13"/>
          <w:szCs w:val="13"/>
          <w:color w:val="auto"/>
        </w:rPr>
      </w:pPr>
    </w:p>
    <w:p>
      <w:pPr>
        <w:ind w:left="375" w:right="4099" w:hanging="375"/>
        <w:spacing w:after="0" w:line="277" w:lineRule="auto"/>
        <w:tabs>
          <w:tab w:leader="none" w:pos="375" w:val="left"/>
        </w:tabs>
        <w:numPr>
          <w:ilvl w:val="0"/>
          <w:numId w:val="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stock option, restricted stock and other equity-based incentive awards granted by the Company that were outstanding but not vested as of the Date of Termination shall become immediately vested and/or payable, as the case may be; and</w:t>
      </w:r>
    </w:p>
    <w:p>
      <w:pPr>
        <w:spacing w:after="0" w:line="57" w:lineRule="exact"/>
        <w:rPr>
          <w:rFonts w:ascii="Courier New" w:cs="Courier New" w:eastAsia="Courier New" w:hAnsi="Courier New"/>
          <w:sz w:val="13"/>
          <w:szCs w:val="13"/>
          <w:color w:val="auto"/>
        </w:rPr>
      </w:pPr>
    </w:p>
    <w:p>
      <w:pPr>
        <w:ind w:left="375" w:right="4099" w:hanging="375"/>
        <w:spacing w:after="0" w:line="265" w:lineRule="auto"/>
        <w:tabs>
          <w:tab w:leader="none" w:pos="375"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a three (3) year period after the Date of Termination, the Company will provide or cause to be provided to the Employee (and any covered dependents), with life and health insurance benefits (but not disability insurance benefits) substantially similar to those the Employee and any covered dependents were receiving immediately prior to the Notice of Termination at the same level of benefits and at the same dollar cost to the Employee as is available to the Company's executive officers generally, provided that the Employee's continued receipt of such benefits is possible under the general terms and provisions of the applicable plans and programs, and provided further, that such benefits would not be taxable to the Employee or subject to Section 409A of the Internal Revenue Code of 1986, as amended (the "Code"). In the event that the Employee's participation in any such plan or program is prohibited, the Company shall, at its expense, arrange to provide the Employee with benefits substantially similar to those which the Employee would otherwise have been entitled to receive under such plans and programs from which his continued participation is prohibited. If the Company arranges to provide the Employee and covered dependents with life and health insurance benefits, those benefits will be reduced to the extent comparable benefits are received by, or made available to, the Employee (at no greater cost to the Employee) by another employer during the three (3) year period following the Employee's Date of Termination. The Employee must report to the Company any such benefits that he receives or that are made available. In lieu of the benefits described in this Section 8(a)(v), the Company, in its sole discretion, may elect to pay to the Employee a lump</w:t>
      </w:r>
    </w:p>
    <w:p>
      <w:pPr>
        <w:spacing w:after="0" w:line="371" w:lineRule="exact"/>
        <w:rPr>
          <w:sz w:val="20"/>
          <w:szCs w:val="20"/>
          <w:color w:val="auto"/>
        </w:rPr>
      </w:pPr>
    </w:p>
    <w:p>
      <w:pPr>
        <w:ind w:left="2215"/>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9474"/>
          </w:cols>
          <w:pgMar w:left="985" w:top="540" w:right="1440" w:bottom="1440" w:gutter="0" w:footer="0" w:header="0"/>
        </w:sectPr>
      </w:pPr>
    </w:p>
    <w:bookmarkStart w:id="137" w:name="page138"/>
    <w:bookmarkEnd w:id="137"/>
    <w:p>
      <w:pPr>
        <w:ind w:left="758" w:right="4099"/>
        <w:spacing w:after="0" w:line="268" w:lineRule="auto"/>
        <w:rPr>
          <w:sz w:val="20"/>
          <w:szCs w:val="20"/>
          <w:color w:val="auto"/>
        </w:rPr>
      </w:pPr>
      <w:r>
        <w:rPr>
          <w:rFonts w:ascii="Courier New" w:cs="Courier New" w:eastAsia="Courier New" w:hAnsi="Courier New"/>
          <w:sz w:val="13"/>
          <w:szCs w:val="13"/>
          <w:color w:val="auto"/>
        </w:rPr>
        <w:t>sum cash payment equal to the monthly premiums that would have been paid by the Company to provide such benefits to the Employee for each month such coverage is not provided under this Section 8(a)(v). Nothing in this Section 8(a)(v) will extend the COBRA continuation coverage period.</w:t>
      </w:r>
    </w:p>
    <w:p>
      <w:pPr>
        <w:spacing w:after="0" w:line="62" w:lineRule="exact"/>
        <w:rPr>
          <w:sz w:val="20"/>
          <w:szCs w:val="20"/>
          <w:color w:val="auto"/>
        </w:rPr>
      </w:pPr>
    </w:p>
    <w:p>
      <w:pPr>
        <w:ind w:left="378" w:right="4179" w:hanging="378"/>
        <w:spacing w:after="0" w:line="262" w:lineRule="auto"/>
        <w:tabs>
          <w:tab w:leader="none" w:pos="378" w:val="left"/>
        </w:tabs>
        <w:numPr>
          <w:ilvl w:val="0"/>
          <w:numId w:val="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by the Company for Cause or by the Employee without Good Reason. If the Employee's employment is terminated (i) by the Company for Cause or (ii) by the Employee without Good Reason, the Company's only obligation under this Agreement shall be payment of any earned but unpaid Annual Base Salary and any expense reimbursement payments owed to the Employee.</w:t>
      </w:r>
    </w:p>
    <w:p>
      <w:pPr>
        <w:spacing w:after="0" w:line="67" w:lineRule="exact"/>
        <w:rPr>
          <w:rFonts w:ascii="Courier New" w:cs="Courier New" w:eastAsia="Courier New" w:hAnsi="Courier New"/>
          <w:sz w:val="13"/>
          <w:szCs w:val="13"/>
          <w:color w:val="auto"/>
        </w:rPr>
      </w:pPr>
    </w:p>
    <w:p>
      <w:pPr>
        <w:ind w:left="378" w:right="4099" w:hanging="378"/>
        <w:spacing w:after="0" w:line="278" w:lineRule="auto"/>
        <w:tabs>
          <w:tab w:leader="none" w:pos="378" w:val="left"/>
        </w:tabs>
        <w:numPr>
          <w:ilvl w:val="0"/>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Termination due to Death or Disability. If the Employee's employment is terminated due to death or Disability, the Company shall pay to the Employee (or to the Employee's estate or personal representative in the case of the Employee's death), within thirty (30) business days after the Date of Termination, (i) any Accrued Obligations and (ii) a prorated Annual Bonus based on (A) the target Annual Bonus opportunity in the year in which the Date of Termination occurs or the prior year if no target Annual Bonus opportunity has yet been determined and (B) the fraction of the year the Employee was employed.</w:t>
      </w:r>
    </w:p>
    <w:p>
      <w:pPr>
        <w:spacing w:after="0" w:line="57" w:lineRule="exact"/>
        <w:rPr>
          <w:rFonts w:ascii="Courier New" w:cs="Courier New" w:eastAsia="Courier New" w:hAnsi="Courier New"/>
          <w:sz w:val="12"/>
          <w:szCs w:val="12"/>
          <w:color w:val="auto"/>
        </w:rPr>
      </w:pPr>
    </w:p>
    <w:p>
      <w:pPr>
        <w:jc w:val="both"/>
        <w:ind w:left="378" w:right="4259" w:hanging="378"/>
        <w:spacing w:after="0" w:line="331" w:lineRule="auto"/>
        <w:tabs>
          <w:tab w:leader="none" w:pos="378" w:val="left"/>
        </w:tabs>
        <w:numPr>
          <w:ilvl w:val="0"/>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Definition of Change in Control. For purposes of this Agreement, the term "Change in Control" shall mean that the conditions set forth in any one of the following subsections shall have been satisfied:</w:t>
      </w:r>
    </w:p>
    <w:p>
      <w:pPr>
        <w:spacing w:after="0" w:line="27" w:lineRule="exact"/>
        <w:rPr>
          <w:rFonts w:ascii="Courier New" w:cs="Courier New" w:eastAsia="Courier New" w:hAnsi="Courier New"/>
          <w:sz w:val="12"/>
          <w:szCs w:val="12"/>
          <w:color w:val="auto"/>
        </w:rPr>
      </w:pPr>
    </w:p>
    <w:p>
      <w:pPr>
        <w:ind w:left="758" w:right="4099" w:hanging="375"/>
        <w:spacing w:after="0" w:line="284" w:lineRule="auto"/>
        <w:tabs>
          <w:tab w:leader="none" w:pos="758" w:val="left"/>
        </w:tabs>
        <w:numPr>
          <w:ilvl w:val="1"/>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acquisition, directly or indirectly, by any "person" (within the meaning of Section 3(a)(9) of the Securities and Exchange Act of 1934, as amended (the "Exchange Act") and used in Sections 13(d) and 14(d) thereof) of "beneficial ownership" (within the meaning of Rule 13d-3 of the Exchange Act) of securities of the Company possessing more than 50% of the total combined voting power of all outstanding securities of the Company;</w:t>
      </w:r>
    </w:p>
    <w:p>
      <w:pPr>
        <w:spacing w:after="0" w:line="53" w:lineRule="exact"/>
        <w:rPr>
          <w:rFonts w:ascii="Courier New" w:cs="Courier New" w:eastAsia="Courier New" w:hAnsi="Courier New"/>
          <w:sz w:val="12"/>
          <w:szCs w:val="12"/>
          <w:color w:val="auto"/>
        </w:rPr>
      </w:pPr>
    </w:p>
    <w:p>
      <w:pPr>
        <w:ind w:left="758" w:right="4179" w:hanging="375"/>
        <w:spacing w:after="0" w:line="284" w:lineRule="auto"/>
        <w:tabs>
          <w:tab w:leader="none" w:pos="758" w:val="left"/>
        </w:tabs>
        <w:numPr>
          <w:ilvl w:val="1"/>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merger or consolidation in which the Company is not the surviving entity, except for a transaction in which the holders of the outstanding voting securities of the Company immediately prior to such merger or consolidation hold, in the aggregate, securities possessing more than 50% of the total combined voting power of all outstanding voting securities of the surviving entity immediately after such merger or consolidation;</w:t>
      </w:r>
    </w:p>
    <w:p>
      <w:pPr>
        <w:spacing w:after="0" w:line="53" w:lineRule="exact"/>
        <w:rPr>
          <w:rFonts w:ascii="Courier New" w:cs="Courier New" w:eastAsia="Courier New" w:hAnsi="Courier New"/>
          <w:sz w:val="12"/>
          <w:szCs w:val="12"/>
          <w:color w:val="auto"/>
        </w:rPr>
      </w:pPr>
    </w:p>
    <w:p>
      <w:pPr>
        <w:ind w:left="758" w:right="4099" w:hanging="375"/>
        <w:spacing w:after="0" w:line="262" w:lineRule="auto"/>
        <w:tabs>
          <w:tab w:leader="none" w:pos="835" w:val="left"/>
        </w:tabs>
        <w:numPr>
          <w:ilvl w:val="1"/>
          <w:numId w:val="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reverse merger in which the Company is the surviving entity but in which securities possessing more than 50% of the total combined voting power of all outstanding voting securities of the Company are transferred to or acquired by a person or persons different from the persons holding those securities immediately prior to such merger;</w:t>
      </w:r>
    </w:p>
    <w:p>
      <w:pPr>
        <w:spacing w:after="0" w:line="215"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9857"/>
          </w:cols>
          <w:pgMar w:left="602" w:top="540" w:right="1440" w:bottom="1440" w:gutter="0" w:footer="0" w:header="0"/>
        </w:sectPr>
      </w:pPr>
    </w:p>
    <w:bookmarkStart w:id="138" w:name="page139"/>
    <w:bookmarkEnd w:id="138"/>
    <w:p>
      <w:pPr>
        <w:ind w:left="758" w:right="4099" w:hanging="375"/>
        <w:spacing w:after="0" w:line="256" w:lineRule="auto"/>
        <w:tabs>
          <w:tab w:leader="none" w:pos="758" w:val="left"/>
        </w:tabs>
        <w:numPr>
          <w:ilvl w:val="0"/>
          <w:numId w:val="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during any period of two (2) consecutive years during the Employment Term or any extensions thereof, individuals, who, at the beginning of such period, constitute the Board, cease for any reason to constitute at least a majority thereof, unless the election of each director who was not a director at the beginning of such period has been approved in advance by directors representing at least two-thirds of the directors then in office who were directors at the beginning of the period;</w:t>
      </w:r>
    </w:p>
    <w:p>
      <w:pPr>
        <w:spacing w:after="0" w:line="70" w:lineRule="exact"/>
        <w:rPr>
          <w:rFonts w:ascii="Courier New" w:cs="Courier New" w:eastAsia="Courier New" w:hAnsi="Courier New"/>
          <w:sz w:val="13"/>
          <w:szCs w:val="13"/>
          <w:color w:val="auto"/>
        </w:rPr>
      </w:pPr>
    </w:p>
    <w:p>
      <w:pPr>
        <w:ind w:left="758" w:right="4099" w:hanging="375"/>
        <w:spacing w:after="0" w:line="248" w:lineRule="auto"/>
        <w:tabs>
          <w:tab w:leader="none" w:pos="758" w:val="left"/>
        </w:tabs>
        <w:numPr>
          <w:ilvl w:val="0"/>
          <w:numId w:val="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sale, transfer or other disposition (in one transaction or a series of related transactions) of assets of the Company that have a total fair market value equal to or more than one-third of the total fair market value of all of the assets of the Company immediately prior to such sale, transfer or other disposition, other than a sale, transfer or other disposition to an entity (x) which immediately following such sale, transfer or other disposition owns, directly or indirectly, at least 50% of the Company's outstanding voting securities or (y) 50% or more of whose outstanding voting securities is immediately following such sale, transfer or other disposition owned, directly or indirectly, by the Company. For purposes of the foregoing clause, the sale of stock of a subsidiary of the Company (or the assets of such subsidiary) shall be treated as a sale of assets of the Company; or</w:t>
      </w:r>
    </w:p>
    <w:p>
      <w:pPr>
        <w:spacing w:after="0" w:line="76" w:lineRule="exact"/>
        <w:rPr>
          <w:rFonts w:ascii="Courier New" w:cs="Courier New" w:eastAsia="Courier New" w:hAnsi="Courier New"/>
          <w:sz w:val="13"/>
          <w:szCs w:val="13"/>
          <w:color w:val="auto"/>
        </w:rPr>
      </w:pPr>
    </w:p>
    <w:p>
      <w:pPr>
        <w:ind w:left="758" w:right="4339" w:hanging="375"/>
        <w:spacing w:after="0" w:line="353" w:lineRule="auto"/>
        <w:tabs>
          <w:tab w:leader="none" w:pos="758" w:val="left"/>
        </w:tabs>
        <w:numPr>
          <w:ilvl w:val="0"/>
          <w:numId w:val="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approval by the stockholders of a plan or proposal for the liquidation or dissolution of the Company.</w:t>
      </w:r>
    </w:p>
    <w:p>
      <w:pPr>
        <w:spacing w:after="0" w:line="9" w:lineRule="exact"/>
        <w:rPr>
          <w:sz w:val="20"/>
          <w:szCs w:val="20"/>
          <w:color w:val="auto"/>
        </w:rPr>
      </w:pPr>
    </w:p>
    <w:p>
      <w:pPr>
        <w:ind w:left="378" w:hanging="378"/>
        <w:spacing w:after="0"/>
        <w:tabs>
          <w:tab w:leader="none" w:pos="378" w:val="left"/>
        </w:tabs>
        <w:numPr>
          <w:ilvl w:val="0"/>
          <w:numId w:val="66"/>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Excise Tax Gross-up Payments.</w:t>
      </w:r>
    </w:p>
    <w:p>
      <w:pPr>
        <w:spacing w:after="0" w:line="148" w:lineRule="exact"/>
        <w:rPr>
          <w:sz w:val="20"/>
          <w:szCs w:val="20"/>
          <w:color w:val="auto"/>
        </w:rPr>
      </w:pPr>
    </w:p>
    <w:p>
      <w:pPr>
        <w:ind w:left="378" w:right="4099" w:hanging="378"/>
        <w:spacing w:after="0" w:line="245" w:lineRule="auto"/>
        <w:tabs>
          <w:tab w:leader="none" w:pos="378" w:val="left"/>
        </w:tabs>
        <w:numPr>
          <w:ilvl w:val="0"/>
          <w:numId w:val="67"/>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any payments or benefits paid or provided or to be paid or provided to the Employee or for his benefit pursuant to the terms of this Agreement or otherwise in connection with, or arising out of, his employment with the Company or its subsidiaries or the termination thereof (a "Payment" and, collectively, the "Payments") would be subject to the excise tax (the "Excise Tax") imposed by Section 4999 of the Code, then, except as otherwise provided in this Section 9(a), the Employee will be entitled to receive an additional payment (a "Gross-Up Payment") in an amount such that, after payment by the Employee of all income taxes, all employment taxes and any Excise Tax imposed upon the Gross-Up Payment (including any related interest and penalties), the Employee retains an amount of the Gross-Up Payment equal to the Excise Tax (including any related interest and penalties) imposed upon the Payments. Notwithstanding the foregoing, if the amount of the Payments does not exceed by more than 3% the amount that would be payable to the Employee if the Payments were reduced to one dollar less than what would constitute a "parachute payment" under Section 280G of the Code (the "Scaled Back Amount"), then the Payments shall be reduced, in a manner determined by the Employee, to the Scaled Back Amount, and the Employee shall not be entitled to any Gross-Up Payment.</w:t>
      </w:r>
    </w:p>
    <w:p>
      <w:pPr>
        <w:spacing w:after="0" w:line="86" w:lineRule="exact"/>
        <w:rPr>
          <w:rFonts w:ascii="Courier New" w:cs="Courier New" w:eastAsia="Courier New" w:hAnsi="Courier New"/>
          <w:sz w:val="13"/>
          <w:szCs w:val="13"/>
          <w:color w:val="auto"/>
        </w:rPr>
      </w:pPr>
    </w:p>
    <w:p>
      <w:pPr>
        <w:ind w:left="378" w:right="4099" w:hanging="378"/>
        <w:spacing w:after="0" w:line="296" w:lineRule="auto"/>
        <w:tabs>
          <w:tab w:leader="none" w:pos="378" w:val="left"/>
        </w:tabs>
        <w:numPr>
          <w:ilvl w:val="0"/>
          <w:numId w:val="67"/>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 initial determination of (i) whether a Gross-Up Payment is required pursuant to this Agreement, and, if applicable, the amount of such Gross-Up Payment or</w:t>
      </w:r>
    </w:p>
    <w:p>
      <w:pPr>
        <w:spacing w:after="0" w:line="192"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9857"/>
          </w:cols>
          <w:pgMar w:left="602" w:top="540" w:right="1440" w:bottom="1440" w:gutter="0" w:footer="0" w:header="0"/>
        </w:sectPr>
      </w:pPr>
    </w:p>
    <w:bookmarkStart w:id="139" w:name="page140"/>
    <w:bookmarkEnd w:id="139"/>
    <w:p>
      <w:pPr>
        <w:ind w:left="378" w:right="4099" w:firstLine="5"/>
        <w:spacing w:after="0" w:line="264" w:lineRule="auto"/>
        <w:tabs>
          <w:tab w:leader="none" w:pos="761" w:val="left"/>
        </w:tabs>
        <w:numPr>
          <w:ilvl w:val="1"/>
          <w:numId w:val="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whether the Payments must be reduced to the Scaled Back Amount and, if so, the amount of such reduction, will be made at the Company's expense by an accounting firm selected by the Company. The accounting firm will provide its determination, together with detailed supporting calculations and documentation, to the Company and the Employee within ten (10) business days after the date of termination of Employee's employment, or such other time as may be reasonably requested by the Company or the Employee. If the accounting firm determines that no Excise Tax is payable by the Employee with respect to a Payment or Payments, it will furnish the Employee with an opinion to that effect. If a Gross-Up Payment becomes payable, such Gross-Up Payment will be paid by the Company to the Employee within thirty (30) business days of the receipt of the accounting firm's determination. If a reduction in Payments is required, such reduction shall be effectuated within thirty (30) business days of the receipt of the accounting firm's determination. Within ten (10) business days after the accounting firm delivers its determination to the Employee, the Employee will have the right to dispute the determination. The existence of a dispute will not in any way affect the Employee's right to receive a Gross-Up Payment in accordance with the determination. If there is no dispute, the determination will be binding, final, and conclusive upon the Company and the Employee. If there is a dispute, the Company and the Employee will together select a second accounting firm, which will review the determination and the Employee's basis for the dispute and then will render its own determination, which will be binding, final, and conclusive on the Company and on the Employee for purposes of determining whether a Gross-Up Payment is required pursuant to this Section 9(b) or whether a reduction to the Scaled Back Amount is required, as the case may be. If as a result of any dispute pursuant to this Section 9(b) a Gross-Up Payment is made or additional Gross-Up Payments are made, such Gross-Up Payment(s) will be paid by the Company to the Employee within thirty (30) business days of the receipt of the second accounting firm's determination. The Company will bear all costs associated with the second accounting firm's determination, unless such determination does not result in additional Gross-Up Payments to the Employee or unless such determination does not mitigate the reduction in Payments required to arrive at the Scaled Back Amount, in which case all such costs will be borne by the Employee.</w:t>
      </w:r>
    </w:p>
    <w:p>
      <w:pPr>
        <w:spacing w:after="0" w:line="200" w:lineRule="exact"/>
        <w:rPr>
          <w:rFonts w:ascii="Courier New" w:cs="Courier New" w:eastAsia="Courier New" w:hAnsi="Courier New"/>
          <w:sz w:val="12"/>
          <w:szCs w:val="12"/>
          <w:color w:val="auto"/>
        </w:rPr>
      </w:pPr>
    </w:p>
    <w:p>
      <w:pPr>
        <w:spacing w:after="0" w:line="314" w:lineRule="exact"/>
        <w:rPr>
          <w:rFonts w:ascii="Courier New" w:cs="Courier New" w:eastAsia="Courier New" w:hAnsi="Courier New"/>
          <w:sz w:val="12"/>
          <w:szCs w:val="12"/>
          <w:color w:val="auto"/>
        </w:rPr>
      </w:pPr>
    </w:p>
    <w:p>
      <w:pPr>
        <w:ind w:left="378" w:right="4099" w:hanging="378"/>
        <w:spacing w:after="0" w:line="276" w:lineRule="auto"/>
        <w:tabs>
          <w:tab w:leader="none" w:pos="378" w:val="left"/>
        </w:tabs>
        <w:numPr>
          <w:ilvl w:val="0"/>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purposes of determining the amount of the Gross-Up Payment and, if applicable, the Scaled Back Amount, the Employee will be deemed to pay federal income taxes at the highest marginal rate of federal income taxation in the calendar year in which the Gross-Up Payment is to be made or the Scaled Back Amount is determined, as the case may be, and applicable state and local income taxes at the highest marginal rate of taxation in the state and locality of the Employee's residence on the date of termination of Employee's employment, net of the maximum reduction in federal income taxes that would be obtained from deduction of those state and local taxes.</w:t>
      </w:r>
    </w:p>
    <w:p>
      <w:pPr>
        <w:spacing w:after="0" w:line="58" w:lineRule="exact"/>
        <w:rPr>
          <w:rFonts w:ascii="Courier New" w:cs="Courier New" w:eastAsia="Courier New" w:hAnsi="Courier New"/>
          <w:sz w:val="12"/>
          <w:szCs w:val="12"/>
          <w:color w:val="auto"/>
        </w:rPr>
      </w:pPr>
    </w:p>
    <w:p>
      <w:pPr>
        <w:ind w:left="378" w:right="4259" w:hanging="378"/>
        <w:spacing w:after="0" w:line="296" w:lineRule="auto"/>
        <w:tabs>
          <w:tab w:leader="none" w:pos="378" w:val="left"/>
        </w:tabs>
        <w:numPr>
          <w:ilvl w:val="0"/>
          <w:numId w:val="69"/>
        </w:numPr>
        <w:rPr>
          <w:rFonts w:ascii="Courier New" w:cs="Courier New" w:eastAsia="Courier New" w:hAnsi="Courier New"/>
          <w:sz w:val="13"/>
          <w:szCs w:val="13"/>
          <w:color w:val="auto"/>
        </w:rPr>
      </w:pPr>
      <w:r>
        <w:rPr>
          <w:rFonts w:ascii="Courier New" w:cs="Courier New" w:eastAsia="Courier New" w:hAnsi="Courier New"/>
          <w:sz w:val="13"/>
          <w:szCs w:val="13"/>
          <w:color w:val="auto"/>
        </w:rPr>
        <w:t>As a result of the uncertainty in the application of Section 4999 of the Code, it is possible that Gross-Up Payments which will not have been made by the Company</w:t>
      </w:r>
    </w:p>
    <w:p>
      <w:pPr>
        <w:spacing w:after="0" w:line="192"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9857"/>
          </w:cols>
          <w:pgMar w:left="602" w:top="540" w:right="1440" w:bottom="1440" w:gutter="0" w:footer="0" w:header="0"/>
        </w:sectPr>
      </w:pPr>
    </w:p>
    <w:bookmarkStart w:id="140" w:name="page141"/>
    <w:bookmarkEnd w:id="140"/>
    <w:p>
      <w:pPr>
        <w:ind w:left="378" w:right="4099"/>
        <w:spacing w:after="0" w:line="266" w:lineRule="auto"/>
        <w:rPr>
          <w:sz w:val="20"/>
          <w:szCs w:val="20"/>
          <w:color w:val="auto"/>
        </w:rPr>
      </w:pPr>
      <w:r>
        <w:rPr>
          <w:rFonts w:ascii="Courier New" w:cs="Courier New" w:eastAsia="Courier New" w:hAnsi="Courier New"/>
          <w:sz w:val="12"/>
          <w:szCs w:val="12"/>
          <w:color w:val="auto"/>
        </w:rPr>
        <w:t>should have been made, the Employee's Payments will be reduced to the Scaled Back Amount when they should not have been or the Employee's Payments are reduced to a greater extent than they should have been (an "Underpayment") or Gross-Up Payments are made by the Company which should not have been made, the Employee's Payments are not reduced to the Scaled Back Amount when they should have been or they are not reduced to the extent they should have been (an "Overpayment"). If it is determined that an Underpayment has occurred, the accounting firm shall determine the amount of the Underpayment that has occurred and any such Underpayment (together with interest at the rate provided in Section 1274(b)(2)(B) of the Code) shall be promptly paid by the Company to or for the benefit of Employee. If it is determined that an Overpayment has occurred, the accounting firm shall determine the amount of the Overpayment that has occurred and any such Overpayment (together with interest at the rate provided in Section 1274(b)(2) of the Code) shall be promptly paid by the Employee (to the extent he has received a refund if the applicable Excise Tax has been paid to the Internal Revenue Service) to or for the benefit of the Company; provided, however, that if the Company determines that such repayment obligation would be or result in an unlawful extension of credit under Section 13(k) of the Exchange Act, repayment shall not be required. The Employee shall cooperate, to the extent his expenses are reimbursed by the Company, with any reasonable requests by the Company in connection with any contest or disputes with the Internal Revenue Service in connection with the Excise Tax.</w:t>
      </w:r>
    </w:p>
    <w:p>
      <w:pPr>
        <w:spacing w:after="0" w:line="218" w:lineRule="exact"/>
        <w:rPr>
          <w:sz w:val="20"/>
          <w:szCs w:val="20"/>
          <w:color w:val="auto"/>
        </w:rPr>
      </w:pPr>
    </w:p>
    <w:p>
      <w:pPr>
        <w:ind w:left="378" w:right="4099" w:hanging="378"/>
        <w:spacing w:after="0" w:line="249" w:lineRule="auto"/>
        <w:tabs>
          <w:tab w:leader="none" w:pos="378" w:val="left"/>
        </w:tabs>
        <w:numPr>
          <w:ilvl w:val="0"/>
          <w:numId w:val="7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Employee shall notify the Company in writing of any claim by the Internal Revenue Service that, if successful, would require a payment resulting in an Underpayment. Such notification shall be given as soon as practicable but no later than ten (10) business days after the Employee is informed in writing of such claim and shall apprise the Company of the nature of such claim and the date on which such claim is requested to be paid. The Employee shall not pay such claim prior to the expiration of the thirty (30) day period following the date on which he gives such notice to the Company (or such shorter period ending on the date that any payment of taxes with respect to such claim is due). If the Company notifies the Employee in writing prior to the expiration of such period that it desires to contest such claim, the Employee shall:</w:t>
      </w:r>
    </w:p>
    <w:p>
      <w:pPr>
        <w:spacing w:after="0" w:line="77" w:lineRule="exact"/>
        <w:rPr>
          <w:rFonts w:ascii="Courier New" w:cs="Courier New" w:eastAsia="Courier New" w:hAnsi="Courier New"/>
          <w:sz w:val="13"/>
          <w:szCs w:val="13"/>
          <w:color w:val="auto"/>
        </w:rPr>
      </w:pPr>
    </w:p>
    <w:p>
      <w:pPr>
        <w:ind w:left="758" w:right="4499" w:hanging="375"/>
        <w:spacing w:after="0" w:line="353" w:lineRule="auto"/>
        <w:tabs>
          <w:tab w:leader="none" w:pos="758" w:val="left"/>
        </w:tabs>
        <w:numPr>
          <w:ilvl w:val="1"/>
          <w:numId w:val="70"/>
        </w:numPr>
        <w:rPr>
          <w:rFonts w:ascii="Courier New" w:cs="Courier New" w:eastAsia="Courier New" w:hAnsi="Courier New"/>
          <w:sz w:val="13"/>
          <w:szCs w:val="13"/>
          <w:color w:val="auto"/>
        </w:rPr>
      </w:pPr>
      <w:r>
        <w:rPr>
          <w:rFonts w:ascii="Courier New" w:cs="Courier New" w:eastAsia="Courier New" w:hAnsi="Courier New"/>
          <w:sz w:val="13"/>
          <w:szCs w:val="13"/>
          <w:color w:val="auto"/>
        </w:rPr>
        <w:t>give the Company any information reasonably requested by the Company relating to such claim,</w:t>
      </w:r>
    </w:p>
    <w:p>
      <w:pPr>
        <w:spacing w:after="0" w:line="9" w:lineRule="exact"/>
        <w:rPr>
          <w:rFonts w:ascii="Courier New" w:cs="Courier New" w:eastAsia="Courier New" w:hAnsi="Courier New"/>
          <w:sz w:val="13"/>
          <w:szCs w:val="13"/>
          <w:color w:val="auto"/>
        </w:rPr>
      </w:pPr>
    </w:p>
    <w:p>
      <w:pPr>
        <w:ind w:left="758" w:right="4179" w:hanging="375"/>
        <w:spacing w:after="0" w:line="268" w:lineRule="auto"/>
        <w:tabs>
          <w:tab w:leader="none" w:pos="758" w:val="left"/>
        </w:tabs>
        <w:numPr>
          <w:ilvl w:val="1"/>
          <w:numId w:val="7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62" w:lineRule="exact"/>
        <w:rPr>
          <w:rFonts w:ascii="Courier New" w:cs="Courier New" w:eastAsia="Courier New" w:hAnsi="Courier New"/>
          <w:sz w:val="13"/>
          <w:szCs w:val="13"/>
          <w:color w:val="auto"/>
        </w:rPr>
      </w:pPr>
    </w:p>
    <w:p>
      <w:pPr>
        <w:ind w:left="758" w:right="4099" w:hanging="375"/>
        <w:spacing w:after="0" w:line="353" w:lineRule="auto"/>
        <w:tabs>
          <w:tab w:leader="none" w:pos="835" w:val="left"/>
        </w:tabs>
        <w:numPr>
          <w:ilvl w:val="1"/>
          <w:numId w:val="70"/>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cooperate with the Company in good faith in order effectively to contest such claim, and</w:t>
      </w:r>
    </w:p>
    <w:p>
      <w:pPr>
        <w:spacing w:after="0" w:line="157"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9857"/>
          </w:cols>
          <w:pgMar w:left="602" w:top="540" w:right="1440" w:bottom="1440" w:gutter="0" w:footer="0" w:header="0"/>
        </w:sectPr>
      </w:pPr>
    </w:p>
    <w:bookmarkStart w:id="141" w:name="page142"/>
    <w:bookmarkEnd w:id="141"/>
    <w:p>
      <w:pPr>
        <w:ind w:left="758" w:right="4259" w:hanging="375"/>
        <w:spacing w:after="0" w:line="353" w:lineRule="auto"/>
        <w:tabs>
          <w:tab w:leader="none" w:pos="758" w:val="left"/>
        </w:tabs>
        <w:numPr>
          <w:ilvl w:val="0"/>
          <w:numId w:val="71"/>
        </w:numPr>
        <w:rPr>
          <w:rFonts w:ascii="Courier New" w:cs="Courier New" w:eastAsia="Courier New" w:hAnsi="Courier New"/>
          <w:sz w:val="13"/>
          <w:szCs w:val="13"/>
          <w:color w:val="auto"/>
        </w:rPr>
      </w:pPr>
      <w:r>
        <w:rPr>
          <w:rFonts w:ascii="Courier New" w:cs="Courier New" w:eastAsia="Courier New" w:hAnsi="Courier New"/>
          <w:sz w:val="13"/>
          <w:szCs w:val="13"/>
          <w:color w:val="auto"/>
        </w:rPr>
        <w:t>permit the Company to participate in any proceeding relating to such claim;</w:t>
      </w:r>
    </w:p>
    <w:p>
      <w:pPr>
        <w:spacing w:after="0" w:line="9" w:lineRule="exact"/>
        <w:rPr>
          <w:sz w:val="20"/>
          <w:szCs w:val="20"/>
          <w:color w:val="auto"/>
        </w:rPr>
      </w:pPr>
    </w:p>
    <w:p>
      <w:pPr>
        <w:ind w:left="378" w:right="4099"/>
        <w:spacing w:after="0" w:line="265" w:lineRule="auto"/>
        <w:rPr>
          <w:sz w:val="20"/>
          <w:szCs w:val="20"/>
          <w:color w:val="auto"/>
        </w:rPr>
      </w:pPr>
      <w:r>
        <w:rPr>
          <w:rFonts w:ascii="Courier New" w:cs="Courier New" w:eastAsia="Courier New" w:hAnsi="Courier New"/>
          <w:sz w:val="12"/>
          <w:szCs w:val="12"/>
          <w:color w:val="auto"/>
        </w:rPr>
        <w:t>provided, however, that the Company shall bear and pay directly all costs and expenses (including additional interest and penalties) incurred in connection with such contest and shall indemnify and hold the Employee harmless, on an after-tax basis, for any Excise Tax or income tax (including related interest and penalties) imposed as a result of such representation and payment of costs and expenses. Without limitation on the foregoing provisions of this Section 9(e),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Employee to pay the tax claimed and sue for a refund or contest the claim in any permissible manner, and the Employee agrees to prosecute such contest to a determination before any administrative tribunal, in a court of initial jurisdiction and in one or more appellate courts, as the Company shall determine; provided, however, that if the Company directs the Employee to pay such claim and sue for a refund, the Company shall advance the amount of such payment to the Employee, on an interest-free basis and shall indemnify and hold the Employee harmless, on an after-tax basis, from any Excise Tax or income tax (including related interest or penalties) imposed with respect to such advance or with respect to any imputed income with respect to such advance. The Company's control of the contest shall be limited to issues that may impact Gross-Up Payments or reduction in Payments under this Section 9, and the Employee shall be entitled to settle or contest, as the case may be, any other issue raised by the Internal Revenue Service or any other taxing authority.</w:t>
      </w:r>
    </w:p>
    <w:p>
      <w:pPr>
        <w:spacing w:after="0" w:line="226" w:lineRule="exact"/>
        <w:rPr>
          <w:sz w:val="20"/>
          <w:szCs w:val="20"/>
          <w:color w:val="auto"/>
        </w:rPr>
      </w:pPr>
    </w:p>
    <w:p>
      <w:pPr>
        <w:ind w:left="378" w:right="4179" w:hanging="378"/>
        <w:spacing w:after="0" w:line="272" w:lineRule="auto"/>
        <w:tabs>
          <w:tab w:leader="none" w:pos="378" w:val="left"/>
        </w:tabs>
        <w:numPr>
          <w:ilvl w:val="0"/>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after the receipt by the Employee of an amount advanced by the Company pursuant to Section 9(e), the Employee becomes entitled to receive any refund with respect to such claim, the Employee shall (subject to the Company's complying with the requirements of Section 9(e)) promptly pay to the Company the amount of such refund (together with any interest paid or credited thereon after taxes applicable thereto). If, after the receipt by the Employee of an amount advanced by the Company pursuant to Section 9(e), a determination is made that the Employee shall not be entitled to any refund with respect to such claim and the Company does not notify the Employee in writing of its intent to contest such denial of refund prior to the expiration of thirty (30) days after such determination, then such advance shall be forgiven and shall not be required to be repaid.</w:t>
      </w:r>
    </w:p>
    <w:p>
      <w:pPr>
        <w:spacing w:after="0" w:line="209" w:lineRule="exact"/>
        <w:rPr>
          <w:sz w:val="20"/>
          <w:szCs w:val="20"/>
          <w:color w:val="auto"/>
        </w:rPr>
      </w:pPr>
    </w:p>
    <w:p>
      <w:pPr>
        <w:ind w:left="-382" w:right="4339" w:firstLine="382"/>
        <w:spacing w:after="0" w:line="307" w:lineRule="auto"/>
        <w:tabs>
          <w:tab w:leader="none" w:pos="308" w:val="left"/>
        </w:tabs>
        <w:numPr>
          <w:ilvl w:val="0"/>
          <w:numId w:val="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Non-Delegation of Employee's Rights. The obligations, rights and benefits of the Employee hereunder are personal and may not be delegated, assigned or transferred in any manner whatsoever, nor are such obligations, rights or benefits subject to involuntary alienation, assignment or transfer.</w:t>
      </w:r>
    </w:p>
    <w:p>
      <w:pPr>
        <w:spacing w:after="0" w:line="41" w:lineRule="exact"/>
        <w:rPr>
          <w:rFonts w:ascii="Courier New" w:cs="Courier New" w:eastAsia="Courier New" w:hAnsi="Courier New"/>
          <w:sz w:val="12"/>
          <w:szCs w:val="12"/>
          <w:color w:val="auto"/>
        </w:rPr>
      </w:pPr>
    </w:p>
    <w:p>
      <w:pPr>
        <w:ind w:left="-382" w:right="4339" w:firstLine="382"/>
        <w:spacing w:after="0" w:line="296" w:lineRule="auto"/>
        <w:tabs>
          <w:tab w:leader="none" w:pos="308" w:val="left"/>
        </w:tabs>
        <w:numPr>
          <w:ilvl w:val="0"/>
          <w:numId w:val="73"/>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Confidential Information. The Employee acknowledges that in his capacity as an employee of the Company he will occupy a position of trust and confidence and he further</w:t>
      </w:r>
    </w:p>
    <w:p>
      <w:pPr>
        <w:spacing w:after="0" w:line="192"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9857"/>
          </w:cols>
          <w:pgMar w:left="602" w:top="540" w:right="1440" w:bottom="1440" w:gutter="0" w:footer="0" w:header="0"/>
        </w:sectPr>
      </w:pPr>
    </w:p>
    <w:bookmarkStart w:id="142" w:name="page143"/>
    <w:bookmarkEnd w:id="142"/>
    <w:p>
      <w:pPr>
        <w:ind w:left="1" w:right="4099"/>
        <w:spacing w:after="0" w:line="268" w:lineRule="auto"/>
        <w:rPr>
          <w:sz w:val="20"/>
          <w:szCs w:val="20"/>
          <w:color w:val="auto"/>
        </w:rPr>
      </w:pPr>
      <w:r>
        <w:rPr>
          <w:rFonts w:ascii="Courier New" w:cs="Courier New" w:eastAsia="Courier New" w:hAnsi="Courier New"/>
          <w:sz w:val="12"/>
          <w:szCs w:val="12"/>
          <w:color w:val="auto"/>
        </w:rPr>
        <w:t>acknowledges that he will have access to and learn substantial information about the Company and its affiliates and their operations that is confidential or not generally known in the industry including, without limitation, information that relates to purchasing, sales, customers, marketing, and the Company's and its affiliates' financial positions and financing arrangements. The Employee agrees that all such information is proprietary or confidential, or constitutes trade secrets and is the sole property of the Company and/or its affiliates, as the case may be. The Employee will keep confidential, and will not reproduce, copy or disclose to any other person or firm, any such information or any documents or information relating to the Company's or its affiliates' methods, processes, customers, accounts, analyses, systems, charts, programs, procedures, correspondence or records, or any other documents used or owned by the Company or any of its affiliates, nor will the Employee advise, discuss with or in any way assist any other person, firm or entity in obtaining or learning about any of the items described in this Section 11. Accordingly, the Employee agrees that during the Employment Term and at all times thereafter he will not disclose, or permit or encourage anyone else to disclose, any such information, nor will he utilize any such information, either alone or with others, outside the scope of his duties and responsibilities with the Company and its affiliates.</w:t>
      </w:r>
    </w:p>
    <w:p>
      <w:pPr>
        <w:spacing w:after="0" w:line="65" w:lineRule="exact"/>
        <w:rPr>
          <w:sz w:val="20"/>
          <w:szCs w:val="20"/>
          <w:color w:val="auto"/>
        </w:rPr>
      </w:pPr>
    </w:p>
    <w:p>
      <w:pPr>
        <w:ind w:left="1" w:right="4099" w:firstLine="382"/>
        <w:spacing w:after="0" w:line="247" w:lineRule="auto"/>
        <w:tabs>
          <w:tab w:leader="none" w:pos="691" w:val="left"/>
        </w:tabs>
        <w:numPr>
          <w:ilvl w:val="1"/>
          <w:numId w:val="74"/>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Non-Competition During Employment Term. The Employee agrees that, during the Employment Term, he will devote such business time, attention and energies reasonably necessary to the diligent and faithful performance of the services to the Company and its affiliates, and he will not engage in any way whatsoever, directly or indirectly, in any business that is a direct competitor with the Company's or its affiliates' principal business, nor solicit customers, suppliers or employees of the Company or affiliates on behalf of, or in any other manner work for or assist any business which is a direct competitor with the Company's or its affiliates' principal business. For purposes of clarification, Fidelity National Information Services, Inc. and its affiliates shall not be considered to be competitive with the Company and its affiliates, for purposes of Section 12 and Section 13 of this Agreement. In addition, during the Employment Term, the Employee will undertake no planning for or organization of any business activity competitive with the work he performs as an employee of the Company, and the Employee will not combine or conspire with any other employee of the Company or any other person for the purpose of organizing any such competitive business activity.</w:t>
      </w:r>
    </w:p>
    <w:p>
      <w:pPr>
        <w:spacing w:after="0" w:line="77" w:lineRule="exact"/>
        <w:rPr>
          <w:rFonts w:ascii="Courier New" w:cs="Courier New" w:eastAsia="Courier New" w:hAnsi="Courier New"/>
          <w:sz w:val="13"/>
          <w:szCs w:val="13"/>
          <w:color w:val="auto"/>
        </w:rPr>
      </w:pPr>
    </w:p>
    <w:p>
      <w:pPr>
        <w:ind w:left="1" w:right="4099" w:firstLine="382"/>
        <w:spacing w:after="0" w:line="265" w:lineRule="auto"/>
        <w:tabs>
          <w:tab w:leader="none" w:pos="691" w:val="left"/>
        </w:tabs>
        <w:numPr>
          <w:ilvl w:val="1"/>
          <w:numId w:val="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Non-Competition After Employment Term. The parties acknowledge that as an executive officer of the Company the Employee will acquire substantial knowledge and information concerning the business of the Company and its affiliates as a result of his employment. The parties further acknowledge that the scope of business in which the Company and its affiliates are engaged as of the Effective Date is national and very competitive and one in which few companies can successfully compete. Competition by an executive officer such as the Employee in that business after the Employment Term is terminated would severely injure the Company and its affiliates. Accordingly, for a period of one</w:t>
      </w:r>
    </w:p>
    <w:p>
      <w:pPr>
        <w:ind w:left="1" w:right="4179" w:hanging="1"/>
        <w:spacing w:after="0" w:line="272" w:lineRule="auto"/>
        <w:tabs>
          <w:tab w:leader="none" w:pos="308" w:val="left"/>
        </w:tabs>
        <w:numPr>
          <w:ilvl w:val="0"/>
          <w:numId w:val="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year after the Employee's employment terminates for any reason whatsoever, except as otherwise stated herein below, the Employee agrees (a) not to become an employee, consultant, advisor, principal, partner or substantial shareholder of any firm or business that directly competes with the Company or its affiliates in their principal products and markets, and (b), on behalf of any such competitive firm or business, not to solicit any person or business that was at the time of such termination and remains a customer or prospective customer, a supplier or prospective supplier, or an employee of the Company or an affiliate. Notwithstanding any of the foregoing provisions to the contrary,</w:t>
      </w:r>
    </w:p>
    <w:p>
      <w:pPr>
        <w:spacing w:after="0" w:line="211" w:lineRule="exact"/>
        <w:rPr>
          <w:sz w:val="20"/>
          <w:szCs w:val="20"/>
          <w:color w:val="auto"/>
        </w:rPr>
      </w:pPr>
    </w:p>
    <w:p>
      <w:pPr>
        <w:ind w:left="2981"/>
        <w:spacing w:after="0"/>
        <w:rPr>
          <w:sz w:val="20"/>
          <w:szCs w:val="20"/>
          <w:color w:val="auto"/>
        </w:rPr>
      </w:pPr>
      <w:r>
        <w:rPr>
          <w:rFonts w:ascii="Courier New" w:cs="Courier New" w:eastAsia="Courier New" w:hAnsi="Courier New"/>
          <w:sz w:val="13"/>
          <w:szCs w:val="13"/>
          <w:color w:val="auto"/>
        </w:rPr>
        <w:t>11</w:t>
      </w:r>
    </w:p>
    <w:p>
      <w:pPr>
        <w:sectPr>
          <w:pgSz w:w="11900" w:h="16838" w:orient="portrait"/>
          <w:cols w:equalWidth="0" w:num="1">
            <w:col w:w="10241"/>
          </w:cols>
          <w:pgMar w:left="219" w:top="540" w:right="1440" w:bottom="1440" w:gutter="0" w:footer="0" w:header="0"/>
        </w:sectPr>
      </w:pPr>
    </w:p>
    <w:bookmarkStart w:id="143" w:name="page144"/>
    <w:bookmarkEnd w:id="143"/>
    <w:p>
      <w:pPr>
        <w:ind w:right="4179"/>
        <w:spacing w:after="0" w:line="353" w:lineRule="auto"/>
        <w:rPr>
          <w:sz w:val="20"/>
          <w:szCs w:val="20"/>
          <w:color w:val="auto"/>
        </w:rPr>
      </w:pPr>
      <w:r>
        <w:rPr>
          <w:rFonts w:ascii="Courier New" w:cs="Courier New" w:eastAsia="Courier New" w:hAnsi="Courier New"/>
          <w:sz w:val="13"/>
          <w:szCs w:val="13"/>
          <w:color w:val="auto"/>
        </w:rPr>
        <w:t>the Employee shall not be subject to the restrictions set forth in this Section 13 under the following circumstances:</w:t>
      </w:r>
    </w:p>
    <w:p>
      <w:pPr>
        <w:spacing w:after="0" w:line="9" w:lineRule="exact"/>
        <w:rPr>
          <w:sz w:val="20"/>
          <w:szCs w:val="20"/>
          <w:color w:val="auto"/>
        </w:rPr>
      </w:pPr>
    </w:p>
    <w:p>
      <w:pPr>
        <w:ind w:left="760" w:right="4499" w:hanging="378"/>
        <w:spacing w:after="0" w:line="353" w:lineRule="auto"/>
        <w:tabs>
          <w:tab w:leader="none" w:pos="760" w:val="left"/>
        </w:tabs>
        <w:numPr>
          <w:ilvl w:val="0"/>
          <w:numId w:val="76"/>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Employee's employment is terminated by the Company without Cause;</w:t>
      </w:r>
    </w:p>
    <w:p>
      <w:pPr>
        <w:spacing w:after="0" w:line="9" w:lineRule="exact"/>
        <w:rPr>
          <w:rFonts w:ascii="Courier New" w:cs="Courier New" w:eastAsia="Courier New" w:hAnsi="Courier New"/>
          <w:sz w:val="13"/>
          <w:szCs w:val="13"/>
          <w:color w:val="auto"/>
        </w:rPr>
      </w:pPr>
    </w:p>
    <w:p>
      <w:pPr>
        <w:ind w:left="760" w:right="4799" w:hanging="378"/>
        <w:spacing w:after="0" w:line="353" w:lineRule="auto"/>
        <w:tabs>
          <w:tab w:leader="none" w:pos="760" w:val="left"/>
        </w:tabs>
        <w:numPr>
          <w:ilvl w:val="0"/>
          <w:numId w:val="76"/>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Employee's employment is terminated as a result of the Company's unwillingness to extend the Employment Term;</w:t>
      </w:r>
    </w:p>
    <w:p>
      <w:pPr>
        <w:spacing w:after="0" w:line="9" w:lineRule="exact"/>
        <w:rPr>
          <w:rFonts w:ascii="Courier New" w:cs="Courier New" w:eastAsia="Courier New" w:hAnsi="Courier New"/>
          <w:sz w:val="13"/>
          <w:szCs w:val="13"/>
          <w:color w:val="auto"/>
        </w:rPr>
      </w:pPr>
    </w:p>
    <w:p>
      <w:pPr>
        <w:ind w:left="760" w:hanging="378"/>
        <w:spacing w:after="0"/>
        <w:tabs>
          <w:tab w:leader="none" w:pos="760" w:val="left"/>
        </w:tabs>
        <w:numPr>
          <w:ilvl w:val="0"/>
          <w:numId w:val="76"/>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 terminates employment for Good Reason; or</w:t>
      </w:r>
    </w:p>
    <w:p>
      <w:pPr>
        <w:spacing w:after="0" w:line="147" w:lineRule="exact"/>
        <w:rPr>
          <w:rFonts w:ascii="Courier New" w:cs="Courier New" w:eastAsia="Courier New" w:hAnsi="Courier New"/>
          <w:sz w:val="13"/>
          <w:szCs w:val="13"/>
          <w:color w:val="auto"/>
        </w:rPr>
      </w:pPr>
    </w:p>
    <w:p>
      <w:pPr>
        <w:ind w:left="760" w:right="4339" w:hanging="378"/>
        <w:spacing w:after="0" w:line="296" w:lineRule="auto"/>
        <w:tabs>
          <w:tab w:leader="none" w:pos="760" w:val="left"/>
        </w:tabs>
        <w:numPr>
          <w:ilvl w:val="0"/>
          <w:numId w:val="76"/>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 terminates employment without Good Reason, any time during the one (1) year period immediately following a Change in Control.</w:t>
      </w:r>
    </w:p>
    <w:p>
      <w:pPr>
        <w:spacing w:after="0" w:line="45" w:lineRule="exact"/>
        <w:rPr>
          <w:sz w:val="20"/>
          <w:szCs w:val="20"/>
          <w:color w:val="auto"/>
        </w:rPr>
      </w:pPr>
    </w:p>
    <w:p>
      <w:pPr>
        <w:ind w:right="4099" w:firstLine="382"/>
        <w:spacing w:after="0" w:line="268" w:lineRule="auto"/>
        <w:tabs>
          <w:tab w:leader="none" w:pos="690" w:val="left"/>
        </w:tabs>
        <w:numPr>
          <w:ilvl w:val="0"/>
          <w:numId w:val="77"/>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Return of Company Documents. Upon termination of the Employment Term, Employee shall return immediately to the Company all records and documents of or pertaining to the Company or its affiliates and shall not make or retain any copy or extract of any such record or document, and other property of the Company or its affiliates.</w:t>
      </w:r>
    </w:p>
    <w:p>
      <w:pPr>
        <w:spacing w:after="0" w:line="62" w:lineRule="exact"/>
        <w:rPr>
          <w:rFonts w:ascii="Courier New" w:cs="Courier New" w:eastAsia="Courier New" w:hAnsi="Courier New"/>
          <w:sz w:val="13"/>
          <w:szCs w:val="13"/>
          <w:color w:val="auto"/>
        </w:rPr>
      </w:pPr>
    </w:p>
    <w:p>
      <w:pPr>
        <w:ind w:right="4099" w:firstLine="382"/>
        <w:spacing w:after="0" w:line="252" w:lineRule="auto"/>
        <w:tabs>
          <w:tab w:leader="none" w:pos="690" w:val="left"/>
        </w:tabs>
        <w:numPr>
          <w:ilvl w:val="0"/>
          <w:numId w:val="77"/>
        </w:numPr>
        <w:rPr>
          <w:rFonts w:ascii="Courier New" w:cs="Courier New" w:eastAsia="Courier New" w:hAnsi="Courier New"/>
          <w:sz w:val="13"/>
          <w:szCs w:val="13"/>
          <w:color w:val="auto"/>
        </w:rPr>
      </w:pPr>
      <w:r>
        <w:rPr>
          <w:rFonts w:ascii="Courier New" w:cs="Courier New" w:eastAsia="Courier New" w:hAnsi="Courier New"/>
          <w:sz w:val="13"/>
          <w:szCs w:val="13"/>
          <w:color w:val="auto"/>
        </w:rPr>
        <w:t>Improvements and Inventions. Any and all improvements or inventions, which the Employee may make or participate in during the Employment Term, unless wholly unrelated to the business of the Company and its affiliates and produced not in the scope of Employee's employment hereunder, shall be the sole and exclusive property of the Company. The Employee will, whenever requested by the Company, execute and deliver any and all documents which the Company shall deem appropriate in order to apply for and obtain patents for improvements or inventions or in order to assign and convey to the Company the sole and exclusive right, title and interest in and to such improvements, inventions, patents or applications.</w:t>
      </w:r>
    </w:p>
    <w:p>
      <w:pPr>
        <w:spacing w:after="0" w:line="75" w:lineRule="exact"/>
        <w:rPr>
          <w:rFonts w:ascii="Courier New" w:cs="Courier New" w:eastAsia="Courier New" w:hAnsi="Courier New"/>
          <w:sz w:val="13"/>
          <w:szCs w:val="13"/>
          <w:color w:val="auto"/>
        </w:rPr>
      </w:pPr>
    </w:p>
    <w:p>
      <w:pPr>
        <w:ind w:right="4099" w:firstLine="382"/>
        <w:spacing w:after="0" w:line="270" w:lineRule="auto"/>
        <w:tabs>
          <w:tab w:leader="none" w:pos="690" w:val="left"/>
        </w:tabs>
        <w:numPr>
          <w:ilvl w:val="0"/>
          <w:numId w:val="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Actions. The parties agree and acknowledge that the rights conveyed by this Agreement are of a unique and special nature and that the Company will not have an adequate remedy at law in the event of a failure by the Employee to abide by its terms and conditions nor will money damages adequately compensate for such injury. It is, therefore, agreed between and hereby acknowledged by the parties that, in the event of a breach by the Employee of any of his obligations contained in this Agreement, the Company shall have the right, among other rights, to damages sustained thereby and to obtain an injunction or decree of specific performance from any court of competent jurisdiction to restrain or compel the Employee to perform as agreed herein. The Employee hereby acknowledges that obligations under Sections 11, 13, 14, 15, 16, 17 and 18 shall survive the termination of his employment and he shall be bound by their terms at all times subsequent to the termination of his employment for the periods specified therein. Nothing herein contained shall in any way limit or exclude any other right granted by law or equity to the Company.</w:t>
      </w:r>
    </w:p>
    <w:p>
      <w:pPr>
        <w:spacing w:after="0" w:line="218" w:lineRule="exact"/>
        <w:rPr>
          <w:rFonts w:ascii="Courier New" w:cs="Courier New" w:eastAsia="Courier New" w:hAnsi="Courier New"/>
          <w:sz w:val="12"/>
          <w:szCs w:val="12"/>
          <w:color w:val="auto"/>
        </w:rPr>
      </w:pPr>
    </w:p>
    <w:p>
      <w:pPr>
        <w:ind w:right="4099" w:firstLine="382"/>
        <w:spacing w:after="0" w:line="259" w:lineRule="auto"/>
        <w:tabs>
          <w:tab w:leader="none" w:pos="690" w:val="left"/>
        </w:tabs>
        <w:numPr>
          <w:ilvl w:val="0"/>
          <w:numId w:val="77"/>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Release. Notwithstanding any provision herein to the contrary, the Company will require that, prior to payment of any amount or provision of any benefit under Section 8 or payment of any Gross-Up Payment pursuant to Section 9 of this Agreement (other than due to the Employee's death), the Employee shall have executed a complete release of the Company and its affiliates and related parties in such form as is reasonably required by the Company, and any waiting periods contained in such release shall have expired.</w:t>
      </w:r>
    </w:p>
    <w:p>
      <w:pPr>
        <w:spacing w:after="0" w:line="214"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10239"/>
          </w:cols>
          <w:pgMar w:left="220" w:top="540" w:right="1440" w:bottom="1440" w:gutter="0" w:footer="0" w:header="0"/>
        </w:sectPr>
      </w:pPr>
    </w:p>
    <w:bookmarkStart w:id="144" w:name="page145"/>
    <w:bookmarkEnd w:id="144"/>
    <w:p>
      <w:pPr>
        <w:ind w:left="-382" w:right="4099" w:firstLine="382"/>
        <w:spacing w:after="0" w:line="284" w:lineRule="auto"/>
        <w:tabs>
          <w:tab w:leader="none" w:pos="30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 Mitigation. The Company agrees that, if the Employee's employment hereunder is terminated during the Employment Term, the Employee is not required to seek other employment or to attempt in any way to reduce any amounts payable to the Employee by the Company hereunder. Further, the amount of any payment or benefit provided for hereunder (other than pursuant to Section 8(a)(v) hereof) shall not be reduced by any compensation earned by the Employee as the result of employment by another employer, by retirement benefits or otherwise.</w:t>
      </w:r>
    </w:p>
    <w:p>
      <w:pPr>
        <w:spacing w:after="0" w:line="53" w:lineRule="exact"/>
        <w:rPr>
          <w:rFonts w:ascii="Courier New" w:cs="Courier New" w:eastAsia="Courier New" w:hAnsi="Courier New"/>
          <w:sz w:val="12"/>
          <w:szCs w:val="12"/>
          <w:color w:val="auto"/>
        </w:rPr>
      </w:pPr>
    </w:p>
    <w:p>
      <w:pPr>
        <w:ind w:left="-382" w:right="4339" w:firstLine="382"/>
        <w:spacing w:after="0" w:line="262" w:lineRule="auto"/>
        <w:tabs>
          <w:tab w:leader="none" w:pos="308" w:val="left"/>
        </w:tabs>
        <w:numPr>
          <w:ilvl w:val="0"/>
          <w:numId w:val="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Entire Agreement and Amendment. This Agreement embodies the entire agreement and understanding of the parties hereto in respect of the subject matter of this Agreement, and supersedes and replaces all prior agreements, understandings and commitments with respect to such subject matter. This Agreement may be amended only by a written document signed by both parties to this Agreement.</w:t>
      </w:r>
    </w:p>
    <w:p>
      <w:pPr>
        <w:spacing w:after="0" w:line="67" w:lineRule="exact"/>
        <w:rPr>
          <w:rFonts w:ascii="Courier New" w:cs="Courier New" w:eastAsia="Courier New" w:hAnsi="Courier New"/>
          <w:sz w:val="13"/>
          <w:szCs w:val="13"/>
          <w:color w:val="auto"/>
        </w:rPr>
      </w:pPr>
    </w:p>
    <w:p>
      <w:pPr>
        <w:ind w:left="-382" w:right="4099" w:firstLine="382"/>
        <w:spacing w:after="0" w:line="262" w:lineRule="auto"/>
        <w:tabs>
          <w:tab w:leader="none" w:pos="308" w:val="left"/>
        </w:tabs>
        <w:numPr>
          <w:ilvl w:val="0"/>
          <w:numId w:val="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Governing Law. This Agreement shall be governed by, and construed in accordance with, the laws of the State of Florida, excluding any conflicts or choice of law rule or principle that might otherwise refer construction or interpretation of this Agreement to the substantive law of another jurisdiction. Any litigation pertaining to this Agreement shall be adjudicated in courts located in Duval County, Florida.</w:t>
      </w:r>
    </w:p>
    <w:p>
      <w:pPr>
        <w:spacing w:after="0" w:line="67" w:lineRule="exact"/>
        <w:rPr>
          <w:rFonts w:ascii="Courier New" w:cs="Courier New" w:eastAsia="Courier New" w:hAnsi="Courier New"/>
          <w:sz w:val="13"/>
          <w:szCs w:val="13"/>
          <w:color w:val="auto"/>
        </w:rPr>
      </w:pPr>
    </w:p>
    <w:p>
      <w:pPr>
        <w:ind w:left="-382" w:right="4099" w:firstLine="382"/>
        <w:spacing w:after="0" w:line="252" w:lineRule="auto"/>
        <w:tabs>
          <w:tab w:leader="none" w:pos="308" w:val="left"/>
        </w:tabs>
        <w:numPr>
          <w:ilvl w:val="0"/>
          <w:numId w:val="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Successors. In addition to any obligations imposed by law upon any successor to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"Company" shall mean the Company as herein before defined and any such successor that expressly assumes this Agreement or otherwise becomes bound by all the terms and provisions of this Agreement by operation of law.</w:t>
      </w:r>
    </w:p>
    <w:p>
      <w:pPr>
        <w:spacing w:after="0" w:line="75" w:lineRule="exact"/>
        <w:rPr>
          <w:rFonts w:ascii="Courier New" w:cs="Courier New" w:eastAsia="Courier New" w:hAnsi="Courier New"/>
          <w:sz w:val="13"/>
          <w:szCs w:val="13"/>
          <w:color w:val="auto"/>
        </w:rPr>
      </w:pPr>
    </w:p>
    <w:p>
      <w:pPr>
        <w:ind w:left="-382" w:right="4259" w:firstLine="382"/>
        <w:spacing w:after="0" w:line="296" w:lineRule="auto"/>
        <w:tabs>
          <w:tab w:leader="none" w:pos="308" w:val="left"/>
        </w:tabs>
        <w:numPr>
          <w:ilvl w:val="0"/>
          <w:numId w:val="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Counterparts. This Agreement may be executed in counterparts, each of which shall be deemed an original, but all of which together shall constitute one and the same instrument.</w:t>
      </w:r>
    </w:p>
    <w:p>
      <w:pPr>
        <w:spacing w:after="0" w:line="44" w:lineRule="exact"/>
        <w:rPr>
          <w:rFonts w:ascii="Courier New" w:cs="Courier New" w:eastAsia="Courier New" w:hAnsi="Courier New"/>
          <w:sz w:val="13"/>
          <w:szCs w:val="13"/>
          <w:color w:val="auto"/>
        </w:rPr>
      </w:pPr>
    </w:p>
    <w:p>
      <w:pPr>
        <w:ind w:left="-382" w:right="4099" w:firstLine="382"/>
        <w:spacing w:after="0" w:line="248" w:lineRule="auto"/>
        <w:tabs>
          <w:tab w:leader="none" w:pos="308" w:val="left"/>
        </w:tabs>
        <w:numPr>
          <w:ilvl w:val="0"/>
          <w:numId w:val="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Attorneys' Fees. If any party finds it necessary to employ legal counsel or to bring an action at law or other proceedings against the other party to interpret or enforce any of the terms hereof, the party prevailing in any such action or other proceeding shall be paid by the other party its reasonable legal fees, court costs, litigation expenses, all as determined by the court and not a jury; provided, however, that on or after a Change in Control, if any party finds it necessary to employ legal counsel or to bring an action at law or other proceedings against the other party to interpret or enforce any of the terms hereof, the Company shall pay (on an ongoing basis) to the Employee to the fullest extent permitted by law, all legal fees, court costs and litigation expenses reasonably incurred by the Employee or others on his behalf (such amounts collectively referred to as the "Reimbursed Amounts"); provided, further, that the Employee shall reimburse the Company for the Reimbursed Amounts if it is determined that a majority of the Employee's claims or defenses were frivolous or without merit.</w:t>
      </w:r>
    </w:p>
    <w:p>
      <w:pPr>
        <w:spacing w:after="0" w:line="224"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13</w:t>
      </w:r>
    </w:p>
    <w:p>
      <w:pPr>
        <w:sectPr>
          <w:pgSz w:w="11900" w:h="16838" w:orient="portrait"/>
          <w:cols w:equalWidth="0" w:num="1">
            <w:col w:w="9857"/>
          </w:cols>
          <w:pgMar w:left="602" w:top="540" w:right="1440" w:bottom="1440" w:gutter="0" w:footer="0" w:header="0"/>
        </w:sectPr>
      </w:pPr>
    </w:p>
    <w:bookmarkStart w:id="145" w:name="page146"/>
    <w:bookmarkEnd w:id="145"/>
    <w:p>
      <w:pPr>
        <w:ind w:left="1" w:right="4099" w:firstLine="382"/>
        <w:spacing w:after="0" w:line="271" w:lineRule="auto"/>
        <w:tabs>
          <w:tab w:leader="none" w:pos="691" w:val="left"/>
        </w:tabs>
        <w:numPr>
          <w:ilvl w:val="1"/>
          <w:numId w:val="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Severability.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the Employee in this Agreement shall each be construed as an agreement independent of any other provision in this Agreement, and the existence of any claim or cause of action of the Employee against the Company, whether predicated on this Agreement or otherwise, shall not constitute a defense to the enforcement by the Company of the covenants in this Agreement.</w:t>
      </w:r>
    </w:p>
    <w:p>
      <w:pPr>
        <w:spacing w:after="0" w:line="62" w:lineRule="exact"/>
        <w:rPr>
          <w:rFonts w:ascii="Courier New" w:cs="Courier New" w:eastAsia="Courier New" w:hAnsi="Courier New"/>
          <w:sz w:val="12"/>
          <w:szCs w:val="12"/>
          <w:color w:val="auto"/>
        </w:rPr>
      </w:pPr>
    </w:p>
    <w:p>
      <w:pPr>
        <w:ind w:left="1" w:right="4099" w:firstLine="382"/>
        <w:spacing w:after="0" w:line="281" w:lineRule="auto"/>
        <w:tabs>
          <w:tab w:leader="none" w:pos="691" w:val="left"/>
        </w:tabs>
        <w:numPr>
          <w:ilvl w:val="1"/>
          <w:numId w:val="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Notices. Any notice, request, or instruction to be given hereunder shall be in writing and shall be deemed given when personally delivered or three</w:t>
      </w:r>
    </w:p>
    <w:p>
      <w:pPr>
        <w:jc w:val="both"/>
        <w:ind w:left="1" w:right="4099" w:hanging="1"/>
        <w:spacing w:after="0" w:line="277" w:lineRule="auto"/>
        <w:tabs>
          <w:tab w:leader="none" w:pos="308" w:val="left"/>
        </w:tabs>
        <w:numPr>
          <w:ilvl w:val="0"/>
          <w:numId w:val="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days after being sent by United States Certified Mail, postage prepaid, with Return Receipt Requested, to the parties at their respective addresses set forth below:</w:t>
      </w:r>
    </w:p>
    <w:p>
      <w:pPr>
        <w:spacing w:after="0" w:line="56" w:lineRule="exact"/>
        <w:rPr>
          <w:sz w:val="20"/>
          <w:szCs w:val="20"/>
          <w:color w:val="auto"/>
        </w:rPr>
      </w:pPr>
    </w:p>
    <w:p>
      <w:pPr>
        <w:ind w:left="381"/>
        <w:spacing w:after="0"/>
        <w:rPr>
          <w:sz w:val="20"/>
          <w:szCs w:val="20"/>
          <w:color w:val="auto"/>
        </w:rPr>
      </w:pPr>
      <w:r>
        <w:rPr>
          <w:rFonts w:ascii="Courier New" w:cs="Courier New" w:eastAsia="Courier New" w:hAnsi="Courier New"/>
          <w:sz w:val="13"/>
          <w:szCs w:val="13"/>
          <w:color w:val="auto"/>
        </w:rPr>
        <w:t>To the Company:</w:t>
      </w:r>
    </w:p>
    <w:p>
      <w:pPr>
        <w:spacing w:after="0" w:line="148" w:lineRule="exact"/>
        <w:rPr>
          <w:sz w:val="20"/>
          <w:szCs w:val="20"/>
          <w:color w:val="auto"/>
        </w:rPr>
      </w:pPr>
    </w:p>
    <w:p>
      <w:pPr>
        <w:ind w:left="761"/>
        <w:spacing w:after="0"/>
        <w:rPr>
          <w:sz w:val="20"/>
          <w:szCs w:val="20"/>
          <w:color w:val="auto"/>
        </w:rPr>
      </w:pPr>
      <w:r>
        <w:rPr>
          <w:rFonts w:ascii="Courier New" w:cs="Courier New" w:eastAsia="Courier New" w:hAnsi="Courier New"/>
          <w:sz w:val="13"/>
          <w:szCs w:val="13"/>
          <w:color w:val="auto"/>
        </w:rPr>
        <w:t>Fidelity National Financial, Inc.</w:t>
      </w:r>
    </w:p>
    <w:p>
      <w:pPr>
        <w:spacing w:after="0" w:line="24" w:lineRule="exact"/>
        <w:rPr>
          <w:sz w:val="20"/>
          <w:szCs w:val="20"/>
          <w:color w:val="auto"/>
        </w:rPr>
      </w:pPr>
    </w:p>
    <w:p>
      <w:pPr>
        <w:ind w:left="761"/>
        <w:spacing w:after="0"/>
        <w:rPr>
          <w:sz w:val="20"/>
          <w:szCs w:val="20"/>
          <w:color w:val="auto"/>
        </w:rPr>
      </w:pPr>
      <w:r>
        <w:rPr>
          <w:rFonts w:ascii="Courier New" w:cs="Courier New" w:eastAsia="Courier New" w:hAnsi="Courier New"/>
          <w:sz w:val="13"/>
          <w:szCs w:val="13"/>
          <w:color w:val="auto"/>
        </w:rPr>
        <w:t>601 Riverside Avenue</w:t>
      </w:r>
    </w:p>
    <w:p>
      <w:pPr>
        <w:ind w:left="761"/>
        <w:spacing w:after="0"/>
        <w:rPr>
          <w:sz w:val="20"/>
          <w:szCs w:val="20"/>
          <w:color w:val="auto"/>
        </w:rPr>
      </w:pPr>
      <w:r>
        <w:rPr>
          <w:rFonts w:ascii="Courier New" w:cs="Courier New" w:eastAsia="Courier New" w:hAnsi="Courier New"/>
          <w:sz w:val="13"/>
          <w:szCs w:val="13"/>
          <w:color w:val="auto"/>
        </w:rPr>
        <w:t>Jacksonville, FL 32204</w:t>
      </w:r>
    </w:p>
    <w:p>
      <w:pPr>
        <w:ind w:left="761"/>
        <w:spacing w:after="0"/>
        <w:rPr>
          <w:sz w:val="20"/>
          <w:szCs w:val="20"/>
          <w:color w:val="auto"/>
        </w:rPr>
      </w:pPr>
      <w:r>
        <w:rPr>
          <w:rFonts w:ascii="Courier New" w:cs="Courier New" w:eastAsia="Courier New" w:hAnsi="Courier New"/>
          <w:sz w:val="13"/>
          <w:szCs w:val="13"/>
          <w:color w:val="auto"/>
        </w:rPr>
        <w:t>Attention: General Counsel</w:t>
      </w:r>
    </w:p>
    <w:p>
      <w:pPr>
        <w:spacing w:after="0" w:line="124" w:lineRule="exact"/>
        <w:rPr>
          <w:sz w:val="20"/>
          <w:szCs w:val="20"/>
          <w:color w:val="auto"/>
        </w:rPr>
      </w:pPr>
    </w:p>
    <w:p>
      <w:pPr>
        <w:ind w:left="381"/>
        <w:spacing w:after="0"/>
        <w:rPr>
          <w:sz w:val="20"/>
          <w:szCs w:val="20"/>
          <w:color w:val="auto"/>
        </w:rPr>
      </w:pPr>
      <w:r>
        <w:rPr>
          <w:rFonts w:ascii="Courier New" w:cs="Courier New" w:eastAsia="Courier New" w:hAnsi="Courier New"/>
          <w:sz w:val="13"/>
          <w:szCs w:val="13"/>
          <w:color w:val="auto"/>
        </w:rPr>
        <w:t>To the Employee:</w:t>
      </w:r>
    </w:p>
    <w:p>
      <w:pPr>
        <w:spacing w:after="0" w:line="148" w:lineRule="exact"/>
        <w:rPr>
          <w:sz w:val="20"/>
          <w:szCs w:val="20"/>
          <w:color w:val="auto"/>
        </w:rPr>
      </w:pPr>
    </w:p>
    <w:p>
      <w:pPr>
        <w:ind w:left="761"/>
        <w:spacing w:after="0"/>
        <w:rPr>
          <w:sz w:val="20"/>
          <w:szCs w:val="20"/>
          <w:color w:val="auto"/>
        </w:rPr>
      </w:pPr>
      <w:r>
        <w:rPr>
          <w:rFonts w:ascii="Courier New" w:cs="Courier New" w:eastAsia="Courier New" w:hAnsi="Courier New"/>
          <w:sz w:val="13"/>
          <w:szCs w:val="13"/>
          <w:color w:val="auto"/>
        </w:rPr>
        <w:t>Anthony J. Park</w:t>
      </w:r>
    </w:p>
    <w:p>
      <w:pPr>
        <w:spacing w:after="0" w:line="24" w:lineRule="exact"/>
        <w:rPr>
          <w:sz w:val="20"/>
          <w:szCs w:val="20"/>
          <w:color w:val="auto"/>
        </w:rPr>
      </w:pPr>
    </w:p>
    <w:p>
      <w:pPr>
        <w:ind w:left="761"/>
        <w:spacing w:after="0"/>
        <w:rPr>
          <w:sz w:val="20"/>
          <w:szCs w:val="20"/>
          <w:color w:val="auto"/>
        </w:rPr>
      </w:pPr>
      <w:r>
        <w:rPr>
          <w:rFonts w:ascii="Courier New" w:cs="Courier New" w:eastAsia="Courier New" w:hAnsi="Courier New"/>
          <w:sz w:val="13"/>
          <w:szCs w:val="13"/>
          <w:color w:val="auto"/>
        </w:rPr>
        <w:t>c/o Fidelity National Financial, Inc.</w:t>
      </w:r>
    </w:p>
    <w:p>
      <w:pPr>
        <w:ind w:left="761"/>
        <w:spacing w:after="0"/>
        <w:rPr>
          <w:sz w:val="20"/>
          <w:szCs w:val="20"/>
          <w:color w:val="auto"/>
        </w:rPr>
      </w:pPr>
      <w:r>
        <w:rPr>
          <w:rFonts w:ascii="Courier New" w:cs="Courier New" w:eastAsia="Courier New" w:hAnsi="Courier New"/>
          <w:sz w:val="13"/>
          <w:szCs w:val="13"/>
          <w:color w:val="auto"/>
        </w:rPr>
        <w:t>601 Riverside Avenue</w:t>
      </w:r>
    </w:p>
    <w:p>
      <w:pPr>
        <w:ind w:left="761"/>
        <w:spacing w:after="0"/>
        <w:rPr>
          <w:sz w:val="20"/>
          <w:szCs w:val="20"/>
          <w:color w:val="auto"/>
        </w:rPr>
      </w:pPr>
      <w:r>
        <w:rPr>
          <w:rFonts w:ascii="Courier New" w:cs="Courier New" w:eastAsia="Courier New" w:hAnsi="Courier New"/>
          <w:sz w:val="13"/>
          <w:szCs w:val="13"/>
          <w:color w:val="auto"/>
        </w:rPr>
        <w:t>Jacksonville, FL 32204</w:t>
      </w:r>
    </w:p>
    <w:p>
      <w:pPr>
        <w:spacing w:after="0" w:line="124" w:lineRule="exact"/>
        <w:rPr>
          <w:sz w:val="20"/>
          <w:szCs w:val="20"/>
          <w:color w:val="auto"/>
        </w:rPr>
      </w:pPr>
    </w:p>
    <w:p>
      <w:pPr>
        <w:ind w:left="1" w:right="4419" w:firstLine="382"/>
        <w:spacing w:after="0" w:line="296" w:lineRule="auto"/>
        <w:tabs>
          <w:tab w:leader="none" w:pos="691" w:val="left"/>
        </w:tabs>
        <w:numPr>
          <w:ilvl w:val="0"/>
          <w:numId w:val="81"/>
        </w:numPr>
        <w:rPr>
          <w:rFonts w:ascii="Courier New" w:cs="Courier New" w:eastAsia="Courier New" w:hAnsi="Courier New"/>
          <w:sz w:val="13"/>
          <w:szCs w:val="13"/>
          <w:color w:val="auto"/>
        </w:rPr>
      </w:pPr>
      <w:r>
        <w:rPr>
          <w:rFonts w:ascii="Courier New" w:cs="Courier New" w:eastAsia="Courier New" w:hAnsi="Courier New"/>
          <w:sz w:val="13"/>
          <w:szCs w:val="13"/>
          <w:color w:val="auto"/>
        </w:rPr>
        <w:t>Waiver of Breach. The waiver by any party of any provisions of this Agreement shall not operate or be construed as a waiver of any prior or subsequent breach by the other party.</w:t>
      </w:r>
    </w:p>
    <w:p>
      <w:pPr>
        <w:spacing w:after="0" w:line="44" w:lineRule="exact"/>
        <w:rPr>
          <w:rFonts w:ascii="Courier New" w:cs="Courier New" w:eastAsia="Courier New" w:hAnsi="Courier New"/>
          <w:sz w:val="13"/>
          <w:szCs w:val="13"/>
          <w:color w:val="auto"/>
        </w:rPr>
      </w:pPr>
    </w:p>
    <w:p>
      <w:pPr>
        <w:ind w:left="1" w:right="4099" w:firstLine="382"/>
        <w:spacing w:after="0" w:line="331" w:lineRule="auto"/>
        <w:tabs>
          <w:tab w:leader="none" w:pos="691" w:val="left"/>
        </w:tabs>
        <w:numPr>
          <w:ilvl w:val="0"/>
          <w:numId w:val="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Tax Withholding. The Company or an affiliate may deduct from all compensation and benefits payable under this Agreement any taxes or withholdings the Company is required to deduct pursuant to state, federal or local laws.</w:t>
      </w:r>
    </w:p>
    <w:p>
      <w:pPr>
        <w:spacing w:after="0" w:line="27" w:lineRule="exact"/>
        <w:rPr>
          <w:rFonts w:ascii="Courier New" w:cs="Courier New" w:eastAsia="Courier New" w:hAnsi="Courier New"/>
          <w:sz w:val="12"/>
          <w:szCs w:val="12"/>
          <w:color w:val="auto"/>
        </w:rPr>
      </w:pPr>
    </w:p>
    <w:p>
      <w:pPr>
        <w:ind w:left="1" w:right="4099" w:firstLine="382"/>
        <w:spacing w:after="0" w:line="280" w:lineRule="auto"/>
        <w:tabs>
          <w:tab w:leader="none" w:pos="691" w:val="left"/>
        </w:tabs>
        <w:numPr>
          <w:ilvl w:val="0"/>
          <w:numId w:val="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Code Section 409A. To the extent applicable, it is intended that this Agreement and any payment made hereunder shall comply with the requirements of Section 409A of the Code, and any related regulations or other guidance promulgated with respect to such Section by the U.S. Department of the Treasury or the Internal Revenue Service ("Code Section 409A"). Any provision that would cause the Agreement or any payment hereof to fail to satisfy Code Section 409A shall have no force or effect until amended to comply with Code Section 409A, which amendment may be retroactive to the extent permitted by Code Section 409A.</w:t>
      </w:r>
    </w:p>
    <w:p>
      <w:pPr>
        <w:spacing w:after="0" w:line="206" w:lineRule="exact"/>
        <w:rPr>
          <w:sz w:val="20"/>
          <w:szCs w:val="20"/>
          <w:color w:val="auto"/>
        </w:rPr>
      </w:pPr>
    </w:p>
    <w:p>
      <w:pPr>
        <w:ind w:left="2981"/>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10241"/>
          </w:cols>
          <w:pgMar w:left="219" w:top="540" w:right="1440" w:bottom="1440" w:gutter="0" w:footer="0" w:header="0"/>
        </w:sectPr>
      </w:pPr>
    </w:p>
    <w:bookmarkStart w:id="146" w:name="page147"/>
    <w:bookmarkEnd w:id="146"/>
    <w:p>
      <w:pPr>
        <w:ind w:right="4099" w:firstLine="383"/>
        <w:spacing w:after="0" w:line="353" w:lineRule="auto"/>
        <w:rPr>
          <w:sz w:val="20"/>
          <w:szCs w:val="20"/>
          <w:color w:val="auto"/>
        </w:rPr>
      </w:pPr>
      <w:r>
        <w:rPr>
          <w:rFonts w:ascii="Courier New" w:cs="Courier New" w:eastAsia="Courier New" w:hAnsi="Courier New"/>
          <w:sz w:val="13"/>
          <w:szCs w:val="13"/>
          <w:color w:val="auto"/>
        </w:rPr>
        <w:t>IN WITNESS WHEREOF the parties have executed this Agreement to be effective as of the date first set forth above.</w:t>
      </w:r>
    </w:p>
    <w:p>
      <w:pPr>
        <w:spacing w:after="0" w:line="9"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FIDELITY NATIONAL FINANCIAL, INC.</w:t>
      </w:r>
    </w:p>
    <w:p>
      <w:pPr>
        <w:spacing w:after="0" w:line="295"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By: /s/ Raymond R. Quirk</w:t>
      </w:r>
    </w:p>
    <w:p>
      <w:pPr>
        <w:spacing w:after="0" w:line="24" w:lineRule="exact"/>
        <w:rPr>
          <w:sz w:val="20"/>
          <w:szCs w:val="20"/>
          <w:color w:val="auto"/>
        </w:rPr>
      </w:pPr>
    </w:p>
    <w:p>
      <w:pPr>
        <w:ind w:left="3380"/>
        <w:spacing w:after="0"/>
        <w:rPr>
          <w:sz w:val="20"/>
          <w:szCs w:val="20"/>
          <w:color w:val="auto"/>
        </w:rPr>
      </w:pPr>
      <w:r>
        <w:rPr>
          <w:rFonts w:ascii="Courier New" w:cs="Courier New" w:eastAsia="Courier New" w:hAnsi="Courier New"/>
          <w:sz w:val="12"/>
          <w:szCs w:val="12"/>
          <w:color w:val="auto"/>
        </w:rPr>
        <w:t>------------------------------------</w:t>
      </w:r>
    </w:p>
    <w:p>
      <w:pPr>
        <w:spacing w:after="0" w:line="12"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Its: Executive Vice President and</w:t>
      </w:r>
    </w:p>
    <w:p>
      <w:pPr>
        <w:ind w:left="3440"/>
        <w:spacing w:after="0"/>
        <w:rPr>
          <w:sz w:val="20"/>
          <w:szCs w:val="20"/>
          <w:color w:val="auto"/>
        </w:rPr>
      </w:pPr>
      <w:r>
        <w:rPr>
          <w:rFonts w:ascii="Courier New" w:cs="Courier New" w:eastAsia="Courier New" w:hAnsi="Courier New"/>
          <w:sz w:val="13"/>
          <w:szCs w:val="13"/>
          <w:color w:val="auto"/>
        </w:rPr>
        <w:t>Co-Chief Operating Officer</w:t>
      </w:r>
    </w:p>
    <w:p>
      <w:pPr>
        <w:spacing w:after="0" w:line="271"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ANTHONY J. PARK</w:t>
      </w:r>
    </w:p>
    <w:p>
      <w:pPr>
        <w:spacing w:after="0" w:line="295"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/s/ Anthony J. Park</w:t>
      </w: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2"/>
          <w:szCs w:val="12"/>
          <w:color w:val="auto"/>
        </w:rPr>
        <w:t>----------------------------------------</w:t>
      </w:r>
    </w:p>
    <w:p>
      <w:pPr>
        <w:spacing w:after="0" w:line="282"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15</w:t>
      </w:r>
    </w:p>
    <w:p>
      <w:pPr>
        <w:sectPr>
          <w:pgSz w:w="11900" w:h="16838" w:orient="portrait"/>
          <w:cols w:equalWidth="0" w:num="1">
            <w:col w:w="10239"/>
          </w:cols>
          <w:pgMar w:left="220" w:top="540" w:right="1440" w:bottom="1440" w:gutter="0" w:footer="0" w:header="0"/>
        </w:sectPr>
      </w:pPr>
    </w:p>
    <w:bookmarkStart w:id="147" w:name="page148"/>
    <w:bookmarkEnd w:id="147"/>
    <w:p>
      <w:pPr>
        <w:jc w:val="right"/>
        <w:ind w:right="4099"/>
        <w:spacing w:after="0"/>
        <w:rPr>
          <w:sz w:val="20"/>
          <w:szCs w:val="20"/>
          <w:color w:val="auto"/>
        </w:rPr>
      </w:pPr>
      <w:r>
        <w:rPr>
          <w:rFonts w:ascii="Courier New" w:cs="Courier New" w:eastAsia="Courier New" w:hAnsi="Courier New"/>
          <w:sz w:val="13"/>
          <w:szCs w:val="13"/>
          <w:color w:val="auto"/>
        </w:rPr>
        <w:t>EXHIBIT 10.10</w:t>
      </w:r>
    </w:p>
    <w:p>
      <w:pPr>
        <w:spacing w:after="0" w:line="295" w:lineRule="exact"/>
        <w:rPr>
          <w:sz w:val="20"/>
          <w:szCs w:val="20"/>
          <w:color w:val="auto"/>
        </w:rPr>
      </w:pPr>
    </w:p>
    <w:p>
      <w:pPr>
        <w:ind w:left="2300"/>
        <w:spacing w:after="0"/>
        <w:rPr>
          <w:sz w:val="20"/>
          <w:szCs w:val="20"/>
          <w:color w:val="auto"/>
        </w:rPr>
      </w:pPr>
      <w:r>
        <w:rPr>
          <w:rFonts w:ascii="Courier New" w:cs="Courier New" w:eastAsia="Courier New" w:hAnsi="Courier New"/>
          <w:sz w:val="13"/>
          <w:szCs w:val="13"/>
          <w:color w:val="auto"/>
        </w:rPr>
        <w:t>EMPLOYMENT AGREEMENT</w:t>
      </w:r>
    </w:p>
    <w:p>
      <w:pPr>
        <w:spacing w:after="0" w:line="148" w:lineRule="exact"/>
        <w:rPr>
          <w:sz w:val="20"/>
          <w:szCs w:val="20"/>
          <w:color w:val="auto"/>
        </w:rPr>
      </w:pPr>
    </w:p>
    <w:p>
      <w:pPr>
        <w:ind w:right="4099" w:firstLine="383"/>
        <w:spacing w:after="0" w:line="268" w:lineRule="auto"/>
        <w:rPr>
          <w:sz w:val="20"/>
          <w:szCs w:val="20"/>
          <w:color w:val="auto"/>
        </w:rPr>
      </w:pPr>
      <w:r>
        <w:rPr>
          <w:rFonts w:ascii="Courier New" w:cs="Courier New" w:eastAsia="Courier New" w:hAnsi="Courier New"/>
          <w:sz w:val="13"/>
          <w:szCs w:val="13"/>
          <w:color w:val="auto"/>
        </w:rPr>
        <w:t>THIS EMPLOYMENT AGREEMENT (the "Agreement") is effective as of October 24, 2006 (the "Effective Date"), by and between FIDELITY NATIONAL TITLE GROUP, INC., a Delaware corporation (the "Company"), and BRENT B. BICKETT (the "Employee"). In consideration of the mutual covenants and agreements set forth herein, the parties agree as follows:</w:t>
      </w:r>
    </w:p>
    <w:p>
      <w:pPr>
        <w:spacing w:after="0" w:line="62" w:lineRule="exact"/>
        <w:rPr>
          <w:sz w:val="20"/>
          <w:szCs w:val="20"/>
          <w:color w:val="auto"/>
        </w:rPr>
      </w:pPr>
    </w:p>
    <w:p>
      <w:pPr>
        <w:ind w:right="4099" w:firstLine="382"/>
        <w:spacing w:after="0" w:line="259" w:lineRule="auto"/>
        <w:tabs>
          <w:tab w:leader="none" w:pos="613" w:val="left"/>
        </w:tabs>
        <w:numPr>
          <w:ilvl w:val="0"/>
          <w:numId w:val="8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Employment and Duties. Subject to the terms and conditions of this Agreement, the Company employs the Employee to serve in an executive capacity as President Employee accepts such employment and agrees to undertake and discharge the duties, functions and responsibilities commensurate with the aforesaid position and such other duties and responsibilities as may be prescribed from time to time by the Chief Executive Officer or the Board of Directors of the Company (the "Board").</w:t>
      </w:r>
    </w:p>
    <w:p>
      <w:pPr>
        <w:spacing w:after="0" w:line="67" w:lineRule="exact"/>
        <w:rPr>
          <w:rFonts w:ascii="Courier New" w:cs="Courier New" w:eastAsia="Courier New" w:hAnsi="Courier New"/>
          <w:sz w:val="13"/>
          <w:szCs w:val="13"/>
          <w:color w:val="auto"/>
        </w:rPr>
      </w:pPr>
    </w:p>
    <w:p>
      <w:pPr>
        <w:ind w:right="4099" w:firstLine="382"/>
        <w:spacing w:after="0" w:line="249" w:lineRule="auto"/>
        <w:tabs>
          <w:tab w:leader="none" w:pos="613" w:val="left"/>
        </w:tabs>
        <w:numPr>
          <w:ilvl w:val="0"/>
          <w:numId w:val="8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 The term of this Agreement shall commence on the Effective Date and shall continue for a period of three (3) years ending on the third anniversary of the Effective Date or, if later, ending on the last day of any extension made pursuant to the next sentence, subject to prior termination as set forth in Section 7 (such term, including any extensions pursuant to the next sentence, the "Employment Term"). The Employment Term shall be extended automatically for one (1) additional year on the first anniversary of the Effective Date and for an additional year each anniversary thereafter unless and until either party gives written notice to the other not to extend the Employment Term before such extension would be effectuated. Notwithstanding any termination of the Employment Term or the Employee's employment, the Employee and the Company agree that Sections 7 through 9 shall remain in effect until all parties' obligations and benefits are satisfied thereunder.</w:t>
      </w:r>
    </w:p>
    <w:p>
      <w:pPr>
        <w:spacing w:after="0" w:line="77" w:lineRule="exact"/>
        <w:rPr>
          <w:rFonts w:ascii="Courier New" w:cs="Courier New" w:eastAsia="Courier New" w:hAnsi="Courier New"/>
          <w:sz w:val="13"/>
          <w:szCs w:val="13"/>
          <w:color w:val="auto"/>
        </w:rPr>
      </w:pPr>
    </w:p>
    <w:p>
      <w:pPr>
        <w:ind w:right="4099" w:firstLine="382"/>
        <w:spacing w:after="0" w:line="256" w:lineRule="auto"/>
        <w:tabs>
          <w:tab w:leader="none" w:pos="613" w:val="left"/>
        </w:tabs>
        <w:numPr>
          <w:ilvl w:val="0"/>
          <w:numId w:val="82"/>
        </w:numPr>
        <w:rPr>
          <w:rFonts w:ascii="Courier New" w:cs="Courier New" w:eastAsia="Courier New" w:hAnsi="Courier New"/>
          <w:sz w:val="13"/>
          <w:szCs w:val="13"/>
          <w:color w:val="auto"/>
        </w:rPr>
      </w:pPr>
      <w:r>
        <w:rPr>
          <w:rFonts w:ascii="Courier New" w:cs="Courier New" w:eastAsia="Courier New" w:hAnsi="Courier New"/>
          <w:sz w:val="13"/>
          <w:szCs w:val="13"/>
          <w:color w:val="auto"/>
        </w:rPr>
        <w:t>Salary. During the Employment Term, the Company shall pay the Employee an annual base salary, before deducting all applicable withholdings, of $300,000 per year, payable at the time and in the manner dictated by the Company's standard payroll policies. Such minimum annual base salary may be periodically reviewed and increased at the discretion of the Compensation Committee of the Board (the "Committee") to reflect, among other matters, cost of living increases and performance results (such annual base salary, including any increases pursuant to this Section 3, the "Annual Base Salary").</w:t>
      </w:r>
    </w:p>
    <w:p>
      <w:pPr>
        <w:spacing w:after="0" w:line="70" w:lineRule="exact"/>
        <w:rPr>
          <w:rFonts w:ascii="Courier New" w:cs="Courier New" w:eastAsia="Courier New" w:hAnsi="Courier New"/>
          <w:sz w:val="13"/>
          <w:szCs w:val="13"/>
          <w:color w:val="auto"/>
        </w:rPr>
      </w:pPr>
    </w:p>
    <w:p>
      <w:pPr>
        <w:ind w:right="4259" w:firstLine="382"/>
        <w:spacing w:after="0" w:line="268" w:lineRule="auto"/>
        <w:tabs>
          <w:tab w:leader="none" w:pos="613" w:val="left"/>
        </w:tabs>
        <w:numPr>
          <w:ilvl w:val="0"/>
          <w:numId w:val="82"/>
        </w:numPr>
        <w:rPr>
          <w:rFonts w:ascii="Courier New" w:cs="Courier New" w:eastAsia="Courier New" w:hAnsi="Courier New"/>
          <w:sz w:val="13"/>
          <w:szCs w:val="13"/>
          <w:color w:val="auto"/>
        </w:rPr>
      </w:pPr>
      <w:r>
        <w:rPr>
          <w:rFonts w:ascii="Courier New" w:cs="Courier New" w:eastAsia="Courier New" w:hAnsi="Courier New"/>
          <w:sz w:val="13"/>
          <w:szCs w:val="13"/>
          <w:color w:val="auto"/>
        </w:rPr>
        <w:t>Other Compensation and Fringe Benefits. In addition to any executive bonus, pension, deferred compensation and long-term incentive plans which the Company or an affiliate of the Company may from time to time make available to the Employee, the Employee shall be entitled to the following during the Employment Term:</w:t>
      </w:r>
    </w:p>
    <w:p>
      <w:pPr>
        <w:spacing w:after="0" w:line="62" w:lineRule="exact"/>
        <w:rPr>
          <w:sz w:val="20"/>
          <w:szCs w:val="20"/>
          <w:color w:val="auto"/>
        </w:rPr>
      </w:pPr>
    </w:p>
    <w:p>
      <w:pPr>
        <w:ind w:left="760" w:right="4559" w:hanging="378"/>
        <w:spacing w:after="0" w:line="353" w:lineRule="auto"/>
        <w:tabs>
          <w:tab w:leader="none" w:pos="760" w:val="left"/>
        </w:tabs>
        <w:numPr>
          <w:ilvl w:val="0"/>
          <w:numId w:val="8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standard Company benefits enjoyed by the Company's other top executives as a group;</w:t>
      </w:r>
    </w:p>
    <w:p>
      <w:pPr>
        <w:spacing w:after="0" w:line="9" w:lineRule="exact"/>
        <w:rPr>
          <w:rFonts w:ascii="Courier New" w:cs="Courier New" w:eastAsia="Courier New" w:hAnsi="Courier New"/>
          <w:sz w:val="13"/>
          <w:szCs w:val="13"/>
          <w:color w:val="auto"/>
        </w:rPr>
      </w:pPr>
    </w:p>
    <w:p>
      <w:pPr>
        <w:ind w:left="760" w:right="4179" w:hanging="378"/>
        <w:spacing w:after="0" w:line="277" w:lineRule="auto"/>
        <w:tabs>
          <w:tab w:leader="none" w:pos="760" w:val="left"/>
        </w:tabs>
        <w:numPr>
          <w:ilvl w:val="0"/>
          <w:numId w:val="83"/>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payment by the Company of the Employee's initiation and membership dues in all social and/or recreational clubs as deemed necessary and appropriate by the Company to maintain various business relationships on behalf of the Company;</w:t>
      </w:r>
    </w:p>
    <w:p>
      <w:pPr>
        <w:sectPr>
          <w:pgSz w:w="11900" w:h="16838" w:orient="portrait"/>
          <w:cols w:equalWidth="0" w:num="1">
            <w:col w:w="10239"/>
          </w:cols>
          <w:pgMar w:left="220" w:top="265" w:right="1440" w:bottom="1440" w:gutter="0" w:footer="0" w:header="0"/>
        </w:sectPr>
      </w:pPr>
    </w:p>
    <w:bookmarkStart w:id="148" w:name="page149"/>
    <w:bookmarkEnd w:id="148"/>
    <w:p>
      <w:pPr>
        <w:ind w:left="378" w:right="4179"/>
        <w:spacing w:after="0" w:line="390" w:lineRule="auto"/>
        <w:rPr>
          <w:sz w:val="20"/>
          <w:szCs w:val="20"/>
          <w:color w:val="auto"/>
        </w:rPr>
      </w:pPr>
      <w:r>
        <w:rPr>
          <w:rFonts w:ascii="Courier New" w:cs="Courier New" w:eastAsia="Courier New" w:hAnsi="Courier New"/>
          <w:sz w:val="12"/>
          <w:szCs w:val="12"/>
          <w:color w:val="auto"/>
        </w:rPr>
        <w:t>provided, however, that the Company shall not be obligated to pay for any of the Employee's personal purchases and expenses at such clubs;</w:t>
      </w:r>
    </w:p>
    <w:p>
      <w:pPr>
        <w:spacing w:after="0" w:line="1" w:lineRule="exact"/>
        <w:rPr>
          <w:sz w:val="20"/>
          <w:szCs w:val="20"/>
          <w:color w:val="auto"/>
        </w:rPr>
      </w:pPr>
    </w:p>
    <w:p>
      <w:pPr>
        <w:ind w:left="378" w:right="4099" w:hanging="378"/>
        <w:spacing w:after="0" w:line="296" w:lineRule="auto"/>
        <w:tabs>
          <w:tab w:leader="none" w:pos="378" w:val="left"/>
        </w:tabs>
        <w:numPr>
          <w:ilvl w:val="0"/>
          <w:numId w:val="84"/>
        </w:numPr>
        <w:rPr>
          <w:rFonts w:ascii="Courier New" w:cs="Courier New" w:eastAsia="Courier New" w:hAnsi="Courier New"/>
          <w:sz w:val="13"/>
          <w:szCs w:val="13"/>
          <w:color w:val="auto"/>
        </w:rPr>
      </w:pPr>
      <w:r>
        <w:rPr>
          <w:rFonts w:ascii="Courier New" w:cs="Courier New" w:eastAsia="Courier New" w:hAnsi="Courier New"/>
          <w:sz w:val="13"/>
          <w:szCs w:val="13"/>
          <w:color w:val="auto"/>
        </w:rPr>
        <w:t>medical and other insurance coverage (for the Employee and any covered dependents) provided by the Company to its other top executives as a group;</w:t>
      </w:r>
    </w:p>
    <w:p>
      <w:pPr>
        <w:spacing w:after="0" w:line="44" w:lineRule="exact"/>
        <w:rPr>
          <w:rFonts w:ascii="Courier New" w:cs="Courier New" w:eastAsia="Courier New" w:hAnsi="Courier New"/>
          <w:sz w:val="13"/>
          <w:szCs w:val="13"/>
          <w:color w:val="auto"/>
        </w:rPr>
      </w:pPr>
    </w:p>
    <w:p>
      <w:pPr>
        <w:ind w:left="378" w:right="4179" w:hanging="378"/>
        <w:spacing w:after="0" w:line="353" w:lineRule="auto"/>
        <w:tabs>
          <w:tab w:leader="none" w:pos="378" w:val="left"/>
        </w:tabs>
        <w:numPr>
          <w:ilvl w:val="0"/>
          <w:numId w:val="84"/>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supplemental disability insurance sufficient to provide two-thirds of the Employee's pre-disability Annual Base Salary;</w:t>
      </w:r>
    </w:p>
    <w:p>
      <w:pPr>
        <w:spacing w:after="0" w:line="9" w:lineRule="exact"/>
        <w:rPr>
          <w:rFonts w:ascii="Courier New" w:cs="Courier New" w:eastAsia="Courier New" w:hAnsi="Courier New"/>
          <w:sz w:val="13"/>
          <w:szCs w:val="13"/>
          <w:color w:val="auto"/>
        </w:rPr>
      </w:pPr>
    </w:p>
    <w:p>
      <w:pPr>
        <w:ind w:left="378" w:right="4099" w:hanging="378"/>
        <w:spacing w:after="0" w:line="248" w:lineRule="auto"/>
        <w:tabs>
          <w:tab w:leader="none" w:pos="378" w:val="left"/>
        </w:tabs>
        <w:numPr>
          <w:ilvl w:val="0"/>
          <w:numId w:val="84"/>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 annual incentive bonus opportunity under the Company's annual incentive plan ("Annual Bonus Plan") for each calendar year included in the Employment Term, with such opportunity to be earned based upon attainment of performance objectives established by the Committee ("Annual Bonus"). The Employee's "bonus factor" "bonus target" under the Annual Bonus Plan shall be not less than 150% of the Employee's Annual Base Salary. The Employee's "bonus factor" may be periodically reviewed and increased (but not decreased without the Employee's express written consent) at the discretion of the Committee. The Annual Bonus shall be paid no later than the March 15th first following the calendar year to which the Annual Bonus relates. Unless provided otherwise herein or the Board determines otherwise, no Annual Bonus shall be paid to the Employee unless the Employee is employed by the Company, or an affiliate thereof, on the Annual Bonus payment date; and</w:t>
      </w:r>
    </w:p>
    <w:p>
      <w:pPr>
        <w:spacing w:after="0" w:line="76" w:lineRule="exact"/>
        <w:rPr>
          <w:rFonts w:ascii="Courier New" w:cs="Courier New" w:eastAsia="Courier New" w:hAnsi="Courier New"/>
          <w:sz w:val="13"/>
          <w:szCs w:val="13"/>
          <w:color w:val="auto"/>
        </w:rPr>
      </w:pPr>
    </w:p>
    <w:p>
      <w:pPr>
        <w:ind w:left="378" w:hanging="378"/>
        <w:spacing w:after="0"/>
        <w:tabs>
          <w:tab w:leader="none" w:pos="378" w:val="left"/>
        </w:tabs>
        <w:numPr>
          <w:ilvl w:val="0"/>
          <w:numId w:val="84"/>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participation in the Company's equity incentive plans.</w:t>
      </w:r>
    </w:p>
    <w:p>
      <w:pPr>
        <w:spacing w:after="0" w:line="148" w:lineRule="exact"/>
        <w:rPr>
          <w:sz w:val="20"/>
          <w:szCs w:val="20"/>
          <w:color w:val="auto"/>
        </w:rPr>
      </w:pPr>
    </w:p>
    <w:p>
      <w:pPr>
        <w:ind w:left="-382" w:right="4179" w:firstLine="382"/>
        <w:spacing w:after="0" w:line="262" w:lineRule="auto"/>
        <w:tabs>
          <w:tab w:leader="none" w:pos="231" w:val="left"/>
        </w:tabs>
        <w:numPr>
          <w:ilvl w:val="0"/>
          <w:numId w:val="85"/>
        </w:numPr>
        <w:rPr>
          <w:rFonts w:ascii="Courier New" w:cs="Courier New" w:eastAsia="Courier New" w:hAnsi="Courier New"/>
          <w:sz w:val="13"/>
          <w:szCs w:val="13"/>
          <w:color w:val="auto"/>
        </w:rPr>
      </w:pPr>
      <w:r>
        <w:rPr>
          <w:rFonts w:ascii="Courier New" w:cs="Courier New" w:eastAsia="Courier New" w:hAnsi="Courier New"/>
          <w:sz w:val="13"/>
          <w:szCs w:val="13"/>
          <w:color w:val="auto"/>
        </w:rPr>
        <w:t>Vacation. For and during each calendar year within the Employment Term, the Employee shall be entitled to reasonable paid vacation periods consistent with his positions with the Company and in accordance with the Company's standard policies, or as the Board may approve. In addition, the Employee shall be entitled to such holidays consistent with the Company's standard policies or as the Board or the Committee may approve.</w:t>
      </w:r>
    </w:p>
    <w:p>
      <w:pPr>
        <w:spacing w:after="0" w:line="67" w:lineRule="exact"/>
        <w:rPr>
          <w:rFonts w:ascii="Courier New" w:cs="Courier New" w:eastAsia="Courier New" w:hAnsi="Courier New"/>
          <w:sz w:val="13"/>
          <w:szCs w:val="13"/>
          <w:color w:val="auto"/>
        </w:rPr>
      </w:pPr>
    </w:p>
    <w:p>
      <w:pPr>
        <w:ind w:left="-382" w:right="4259" w:firstLine="382"/>
        <w:spacing w:after="0" w:line="262" w:lineRule="auto"/>
        <w:tabs>
          <w:tab w:leader="none" w:pos="231" w:val="left"/>
        </w:tabs>
        <w:numPr>
          <w:ilvl w:val="0"/>
          <w:numId w:val="85"/>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Expense Reimbursement. In addition to the compensation and benefits provided herein, the Company shall, upon receipt of appropriate documentation, reimburse the Employee each month for his reasonable travel, lodging, entertainment, promotion and other ordinary and necessary business expenses to the extent such reimbursement is permitted under the Company's expense reimbursement policy.</w:t>
      </w:r>
    </w:p>
    <w:p>
      <w:pPr>
        <w:spacing w:after="0" w:line="67" w:lineRule="exact"/>
        <w:rPr>
          <w:rFonts w:ascii="Courier New" w:cs="Courier New" w:eastAsia="Courier New" w:hAnsi="Courier New"/>
          <w:sz w:val="13"/>
          <w:szCs w:val="13"/>
          <w:color w:val="auto"/>
        </w:rPr>
      </w:pPr>
    </w:p>
    <w:p>
      <w:pPr>
        <w:ind w:left="-382" w:right="4099" w:firstLine="382"/>
        <w:spacing w:after="0" w:line="268" w:lineRule="auto"/>
        <w:tabs>
          <w:tab w:leader="none" w:pos="231" w:val="left"/>
        </w:tabs>
        <w:numPr>
          <w:ilvl w:val="0"/>
          <w:numId w:val="8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of Employment. The Company or the Employee may terminate the Employee's employment at any time and for any reason in accordance with subsection 7(a) below. The Employment Term shall be deemed to have ended on the last day of the Employee's employment. The Employment Term shall terminate automatically upon the Employee's death.</w:t>
      </w:r>
    </w:p>
    <w:p>
      <w:pPr>
        <w:spacing w:after="0" w:line="62" w:lineRule="exact"/>
        <w:rPr>
          <w:sz w:val="20"/>
          <w:szCs w:val="20"/>
          <w:color w:val="auto"/>
        </w:rPr>
      </w:pPr>
    </w:p>
    <w:p>
      <w:pPr>
        <w:ind w:left="378" w:right="4099" w:hanging="378"/>
        <w:spacing w:after="0" w:line="259" w:lineRule="auto"/>
        <w:tabs>
          <w:tab w:leader="none" w:pos="378" w:val="left"/>
        </w:tabs>
        <w:numPr>
          <w:ilvl w:val="0"/>
          <w:numId w:val="86"/>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Notice of Termination. Any purported termination of the Employee's employment (other than by reason of death) shall be communicated by written Notice of Termination (as defined herein) from one party hereto to the other party hereto in accordance with the notice provisions contained in Section 25. For purposes of this Agreement, a "Notice of Termination" shall mean a notice that indicates the Date of Termination (as that term is defined in Section 7(b)) and,</w:t>
      </w:r>
    </w:p>
    <w:p>
      <w:pPr>
        <w:spacing w:after="0" w:line="214" w:lineRule="exact"/>
        <w:rPr>
          <w:sz w:val="20"/>
          <w:szCs w:val="20"/>
          <w:color w:val="auto"/>
        </w:rPr>
      </w:pPr>
    </w:p>
    <w:p>
      <w:pPr>
        <w:ind w:left="2678"/>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9857"/>
          </w:cols>
          <w:pgMar w:left="602" w:top="540" w:right="1440" w:bottom="1440" w:gutter="0" w:footer="0" w:header="0"/>
        </w:sectPr>
      </w:pPr>
    </w:p>
    <w:bookmarkStart w:id="149" w:name="page150"/>
    <w:bookmarkEnd w:id="149"/>
    <w:p>
      <w:pPr>
        <w:ind w:left="378" w:right="4099"/>
        <w:spacing w:after="0" w:line="254" w:lineRule="auto"/>
        <w:rPr>
          <w:sz w:val="20"/>
          <w:szCs w:val="20"/>
          <w:color w:val="auto"/>
        </w:rPr>
      </w:pPr>
      <w:r>
        <w:rPr>
          <w:rFonts w:ascii="Courier New" w:cs="Courier New" w:eastAsia="Courier New" w:hAnsi="Courier New"/>
          <w:sz w:val="13"/>
          <w:szCs w:val="13"/>
          <w:color w:val="auto"/>
        </w:rPr>
        <w:t>with respect to a termination due to Disability (as that term is defined in Section 7(e)), Cause (as that term is defined in Section 7(d)) or Good Reason (as that term is defined in Section 7(f)), sets forth in reasonable detail the facts and circumstances that are alleged to provide a basis for such termination. A Notice of Termination from the Company shall specify whether the termination is with or without Cause or due to the Employee's Disability. A Notice of Termination from the Employee shall specify whether the termination is with or without Good Reason or due to Disability.</w:t>
      </w:r>
    </w:p>
    <w:p>
      <w:pPr>
        <w:spacing w:after="0" w:line="72" w:lineRule="exact"/>
        <w:rPr>
          <w:sz w:val="20"/>
          <w:szCs w:val="20"/>
          <w:color w:val="auto"/>
        </w:rPr>
      </w:pPr>
    </w:p>
    <w:p>
      <w:pPr>
        <w:ind w:left="378" w:right="4179" w:hanging="378"/>
        <w:spacing w:after="0" w:line="262" w:lineRule="auto"/>
        <w:tabs>
          <w:tab w:leader="none" w:pos="378" w:val="left"/>
        </w:tabs>
        <w:numPr>
          <w:ilvl w:val="0"/>
          <w:numId w:val="87"/>
        </w:numPr>
        <w:rPr>
          <w:rFonts w:ascii="Courier New" w:cs="Courier New" w:eastAsia="Courier New" w:hAnsi="Courier New"/>
          <w:sz w:val="13"/>
          <w:szCs w:val="13"/>
          <w:color w:val="auto"/>
        </w:rPr>
      </w:pPr>
      <w:r>
        <w:rPr>
          <w:rFonts w:ascii="Courier New" w:cs="Courier New" w:eastAsia="Courier New" w:hAnsi="Courier New"/>
          <w:sz w:val="13"/>
          <w:szCs w:val="13"/>
          <w:color w:val="auto"/>
        </w:rPr>
        <w:t>Date of Termination. For purposes of this Agreement, "Date of Termination" shall mean the date specified in the Notice of Termination (but in no event shall such date be earlier than the 30th day following the date the Notice of Termination is given, unless expressly agreed to by the parties hereto) or the date of the Employee's death.</w:t>
      </w:r>
    </w:p>
    <w:p>
      <w:pPr>
        <w:spacing w:after="0" w:line="67" w:lineRule="exact"/>
        <w:rPr>
          <w:rFonts w:ascii="Courier New" w:cs="Courier New" w:eastAsia="Courier New" w:hAnsi="Courier New"/>
          <w:sz w:val="13"/>
          <w:szCs w:val="13"/>
          <w:color w:val="auto"/>
        </w:rPr>
      </w:pPr>
    </w:p>
    <w:p>
      <w:pPr>
        <w:ind w:left="378" w:right="4099" w:hanging="378"/>
        <w:spacing w:after="0" w:line="262" w:lineRule="auto"/>
        <w:tabs>
          <w:tab w:leader="none" w:pos="378" w:val="left"/>
        </w:tabs>
        <w:numPr>
          <w:ilvl w:val="0"/>
          <w:numId w:val="87"/>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Waiver.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67" w:lineRule="exact"/>
        <w:rPr>
          <w:rFonts w:ascii="Courier New" w:cs="Courier New" w:eastAsia="Courier New" w:hAnsi="Courier New"/>
          <w:sz w:val="13"/>
          <w:szCs w:val="13"/>
          <w:color w:val="auto"/>
        </w:rPr>
      </w:pPr>
    </w:p>
    <w:p>
      <w:pPr>
        <w:ind w:left="378" w:hanging="378"/>
        <w:spacing w:after="0"/>
        <w:tabs>
          <w:tab w:leader="none" w:pos="378" w:val="left"/>
        </w:tabs>
        <w:numPr>
          <w:ilvl w:val="0"/>
          <w:numId w:val="87"/>
        </w:numPr>
        <w:rPr>
          <w:rFonts w:ascii="Courier New" w:cs="Courier New" w:eastAsia="Courier New" w:hAnsi="Courier New"/>
          <w:sz w:val="13"/>
          <w:szCs w:val="13"/>
          <w:color w:val="auto"/>
        </w:rPr>
      </w:pPr>
      <w:r>
        <w:rPr>
          <w:rFonts w:ascii="Courier New" w:cs="Courier New" w:eastAsia="Courier New" w:hAnsi="Courier New"/>
          <w:sz w:val="13"/>
          <w:szCs w:val="13"/>
          <w:color w:val="auto"/>
        </w:rPr>
        <w:t>Cause. For purposes of this Agreement, "Cause" means the Employee's</w:t>
      </w:r>
    </w:p>
    <w:p>
      <w:pPr>
        <w:spacing w:after="0" w:line="24" w:lineRule="exact"/>
        <w:rPr>
          <w:rFonts w:ascii="Courier New" w:cs="Courier New" w:eastAsia="Courier New" w:hAnsi="Courier New"/>
          <w:sz w:val="13"/>
          <w:szCs w:val="13"/>
          <w:color w:val="auto"/>
        </w:rPr>
      </w:pPr>
    </w:p>
    <w:p>
      <w:pPr>
        <w:ind w:left="378" w:right="4099" w:firstLine="5"/>
        <w:spacing w:after="0" w:line="265" w:lineRule="auto"/>
        <w:tabs>
          <w:tab w:leader="none" w:pos="685" w:val="left"/>
        </w:tabs>
        <w:numPr>
          <w:ilvl w:val="1"/>
          <w:numId w:val="87"/>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persistent failure to perform duties consistent with a commercially reasonable standard of care (other than due to a physical or mental impairment or due to an action or inaction directed by the Company that would otherwise constitute Good Reason); (ii) willful neglect of duties (other than due to a physical or mental impairment or due to an action or inaction directed by the Company that would otherwise constitute Good Reason); (iii) conviction of, or pleading nolo contendere to, criminal or other illegal activities involving dishonesty; (iv) material breach of this Agreement; or (v) impeding, or failing to materially cooperate with, an investigation authorized by the Board. The Employee's termination for Cause shall be effective when and if a resolution is duly adopted by an affirmative vote of at least 3/4 of the Board (less the Employee), stating that, in the good faith opinion of the Board, the Employee is guilty of the conduct described in the Notice of Termination and such conduct constitutes Cause under this Agreement; provided, however, that the Employee shall have been given reasonable opportunity (i) to cure any act or omission that constitutes Cause if capable of cure and (ii), together with counsel, during the thirty (30) day period following the receipt by the Employee of the Notice of Termination and prior to the adoption of the Board's resolution, to be heard by the Board.</w:t>
      </w:r>
    </w:p>
    <w:p>
      <w:pPr>
        <w:spacing w:after="0" w:line="217" w:lineRule="exact"/>
        <w:rPr>
          <w:rFonts w:ascii="Courier New" w:cs="Courier New" w:eastAsia="Courier New" w:hAnsi="Courier New"/>
          <w:sz w:val="12"/>
          <w:szCs w:val="12"/>
          <w:color w:val="auto"/>
        </w:rPr>
      </w:pPr>
    </w:p>
    <w:p>
      <w:pPr>
        <w:ind w:left="378" w:right="4099" w:hanging="378"/>
        <w:spacing w:after="0" w:line="307" w:lineRule="auto"/>
        <w:tabs>
          <w:tab w:leader="none" w:pos="378" w:val="left"/>
        </w:tabs>
        <w:numPr>
          <w:ilvl w:val="0"/>
          <w:numId w:val="8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Disability. For purposes of this Agreement, the Employee shall be deemed to have a "Disability" if the Employee is entitled to long-term disability benefits under the Company's long-term disability plan or policy, as the case may be, as in effect on the Date of Termination.</w:t>
      </w:r>
    </w:p>
    <w:p>
      <w:pPr>
        <w:spacing w:after="0" w:line="189" w:lineRule="exact"/>
        <w:rPr>
          <w:sz w:val="20"/>
          <w:szCs w:val="20"/>
          <w:color w:val="auto"/>
        </w:rPr>
      </w:pPr>
    </w:p>
    <w:p>
      <w:pPr>
        <w:ind w:left="2678"/>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9857"/>
          </w:cols>
          <w:pgMar w:left="602" w:top="540" w:right="1440" w:bottom="1440" w:gutter="0" w:footer="0" w:header="0"/>
        </w:sectPr>
      </w:pPr>
    </w:p>
    <w:bookmarkStart w:id="150" w:name="page151"/>
    <w:bookmarkEnd w:id="150"/>
    <w:p>
      <w:pPr>
        <w:ind w:left="760" w:right="4099" w:hanging="378"/>
        <w:spacing w:after="0" w:line="277" w:lineRule="auto"/>
        <w:tabs>
          <w:tab w:leader="none" w:pos="760" w:val="left"/>
        </w:tabs>
        <w:numPr>
          <w:ilvl w:val="0"/>
          <w:numId w:val="88"/>
        </w:numPr>
        <w:rPr>
          <w:rFonts w:ascii="Courier New" w:cs="Courier New" w:eastAsia="Courier New" w:hAnsi="Courier New"/>
          <w:sz w:val="13"/>
          <w:szCs w:val="13"/>
          <w:color w:val="auto"/>
        </w:rPr>
      </w:pPr>
      <w:r>
        <w:rPr>
          <w:rFonts w:ascii="Courier New" w:cs="Courier New" w:eastAsia="Courier New" w:hAnsi="Courier New"/>
          <w:sz w:val="13"/>
          <w:szCs w:val="13"/>
          <w:color w:val="auto"/>
        </w:rPr>
        <w:t>Good Reason. For purposes of this Agreement, the term "Good Reason" means the occurrence (without the Employee's express written consent) during the Employment Term of any of the following acts or failures to act by the Company:</w:t>
      </w:r>
    </w:p>
    <w:p>
      <w:pPr>
        <w:spacing w:after="0" w:line="57" w:lineRule="exact"/>
        <w:rPr>
          <w:rFonts w:ascii="Courier New" w:cs="Courier New" w:eastAsia="Courier New" w:hAnsi="Courier New"/>
          <w:sz w:val="13"/>
          <w:szCs w:val="13"/>
          <w:color w:val="auto"/>
        </w:rPr>
      </w:pPr>
    </w:p>
    <w:p>
      <w:pPr>
        <w:ind w:left="1140" w:right="4179" w:hanging="375"/>
        <w:spacing w:after="0" w:line="277" w:lineRule="auto"/>
        <w:tabs>
          <w:tab w:leader="none" w:pos="1140" w:val="left"/>
        </w:tabs>
        <w:numPr>
          <w:ilvl w:val="1"/>
          <w:numId w:val="88"/>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 adverse change in the Employee's title, the assignment to the Employee of duties materially inconsistent with the Employee's position of President, or a substantial diminution in the Employee's authority;</w:t>
      </w:r>
    </w:p>
    <w:p>
      <w:pPr>
        <w:spacing w:after="0" w:line="57" w:lineRule="exact"/>
        <w:rPr>
          <w:rFonts w:ascii="Courier New" w:cs="Courier New" w:eastAsia="Courier New" w:hAnsi="Courier New"/>
          <w:sz w:val="13"/>
          <w:szCs w:val="13"/>
          <w:color w:val="auto"/>
        </w:rPr>
      </w:pPr>
    </w:p>
    <w:p>
      <w:pPr>
        <w:ind w:left="1140" w:right="4959" w:hanging="375"/>
        <w:spacing w:after="0" w:line="353" w:lineRule="auto"/>
        <w:tabs>
          <w:tab w:leader="none" w:pos="1140" w:val="left"/>
        </w:tabs>
        <w:numPr>
          <w:ilvl w:val="1"/>
          <w:numId w:val="8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material breach by the Company of any of its other obligations under this Agreement;</w:t>
      </w:r>
    </w:p>
    <w:p>
      <w:pPr>
        <w:spacing w:after="0" w:line="9" w:lineRule="exact"/>
        <w:rPr>
          <w:rFonts w:ascii="Courier New" w:cs="Courier New" w:eastAsia="Courier New" w:hAnsi="Courier New"/>
          <w:sz w:val="13"/>
          <w:szCs w:val="13"/>
          <w:color w:val="auto"/>
        </w:rPr>
      </w:pPr>
    </w:p>
    <w:p>
      <w:pPr>
        <w:ind w:left="1140" w:right="4499" w:hanging="375"/>
        <w:spacing w:after="0" w:line="296" w:lineRule="auto"/>
        <w:tabs>
          <w:tab w:leader="none" w:pos="1217" w:val="left"/>
        </w:tabs>
        <w:numPr>
          <w:ilvl w:val="1"/>
          <w:numId w:val="8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gives the Employee notice of its intent not to extend the Employment Term, any time during the one (1) year period immediately following a Change in Control;</w:t>
      </w:r>
    </w:p>
    <w:p>
      <w:pPr>
        <w:spacing w:after="0" w:line="44" w:lineRule="exact"/>
        <w:rPr>
          <w:rFonts w:ascii="Courier New" w:cs="Courier New" w:eastAsia="Courier New" w:hAnsi="Courier New"/>
          <w:sz w:val="13"/>
          <w:szCs w:val="13"/>
          <w:color w:val="auto"/>
        </w:rPr>
      </w:pPr>
    </w:p>
    <w:p>
      <w:pPr>
        <w:ind w:left="1140" w:right="4099" w:hanging="375"/>
        <w:spacing w:after="0" w:line="277" w:lineRule="auto"/>
        <w:tabs>
          <w:tab w:leader="none" w:pos="1140" w:val="left"/>
        </w:tabs>
        <w:numPr>
          <w:ilvl w:val="1"/>
          <w:numId w:val="88"/>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following a Change in Control, the relocation of the Employee's primary place of employment to a location more than 50 miles from the Employee's primary place of employment immediately prior to the Change in Control; or</w:t>
      </w:r>
    </w:p>
    <w:p>
      <w:pPr>
        <w:spacing w:after="0" w:line="57" w:lineRule="exact"/>
        <w:rPr>
          <w:rFonts w:ascii="Courier New" w:cs="Courier New" w:eastAsia="Courier New" w:hAnsi="Courier New"/>
          <w:sz w:val="13"/>
          <w:szCs w:val="13"/>
          <w:color w:val="auto"/>
        </w:rPr>
      </w:pPr>
    </w:p>
    <w:p>
      <w:pPr>
        <w:ind w:left="1140" w:right="4559" w:hanging="375"/>
        <w:spacing w:after="0" w:line="353" w:lineRule="auto"/>
        <w:tabs>
          <w:tab w:leader="none" w:pos="1140" w:val="left"/>
        </w:tabs>
        <w:numPr>
          <w:ilvl w:val="1"/>
          <w:numId w:val="8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failure of the Company to obtain the assumption of this Agreement as contemplated in Section 21.</w:t>
      </w:r>
    </w:p>
    <w:p>
      <w:pPr>
        <w:spacing w:after="0" w:line="9" w:lineRule="exact"/>
        <w:rPr>
          <w:sz w:val="20"/>
          <w:szCs w:val="20"/>
          <w:color w:val="auto"/>
        </w:rPr>
      </w:pPr>
    </w:p>
    <w:p>
      <w:pPr>
        <w:ind w:right="4179"/>
        <w:spacing w:after="0" w:line="250" w:lineRule="auto"/>
        <w:rPr>
          <w:sz w:val="20"/>
          <w:szCs w:val="20"/>
          <w:color w:val="auto"/>
        </w:rPr>
      </w:pPr>
      <w:r>
        <w:rPr>
          <w:rFonts w:ascii="Courier New" w:cs="Courier New" w:eastAsia="Courier New" w:hAnsi="Courier New"/>
          <w:sz w:val="13"/>
          <w:szCs w:val="13"/>
          <w:color w:val="auto"/>
        </w:rPr>
        <w:t>Notwithstanding the foregoing, the Board placing the Employee on a paid leave for up to 60 days pending the determination of whether there is a basis to terminate the Employee for Cause, shall not constitute Good Reason. The Employee's continued employment shall not constitute consent to, or a waiver of rights with respect to, any act or failure to act constituting Good Reason hereunder; provided, however, that no such event described above shall constitute Good Reason unless the Employee has given a Notice of Termination to the Company specifying the condition or event relied upon for such termination within ninety (90) days from the Employee's actual knowledge of the occurrence of such event and, if capable of cure, the Company has failed to cure the condition or event constituting Good Reason within the thirty (30) day period following receipt of the Employee's Notice of Termination.</w:t>
      </w:r>
    </w:p>
    <w:p>
      <w:pPr>
        <w:spacing w:after="0" w:line="76"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8. Obligations of the Company upon Termination.</w:t>
      </w:r>
    </w:p>
    <w:p>
      <w:pPr>
        <w:spacing w:after="0" w:line="148" w:lineRule="exact"/>
        <w:rPr>
          <w:sz w:val="20"/>
          <w:szCs w:val="20"/>
          <w:color w:val="auto"/>
        </w:rPr>
      </w:pPr>
    </w:p>
    <w:p>
      <w:pPr>
        <w:ind w:left="760" w:right="4419" w:hanging="378"/>
        <w:spacing w:after="0" w:line="277" w:lineRule="auto"/>
        <w:tabs>
          <w:tab w:leader="none" w:pos="760" w:val="left"/>
        </w:tabs>
        <w:numPr>
          <w:ilvl w:val="0"/>
          <w:numId w:val="8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by the Company for other than Cause or Disability or Termination by the Employee for Good Reason. If the Employee's employment is terminated by the Company for any reason, other than Cause or Disability or by the Employee for Good Reason:</w:t>
      </w:r>
    </w:p>
    <w:p>
      <w:pPr>
        <w:spacing w:after="0" w:line="57" w:lineRule="exact"/>
        <w:rPr>
          <w:rFonts w:ascii="Courier New" w:cs="Courier New" w:eastAsia="Courier New" w:hAnsi="Courier New"/>
          <w:sz w:val="13"/>
          <w:szCs w:val="13"/>
          <w:color w:val="auto"/>
        </w:rPr>
      </w:pPr>
    </w:p>
    <w:p>
      <w:pPr>
        <w:ind w:left="1140" w:right="4179" w:hanging="375"/>
        <w:spacing w:after="0" w:line="259" w:lineRule="auto"/>
        <w:tabs>
          <w:tab w:leader="none" w:pos="1140" w:val="left"/>
        </w:tabs>
        <w:numPr>
          <w:ilvl w:val="1"/>
          <w:numId w:val="8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shall pay to the Employee, (A) within five (5) business days after the Date of Termination, any earned but unpaid Annual Base Salary and any expense reimbursement payments owed to the Employee, and (B) no later than March 15 of the year in which the Date of Termination occurs, any earned but unpaid Annual Bonus payments relating to the prior calendar year (the "Accrued Obligations");</w:t>
      </w:r>
    </w:p>
    <w:p>
      <w:pPr>
        <w:spacing w:after="0" w:line="214"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39"/>
          </w:cols>
          <w:pgMar w:left="220" w:top="540" w:right="1440" w:bottom="1440" w:gutter="0" w:footer="0" w:header="0"/>
        </w:sectPr>
      </w:pPr>
    </w:p>
    <w:bookmarkStart w:id="151" w:name="page152"/>
    <w:bookmarkEnd w:id="151"/>
    <w:p>
      <w:pPr>
        <w:ind w:left="375" w:right="4099" w:hanging="375"/>
        <w:spacing w:after="0" w:line="268" w:lineRule="auto"/>
        <w:tabs>
          <w:tab w:leader="none" w:pos="375" w:val="left"/>
        </w:tabs>
        <w:numPr>
          <w:ilvl w:val="0"/>
          <w:numId w:val="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pay to the Employee, within thirty (30) business days after the Date of Termination, a prorated Annual Bonus based on (A) the target Annual Bonus opportunity in the year in which the Date of Termination occurs or the prior year if no target Annual Bonus opportunity has yet been determined and</w:t>
      </w:r>
    </w:p>
    <w:p>
      <w:pPr>
        <w:spacing w:after="0" w:line="2" w:lineRule="exact"/>
        <w:rPr>
          <w:rFonts w:ascii="Courier New" w:cs="Courier New" w:eastAsia="Courier New" w:hAnsi="Courier New"/>
          <w:sz w:val="12"/>
          <w:szCs w:val="12"/>
          <w:color w:val="auto"/>
        </w:rPr>
      </w:pPr>
    </w:p>
    <w:p>
      <w:pPr>
        <w:ind w:left="695" w:hanging="311"/>
        <w:spacing w:after="0"/>
        <w:tabs>
          <w:tab w:leader="none" w:pos="695" w:val="left"/>
        </w:tabs>
        <w:numPr>
          <w:ilvl w:val="1"/>
          <w:numId w:val="9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fraction of the year the Employee was employed;</w:t>
      </w:r>
    </w:p>
    <w:p>
      <w:pPr>
        <w:spacing w:after="0" w:line="123" w:lineRule="exact"/>
        <w:rPr>
          <w:rFonts w:ascii="Courier New" w:cs="Courier New" w:eastAsia="Courier New" w:hAnsi="Courier New"/>
          <w:sz w:val="13"/>
          <w:szCs w:val="13"/>
          <w:color w:val="auto"/>
        </w:rPr>
      </w:pPr>
    </w:p>
    <w:p>
      <w:pPr>
        <w:ind w:left="375" w:right="4099" w:hanging="375"/>
        <w:spacing w:after="0" w:line="252" w:lineRule="auto"/>
        <w:tabs>
          <w:tab w:leader="none" w:pos="451" w:val="left"/>
        </w:tabs>
        <w:numPr>
          <w:ilvl w:val="0"/>
          <w:numId w:val="9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shall pay to the Employee, within thirty (30) business days after the Date of Termination, a lump-sum payment equal to 200% of the sum of (x) the Employee's Annual Base Salary in effect immediately prior to the Date of Termination (disregarding any reduction in Annual Base Salary to which the Employee did not expressly consent in writing) and (y) the highest Annual Bonus paid to the Employee by the Company within the three (3) years preceding his termination of employment or, if higher, the target Annual Bonus opportunity in the year in which the Date of Termination occurs;</w:t>
      </w:r>
    </w:p>
    <w:p>
      <w:pPr>
        <w:spacing w:after="0" w:line="75" w:lineRule="exact"/>
        <w:rPr>
          <w:rFonts w:ascii="Courier New" w:cs="Courier New" w:eastAsia="Courier New" w:hAnsi="Courier New"/>
          <w:sz w:val="13"/>
          <w:szCs w:val="13"/>
          <w:color w:val="auto"/>
        </w:rPr>
      </w:pPr>
    </w:p>
    <w:p>
      <w:pPr>
        <w:ind w:left="375" w:right="4099" w:hanging="375"/>
        <w:spacing w:after="0" w:line="277" w:lineRule="auto"/>
        <w:tabs>
          <w:tab w:leader="none" w:pos="375" w:val="left"/>
        </w:tabs>
        <w:numPr>
          <w:ilvl w:val="0"/>
          <w:numId w:val="90"/>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stock option, restricted stock and other equity-based incentive awards granted by the Company that were outstanding but not vested as of the Date of Termination shall become immediately vested and/or payable, as the case may be; and</w:t>
      </w:r>
    </w:p>
    <w:p>
      <w:pPr>
        <w:spacing w:after="0" w:line="57" w:lineRule="exact"/>
        <w:rPr>
          <w:rFonts w:ascii="Courier New" w:cs="Courier New" w:eastAsia="Courier New" w:hAnsi="Courier New"/>
          <w:sz w:val="13"/>
          <w:szCs w:val="13"/>
          <w:color w:val="auto"/>
        </w:rPr>
      </w:pPr>
    </w:p>
    <w:p>
      <w:pPr>
        <w:ind w:left="375" w:right="4099" w:hanging="375"/>
        <w:spacing w:after="0" w:line="265" w:lineRule="auto"/>
        <w:tabs>
          <w:tab w:leader="none" w:pos="375" w:val="left"/>
        </w:tabs>
        <w:numPr>
          <w:ilvl w:val="0"/>
          <w:numId w:val="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a three (3) year period after the Date of Termination, the Company will provide or cause to be provided to the Employee (and any covered dependents), with life and health insurance benefits (but not disability insurance benefits) substantially similar to those the Employee and any covered dependents were receiving immediately prior to the Notice of Termination at the same level of benefits and at the same dollar cost to the Employee as is available to the Company's executive officers generally, provided that the Employee's continued receipt of such benefits is possible under the general terms and provisions of the applicable plans and programs, and provided further, that such benefits would not be taxable to the Employee or subject to Section 409A of the Internal Revenue Code of 1986, as amended (the "Code"). In the event that the Employee's participation in any such plan or program is prohibited, the Company shall, at its expense, arrange to provide the Employee with benefits substantially similar to those which the Employee would otherwise have been entitled to receive under such plans and programs from which his continued participation is prohibited. If the Company arranges to provide the Employee and covered dependents with life and health insurance benefits, those benefits will be reduced to the extent comparable benefits are received by, or made available to, the Employee (at no greater cost to the Employee) by another employer during the three (3) year period following the Employee's Date of Termination. The Employee must report to the Company any such benefits that he receives or that are made available. In lieu of the benefits described in this Section 8(a)(v), the Company, in its sole discretion, may elect to pay to the Employee a lump</w:t>
      </w:r>
    </w:p>
    <w:p>
      <w:pPr>
        <w:spacing w:after="0" w:line="371" w:lineRule="exact"/>
        <w:rPr>
          <w:sz w:val="20"/>
          <w:szCs w:val="20"/>
          <w:color w:val="auto"/>
        </w:rPr>
      </w:pPr>
    </w:p>
    <w:p>
      <w:pPr>
        <w:ind w:left="2295"/>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9474"/>
          </w:cols>
          <w:pgMar w:left="985" w:top="540" w:right="1440" w:bottom="1440" w:gutter="0" w:footer="0" w:header="0"/>
        </w:sectPr>
      </w:pPr>
    </w:p>
    <w:bookmarkStart w:id="152" w:name="page153"/>
    <w:bookmarkEnd w:id="152"/>
    <w:p>
      <w:pPr>
        <w:ind w:left="758" w:right="4099"/>
        <w:spacing w:after="0" w:line="268" w:lineRule="auto"/>
        <w:rPr>
          <w:sz w:val="20"/>
          <w:szCs w:val="20"/>
          <w:color w:val="auto"/>
        </w:rPr>
      </w:pPr>
      <w:r>
        <w:rPr>
          <w:rFonts w:ascii="Courier New" w:cs="Courier New" w:eastAsia="Courier New" w:hAnsi="Courier New"/>
          <w:sz w:val="13"/>
          <w:szCs w:val="13"/>
          <w:color w:val="auto"/>
        </w:rPr>
        <w:t>sum cash payment equal to the monthly premiums that would have been paid by the Company to provide such benefits to the Employee for each month such coverage is not provided under this Section 8(a)(v). Nothing in this Section 8(a)(v) will extend the COBRA continuation coverage period.</w:t>
      </w:r>
    </w:p>
    <w:p>
      <w:pPr>
        <w:spacing w:after="0" w:line="62" w:lineRule="exact"/>
        <w:rPr>
          <w:sz w:val="20"/>
          <w:szCs w:val="20"/>
          <w:color w:val="auto"/>
        </w:rPr>
      </w:pPr>
    </w:p>
    <w:p>
      <w:pPr>
        <w:ind w:left="378" w:right="4179" w:hanging="378"/>
        <w:spacing w:after="0" w:line="262" w:lineRule="auto"/>
        <w:tabs>
          <w:tab w:leader="none" w:pos="378" w:val="left"/>
        </w:tabs>
        <w:numPr>
          <w:ilvl w:val="0"/>
          <w:numId w:val="9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by the Company for Cause or by the Employee without Good Reason. If the Employee's employment is terminated (i) by the Company for Cause or (ii) by the Employee without Good Reason, the Company's only obligation under this Agreement shall be payment of any earned but unpaid Annual Base Salary and any expense reimbursement payments owed to the Employee.</w:t>
      </w:r>
    </w:p>
    <w:p>
      <w:pPr>
        <w:spacing w:after="0" w:line="67" w:lineRule="exact"/>
        <w:rPr>
          <w:rFonts w:ascii="Courier New" w:cs="Courier New" w:eastAsia="Courier New" w:hAnsi="Courier New"/>
          <w:sz w:val="13"/>
          <w:szCs w:val="13"/>
          <w:color w:val="auto"/>
        </w:rPr>
      </w:pPr>
    </w:p>
    <w:p>
      <w:pPr>
        <w:ind w:left="378" w:right="4099" w:hanging="378"/>
        <w:spacing w:after="0" w:line="278" w:lineRule="auto"/>
        <w:tabs>
          <w:tab w:leader="none" w:pos="37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Termination due to Death or Disability. If the Employee's employment is terminated due to death or Disability, the Company shall pay to the Employee (or to the Employee's estate or personal representative in the case of the Employee's death), within thirty (30) business days after the Date of Termination, (i) any Accrued Obligations and (ii) a prorated Annual Bonus based on (A) the target Annual Bonus opportunity in the year in which the Date of Termination occurs or the prior year if no target Annual Bonus opportunity has yet been determined and (B) the fraction of the year the Employee was employed.</w:t>
      </w:r>
    </w:p>
    <w:p>
      <w:pPr>
        <w:spacing w:after="0" w:line="57" w:lineRule="exact"/>
        <w:rPr>
          <w:rFonts w:ascii="Courier New" w:cs="Courier New" w:eastAsia="Courier New" w:hAnsi="Courier New"/>
          <w:sz w:val="12"/>
          <w:szCs w:val="12"/>
          <w:color w:val="auto"/>
        </w:rPr>
      </w:pPr>
    </w:p>
    <w:p>
      <w:pPr>
        <w:jc w:val="both"/>
        <w:ind w:left="378" w:right="4259" w:hanging="378"/>
        <w:spacing w:after="0" w:line="331" w:lineRule="auto"/>
        <w:tabs>
          <w:tab w:leader="none" w:pos="37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Definition of Change in Control. For purposes of this Agreement, the term "Change in Control" shall mean that the conditions set forth in any one of the following subsections shall have been satisfied:</w:t>
      </w:r>
    </w:p>
    <w:p>
      <w:pPr>
        <w:spacing w:after="0" w:line="27" w:lineRule="exact"/>
        <w:rPr>
          <w:rFonts w:ascii="Courier New" w:cs="Courier New" w:eastAsia="Courier New" w:hAnsi="Courier New"/>
          <w:sz w:val="12"/>
          <w:szCs w:val="12"/>
          <w:color w:val="auto"/>
        </w:rPr>
      </w:pPr>
    </w:p>
    <w:p>
      <w:pPr>
        <w:ind w:left="758" w:right="4099" w:hanging="375"/>
        <w:spacing w:after="0" w:line="284" w:lineRule="auto"/>
        <w:tabs>
          <w:tab w:leader="none" w:pos="758" w:val="left"/>
        </w:tabs>
        <w:numPr>
          <w:ilvl w:val="1"/>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acquisition, directly or indirectly, by any "person" (within the meaning of Section 3(a)(9) of the Securities and Exchange Act of 1934, as amended (the "Exchange Act") and used in Sections 13(d) and 14(d) thereof) of "beneficial ownership" (within the meaning of Rule 13d-3 of the Exchange Act) of securities of the Company possessing more than 50% of the total combined voting power of all outstanding securities of the Company;</w:t>
      </w:r>
    </w:p>
    <w:p>
      <w:pPr>
        <w:spacing w:after="0" w:line="53" w:lineRule="exact"/>
        <w:rPr>
          <w:rFonts w:ascii="Courier New" w:cs="Courier New" w:eastAsia="Courier New" w:hAnsi="Courier New"/>
          <w:sz w:val="12"/>
          <w:szCs w:val="12"/>
          <w:color w:val="auto"/>
        </w:rPr>
      </w:pPr>
    </w:p>
    <w:p>
      <w:pPr>
        <w:ind w:left="758" w:right="4179" w:hanging="375"/>
        <w:spacing w:after="0" w:line="284" w:lineRule="auto"/>
        <w:tabs>
          <w:tab w:leader="none" w:pos="758" w:val="left"/>
        </w:tabs>
        <w:numPr>
          <w:ilvl w:val="1"/>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merger or consolidation in which the Company is not the surviving entity, except for a transaction in which the holders of the outstanding voting securities of the Company immediately prior to such merger or consolidation hold, in the aggregate, securities possessing more than 50% of the total combined voting power of all outstanding voting securities of the surviving entity immediately after such merger or consolidation;</w:t>
      </w:r>
    </w:p>
    <w:p>
      <w:pPr>
        <w:spacing w:after="0" w:line="53" w:lineRule="exact"/>
        <w:rPr>
          <w:rFonts w:ascii="Courier New" w:cs="Courier New" w:eastAsia="Courier New" w:hAnsi="Courier New"/>
          <w:sz w:val="12"/>
          <w:szCs w:val="12"/>
          <w:color w:val="auto"/>
        </w:rPr>
      </w:pPr>
    </w:p>
    <w:p>
      <w:pPr>
        <w:ind w:left="758" w:right="4099" w:hanging="375"/>
        <w:spacing w:after="0" w:line="262" w:lineRule="auto"/>
        <w:tabs>
          <w:tab w:leader="none" w:pos="835" w:val="left"/>
        </w:tabs>
        <w:numPr>
          <w:ilvl w:val="1"/>
          <w:numId w:val="9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reverse merger in which the Company is the surviving entity but in which securities possessing more than 50% of the total combined voting power of all outstanding voting securities of the Company are transferred to or acquired by a person or persons different from the persons holding those securities immediately prior to such merger;</w:t>
      </w:r>
    </w:p>
    <w:p>
      <w:pPr>
        <w:spacing w:after="0" w:line="215" w:lineRule="exact"/>
        <w:rPr>
          <w:sz w:val="20"/>
          <w:szCs w:val="20"/>
          <w:color w:val="auto"/>
        </w:rPr>
      </w:pPr>
    </w:p>
    <w:p>
      <w:pPr>
        <w:ind w:left="2678"/>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9857"/>
          </w:cols>
          <w:pgMar w:left="602" w:top="540" w:right="1440" w:bottom="1440" w:gutter="0" w:footer="0" w:header="0"/>
        </w:sectPr>
      </w:pPr>
    </w:p>
    <w:bookmarkStart w:id="153" w:name="page154"/>
    <w:bookmarkEnd w:id="153"/>
    <w:p>
      <w:pPr>
        <w:ind w:left="1140" w:right="4099" w:hanging="375"/>
        <w:spacing w:after="0" w:line="256" w:lineRule="auto"/>
        <w:tabs>
          <w:tab w:leader="none" w:pos="1140" w:val="left"/>
        </w:tabs>
        <w:numPr>
          <w:ilvl w:val="0"/>
          <w:numId w:val="9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during any period of two (2) consecutive years during the Employment Term or any extensions thereof, individuals, who, at the beginning of such period, constitute the Board, cease for any reason to constitute at least a majority thereof, unless the election of each director who was not a director at the beginning of such period has been approved in advance by directors representing at least two-thirds of the directors then in office who were directors at the beginning of the period;</w:t>
      </w:r>
    </w:p>
    <w:p>
      <w:pPr>
        <w:spacing w:after="0" w:line="70" w:lineRule="exact"/>
        <w:rPr>
          <w:rFonts w:ascii="Courier New" w:cs="Courier New" w:eastAsia="Courier New" w:hAnsi="Courier New"/>
          <w:sz w:val="13"/>
          <w:szCs w:val="13"/>
          <w:color w:val="auto"/>
        </w:rPr>
      </w:pPr>
    </w:p>
    <w:p>
      <w:pPr>
        <w:ind w:left="1140" w:right="4099" w:hanging="375"/>
        <w:spacing w:after="0" w:line="248" w:lineRule="auto"/>
        <w:tabs>
          <w:tab w:leader="none" w:pos="1140" w:val="left"/>
        </w:tabs>
        <w:numPr>
          <w:ilvl w:val="0"/>
          <w:numId w:val="9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sale, transfer or other disposition (in one transaction or a series of related transactions) of assets of the Company that have a total fair market value equal to or more than one-third of the total fair market value of all of the assets of the Company immediately prior to such sale, transfer or other disposition, other than a sale, transfer or other disposition to an entity (x) which immediately following such sale, transfer or other disposition owns, directly or indirectly, at least 50% of the Company's outstanding voting securities or (y) 50% or more of whose outstanding voting securities is immediately following such sale, transfer or other disposition owned, directly or indirectly, by the Company. For purposes of the foregoing clause, the sale of stock of a subsidiary of the Company (or the assets of such subsidiary) shall be treated as a sale of assets of the Company; or</w:t>
      </w:r>
    </w:p>
    <w:p>
      <w:pPr>
        <w:spacing w:after="0" w:line="76" w:lineRule="exact"/>
        <w:rPr>
          <w:rFonts w:ascii="Courier New" w:cs="Courier New" w:eastAsia="Courier New" w:hAnsi="Courier New"/>
          <w:sz w:val="13"/>
          <w:szCs w:val="13"/>
          <w:color w:val="auto"/>
        </w:rPr>
      </w:pPr>
    </w:p>
    <w:p>
      <w:pPr>
        <w:ind w:left="1140" w:right="4339" w:hanging="375"/>
        <w:spacing w:after="0" w:line="353" w:lineRule="auto"/>
        <w:tabs>
          <w:tab w:leader="none" w:pos="1140" w:val="left"/>
        </w:tabs>
        <w:numPr>
          <w:ilvl w:val="0"/>
          <w:numId w:val="9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approval by the stockholders of a plan or proposal for the liquidation or dissolution of the Company.</w:t>
      </w:r>
    </w:p>
    <w:p>
      <w:pPr>
        <w:spacing w:after="0" w:line="9" w:lineRule="exact"/>
        <w:rPr>
          <w:sz w:val="20"/>
          <w:szCs w:val="20"/>
          <w:color w:val="auto"/>
        </w:rPr>
      </w:pPr>
    </w:p>
    <w:p>
      <w:pPr>
        <w:ind w:right="4099"/>
        <w:spacing w:after="0" w:line="249" w:lineRule="auto"/>
        <w:rPr>
          <w:sz w:val="20"/>
          <w:szCs w:val="20"/>
          <w:color w:val="auto"/>
        </w:rPr>
      </w:pPr>
      <w:r>
        <w:rPr>
          <w:rFonts w:ascii="Courier New" w:cs="Courier New" w:eastAsia="Courier New" w:hAnsi="Courier New"/>
          <w:sz w:val="13"/>
          <w:szCs w:val="13"/>
          <w:color w:val="auto"/>
        </w:rPr>
        <w:t>For purposes of this Agreement, no event or transaction which is entered into, is contemplated by, or occurs as a result of the Agreement and Plan of Merger dated as of June 25, 2006 by and between Fidelity National Information Services, Inc. and Fidelity National Financial, Inc. or the Securities Exchange and Distribution Agreement, dated as of June 25, 2006 between Fidelity National Financial, Inc. and Fidelity National Title Group, Inc. shall constitute a Change in Control. In addition, no event or transaction which results in the merger or other combination of the Company or any affiliate thereof with Fidelity National Information Services, Inc. or any affiliate thereof in which the combined shareholders of both entities before such transaction own at least 80% in the aggregate of the voting power of the stock of the combined or merged company immediately after such event or transaction shall constitute a Change in Control.</w:t>
      </w:r>
    </w:p>
    <w:p>
      <w:pPr>
        <w:spacing w:after="0" w:line="78" w:lineRule="exact"/>
        <w:rPr>
          <w:sz w:val="20"/>
          <w:szCs w:val="20"/>
          <w:color w:val="auto"/>
        </w:rPr>
      </w:pPr>
    </w:p>
    <w:p>
      <w:pPr>
        <w:ind w:left="760" w:hanging="378"/>
        <w:spacing w:after="0"/>
        <w:tabs>
          <w:tab w:leader="none" w:pos="760" w:val="left"/>
        </w:tabs>
        <w:numPr>
          <w:ilvl w:val="0"/>
          <w:numId w:val="9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Excise Tax Gross-up Payments.</w:t>
      </w:r>
    </w:p>
    <w:p>
      <w:pPr>
        <w:spacing w:after="0" w:line="148" w:lineRule="exact"/>
        <w:rPr>
          <w:sz w:val="20"/>
          <w:szCs w:val="20"/>
          <w:color w:val="auto"/>
        </w:rPr>
      </w:pPr>
    </w:p>
    <w:p>
      <w:pPr>
        <w:ind w:left="760" w:right="4099" w:hanging="378"/>
        <w:spacing w:after="0" w:line="250" w:lineRule="auto"/>
        <w:tabs>
          <w:tab w:leader="none" w:pos="760" w:val="left"/>
        </w:tabs>
        <w:numPr>
          <w:ilvl w:val="0"/>
          <w:numId w:val="94"/>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any payments or benefits paid or provided or to be paid or provided to the Employee or for his benefit pursuant to the terms of this Agreement or otherwise in connection with, or arising out of, his employment with the Company or its subsidiaries or the termination thereof (a "Payment" and, collectively, the "Payments") would be subject to the excise tax (the "Excise Tax") imposed by Section 4999 of the Code, then, except as otherwise provided in this Section 9(a), the Employee will be entitled to receive an additional payment (a "Gross-Up Payment") in an amount such that, after payment by the Employee of all income taxes, all employment taxes and any Excise Tax imposed upon the Gross-Up Payment (including any related interest and penalties), the Employee retains an</w:t>
      </w:r>
    </w:p>
    <w:p>
      <w:pPr>
        <w:spacing w:after="0" w:line="223"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39"/>
          </w:cols>
          <w:pgMar w:left="220" w:top="540" w:right="1440" w:bottom="1440" w:gutter="0" w:footer="0" w:header="0"/>
        </w:sectPr>
      </w:pPr>
    </w:p>
    <w:bookmarkStart w:id="154" w:name="page155"/>
    <w:bookmarkEnd w:id="154"/>
    <w:p>
      <w:pPr>
        <w:ind w:left="378" w:right="4179"/>
        <w:spacing w:after="0" w:line="278" w:lineRule="auto"/>
        <w:rPr>
          <w:sz w:val="20"/>
          <w:szCs w:val="20"/>
          <w:color w:val="auto"/>
        </w:rPr>
      </w:pPr>
      <w:r>
        <w:rPr>
          <w:rFonts w:ascii="Courier New" w:cs="Courier New" w:eastAsia="Courier New" w:hAnsi="Courier New"/>
          <w:sz w:val="12"/>
          <w:szCs w:val="12"/>
          <w:color w:val="auto"/>
        </w:rPr>
        <w:t>amount of the Gross-Up Payment equal to the Excise Tax (including any related interest and penalties) imposed upon the Payments. Notwithstanding the foregoing, if the amount of the Payments does not exceed by more than 3% the amount that would be payable to the Employee if the Payments were reduced to one dollar less than what would constitute a "parachute payment" under Section 280G of the Code (the "Scaled Back Amount"), then the Payments shall be reduced, in a manner determined by the Employee, to the Scaled Back Amount, and the Employee shall not be entitled to any Gross-Up Payment.</w:t>
      </w:r>
    </w:p>
    <w:p>
      <w:pPr>
        <w:spacing w:after="0" w:line="57" w:lineRule="exact"/>
        <w:rPr>
          <w:sz w:val="20"/>
          <w:szCs w:val="20"/>
          <w:color w:val="auto"/>
        </w:rPr>
      </w:pPr>
    </w:p>
    <w:p>
      <w:pPr>
        <w:ind w:left="378" w:right="4099" w:hanging="378"/>
        <w:spacing w:after="0" w:line="263" w:lineRule="auto"/>
        <w:tabs>
          <w:tab w:leader="none" w:pos="378" w:val="left"/>
        </w:tabs>
        <w:numPr>
          <w:ilvl w:val="0"/>
          <w:numId w:val="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 initial determination of (i) whether a Gross-Up Payment is required pursuant to this Agreement, and, if applicable, the amount of such Gross-Up Payment or (ii) whether the Payments must be reduced to the Scaled Back Amount and, if so, the amount of such reduction, will be made at the Company's expense by an accounting firm selected by the Company. The accounting firm will provide its determination, together with detailed supporting calculations and documentation, to the Company and the Employee within ten (10) business days after the date of termination of Employee's employment, or such other time as may be reasonably requested by the Company or the Employee. If the accounting firm determines that no Excise Tax is payable by the Employee with respect to a Payment or Payments, it will furnish the Employee with an opinion to that effect. If a Gross-Up Payment becomes payable, such Gross-Up Payment will be paid by the Company to the Employee within thirty (30) business days of the receipt of the accounting firm's determination. If a reduction in Payments is required, such reduction shall be effectuated within thirty (30) business days of the receipt of the accounting firm's determination. Within ten (10) business days after the accounting firm delivers its determination to the Employee, the Employee will have the right to dispute the determination. The existence of a dispute will not in any way affect the Employee's right to receive a Gross-Up Payment in accordance with the determination. If there is no dispute, the determination will be binding, final, and conclusive upon the Company and the Employee. If there is a dispute, the Company and the Employee will together select a second accounting firm, which will review the determination and the Employee's basis for the dispute and then will render its own determination, which will be binding, final, and conclusive on the Company and on the Employee for purposes of determining whether a Gross-Up Payment is required pursuant to this Section 9(b) or whether a reduction to the Scaled Back Amount is required, as the case may be. If as a result of any dispute pursuant to this Section 9(b) a Gross-Up Payment is made or additional Gross-Up Payments are made, such Gross-Up Payment(s) will be paid by the Company to the Employee within thirty (30) business days of the receipt of the second accounting firm's determination. The Company will bear all costs associated with the second accounting firm's determination, unless such determination does not result in additional Gross-Up Payments to the Employee or unless such determination does not mitigate the reduction in Payments required to arrive at the Scaled Back Amount, in which case all such costs will be borne by the Employee.</w:t>
      </w:r>
    </w:p>
    <w:p>
      <w:pPr>
        <w:spacing w:after="0" w:line="200" w:lineRule="exact"/>
        <w:rPr>
          <w:sz w:val="20"/>
          <w:szCs w:val="20"/>
          <w:color w:val="auto"/>
        </w:rPr>
      </w:pPr>
    </w:p>
    <w:p>
      <w:pPr>
        <w:spacing w:after="0" w:line="330" w:lineRule="exact"/>
        <w:rPr>
          <w:sz w:val="20"/>
          <w:szCs w:val="20"/>
          <w:color w:val="auto"/>
        </w:rPr>
      </w:pPr>
    </w:p>
    <w:p>
      <w:pPr>
        <w:ind w:left="2678"/>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9857"/>
          </w:cols>
          <w:pgMar w:left="602" w:top="540" w:right="1440" w:bottom="1440" w:gutter="0" w:footer="0" w:header="0"/>
        </w:sectPr>
      </w:pPr>
    </w:p>
    <w:bookmarkStart w:id="155" w:name="page156"/>
    <w:bookmarkEnd w:id="155"/>
    <w:p>
      <w:pPr>
        <w:ind w:left="378" w:right="4099" w:hanging="378"/>
        <w:spacing w:after="0" w:line="276" w:lineRule="auto"/>
        <w:tabs>
          <w:tab w:leader="none" w:pos="378" w:val="left"/>
        </w:tabs>
        <w:numPr>
          <w:ilvl w:val="0"/>
          <w:numId w:val="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purposes of determining the amount of the Gross-Up Payment and, if applicable, the Scaled Back Amount, the Employee will be deemed to pay federal income taxes at the highest marginal rate of federal income taxation in the calendar year in which the Gross-Up Payment is to be made or the Scaled Back Amount is determined, as the case may be, and applicable state and local income taxes at the highest marginal rate of taxation in the state and locality of the Employee's residence on the date of termination of Employee's employment, net of the maximum reduction in federal income taxes that would be obtained from deduction of those state and local taxes.</w:t>
      </w:r>
    </w:p>
    <w:p>
      <w:pPr>
        <w:spacing w:after="0" w:line="58" w:lineRule="exact"/>
        <w:rPr>
          <w:rFonts w:ascii="Courier New" w:cs="Courier New" w:eastAsia="Courier New" w:hAnsi="Courier New"/>
          <w:sz w:val="12"/>
          <w:szCs w:val="12"/>
          <w:color w:val="auto"/>
        </w:rPr>
      </w:pPr>
    </w:p>
    <w:p>
      <w:pPr>
        <w:ind w:left="378" w:right="4099" w:hanging="378"/>
        <w:spacing w:after="0" w:line="244" w:lineRule="auto"/>
        <w:tabs>
          <w:tab w:leader="none" w:pos="378"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As a result of the uncertainty in the application of Section 4999 of the Code, it is possible that Gross-Up Payments which will not have been made by the Company should have been made, the Employee's Payments will be reduced to the Scaled Back Amount when they should not have been or the Employee's Payments are reduced to a greater extent than they should have been (an "Underpayment") or Gross-Up Payments are made by the Company which should not have been made, the Employee's Payments are not reduced to the Scaled Back Amount when they should have been or they are not reduced to the extent they should have been (an "Overpayment"). If it is determined that an Underpayment has occurred, the accounting firm shall determine the amount of the Underpayment that has occurred and any such Underpayment (together with interest at the rate provided in Section 1274(b)(2)(B) of the Code) shall be promptly paid by the Company to or for the benefit of Employee. If it is determined that an Overpayment has occurred, the accounting firm shall determine the amount of the Overpayment that has occurred and any such Overpayment (together with interest at the rate provided in Section 1274(b)(2) of the Code) shall be promptly paid by the Employee (to the extent he has received a refund if the applicable Excise Tax has been paid to the Internal Revenue Service) to or for the benefit of the Company; provided, however, that if the Company determines that such repayment obligation would be or result in an unlawful extension of credit under Section 13(k) of the Exchange Act, repayment shall not be required. The Employee shall cooperate, to the extent his expenses are reimbursed by the Company, with any reasonable requests by the Company in connection with any contest or disputes with the Internal Revenue Service in connection with the Excise Tax.</w:t>
      </w:r>
    </w:p>
    <w:p>
      <w:pPr>
        <w:spacing w:after="0" w:line="83" w:lineRule="exact"/>
        <w:rPr>
          <w:rFonts w:ascii="Courier New" w:cs="Courier New" w:eastAsia="Courier New" w:hAnsi="Courier New"/>
          <w:sz w:val="13"/>
          <w:szCs w:val="13"/>
          <w:color w:val="auto"/>
        </w:rPr>
      </w:pPr>
    </w:p>
    <w:p>
      <w:pPr>
        <w:ind w:left="378" w:right="4099" w:hanging="378"/>
        <w:spacing w:after="0" w:line="249" w:lineRule="auto"/>
        <w:tabs>
          <w:tab w:leader="none" w:pos="378"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Employee shall notify the Company in writing of any claim by the Internal Revenue Service that, if successful, would require a payment resulting in an Underpayment. Such notification shall be given as soon as practicable but no later than ten (10) business days after the Employee is informed in writing of such claim and shall apprise the Company of the nature of such claim and the date on which such claim is requested to be paid. The Employee shall not pay such claim prior to the expiration of the thirty (30) day period following the date on which he gives such notice to the Company (or such shorter period ending on the date that any payment of taxes with respect to such claim is due). If the Company notifies the Employee in writing prior to the expiration of such period that it desires to contest such claim, the Employee shall:</w:t>
      </w:r>
    </w:p>
    <w:p>
      <w:pPr>
        <w:spacing w:after="0" w:line="225" w:lineRule="exact"/>
        <w:rPr>
          <w:sz w:val="20"/>
          <w:szCs w:val="20"/>
          <w:color w:val="auto"/>
        </w:rPr>
      </w:pPr>
    </w:p>
    <w:p>
      <w:pPr>
        <w:ind w:left="2678"/>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9857"/>
          </w:cols>
          <w:pgMar w:left="602" w:top="540" w:right="1440" w:bottom="1440" w:gutter="0" w:footer="0" w:header="0"/>
        </w:sectPr>
      </w:pPr>
    </w:p>
    <w:bookmarkStart w:id="156" w:name="page157"/>
    <w:bookmarkEnd w:id="156"/>
    <w:p>
      <w:pPr>
        <w:ind w:left="758" w:right="4499" w:hanging="375"/>
        <w:spacing w:after="0" w:line="353" w:lineRule="auto"/>
        <w:tabs>
          <w:tab w:leader="none" w:pos="758" w:val="left"/>
        </w:tabs>
        <w:numPr>
          <w:ilvl w:val="0"/>
          <w:numId w:val="97"/>
        </w:numPr>
        <w:rPr>
          <w:rFonts w:ascii="Courier New" w:cs="Courier New" w:eastAsia="Courier New" w:hAnsi="Courier New"/>
          <w:sz w:val="13"/>
          <w:szCs w:val="13"/>
          <w:color w:val="auto"/>
        </w:rPr>
      </w:pPr>
      <w:r>
        <w:rPr>
          <w:rFonts w:ascii="Courier New" w:cs="Courier New" w:eastAsia="Courier New" w:hAnsi="Courier New"/>
          <w:sz w:val="13"/>
          <w:szCs w:val="13"/>
          <w:color w:val="auto"/>
        </w:rPr>
        <w:t>give the Company any information reasonably requested by the Company relating to such claim,</w:t>
      </w:r>
    </w:p>
    <w:p>
      <w:pPr>
        <w:spacing w:after="0" w:line="9" w:lineRule="exact"/>
        <w:rPr>
          <w:rFonts w:ascii="Courier New" w:cs="Courier New" w:eastAsia="Courier New" w:hAnsi="Courier New"/>
          <w:sz w:val="13"/>
          <w:szCs w:val="13"/>
          <w:color w:val="auto"/>
        </w:rPr>
      </w:pPr>
    </w:p>
    <w:p>
      <w:pPr>
        <w:ind w:left="758" w:right="4179" w:hanging="375"/>
        <w:spacing w:after="0" w:line="268" w:lineRule="auto"/>
        <w:tabs>
          <w:tab w:leader="none" w:pos="758" w:val="left"/>
        </w:tabs>
        <w:numPr>
          <w:ilvl w:val="0"/>
          <w:numId w:val="9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62" w:lineRule="exact"/>
        <w:rPr>
          <w:rFonts w:ascii="Courier New" w:cs="Courier New" w:eastAsia="Courier New" w:hAnsi="Courier New"/>
          <w:sz w:val="13"/>
          <w:szCs w:val="13"/>
          <w:color w:val="auto"/>
        </w:rPr>
      </w:pPr>
    </w:p>
    <w:p>
      <w:pPr>
        <w:ind w:left="758" w:right="4099" w:hanging="375"/>
        <w:spacing w:after="0" w:line="353" w:lineRule="auto"/>
        <w:tabs>
          <w:tab w:leader="none" w:pos="835" w:val="left"/>
        </w:tabs>
        <w:numPr>
          <w:ilvl w:val="0"/>
          <w:numId w:val="97"/>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cooperate with the Company in good faith in order effectively to contest such claim, and</w:t>
      </w:r>
    </w:p>
    <w:p>
      <w:pPr>
        <w:spacing w:after="0" w:line="9" w:lineRule="exact"/>
        <w:rPr>
          <w:rFonts w:ascii="Courier New" w:cs="Courier New" w:eastAsia="Courier New" w:hAnsi="Courier New"/>
          <w:sz w:val="13"/>
          <w:szCs w:val="13"/>
          <w:color w:val="auto"/>
        </w:rPr>
      </w:pPr>
    </w:p>
    <w:p>
      <w:pPr>
        <w:ind w:left="758" w:right="4259" w:hanging="375"/>
        <w:spacing w:after="0" w:line="353" w:lineRule="auto"/>
        <w:tabs>
          <w:tab w:leader="none" w:pos="758" w:val="left"/>
        </w:tabs>
        <w:numPr>
          <w:ilvl w:val="0"/>
          <w:numId w:val="97"/>
        </w:numPr>
        <w:rPr>
          <w:rFonts w:ascii="Courier New" w:cs="Courier New" w:eastAsia="Courier New" w:hAnsi="Courier New"/>
          <w:sz w:val="13"/>
          <w:szCs w:val="13"/>
          <w:color w:val="auto"/>
        </w:rPr>
      </w:pPr>
      <w:r>
        <w:rPr>
          <w:rFonts w:ascii="Courier New" w:cs="Courier New" w:eastAsia="Courier New" w:hAnsi="Courier New"/>
          <w:sz w:val="13"/>
          <w:szCs w:val="13"/>
          <w:color w:val="auto"/>
        </w:rPr>
        <w:t>permit the Company to participate in any proceeding relating to such claim;</w:t>
      </w:r>
    </w:p>
    <w:p>
      <w:pPr>
        <w:spacing w:after="0" w:line="9" w:lineRule="exact"/>
        <w:rPr>
          <w:sz w:val="20"/>
          <w:szCs w:val="20"/>
          <w:color w:val="auto"/>
        </w:rPr>
      </w:pPr>
    </w:p>
    <w:p>
      <w:pPr>
        <w:ind w:left="378" w:right="4099"/>
        <w:spacing w:after="0" w:line="265" w:lineRule="auto"/>
        <w:rPr>
          <w:sz w:val="20"/>
          <w:szCs w:val="20"/>
          <w:color w:val="auto"/>
        </w:rPr>
      </w:pPr>
      <w:r>
        <w:rPr>
          <w:rFonts w:ascii="Courier New" w:cs="Courier New" w:eastAsia="Courier New" w:hAnsi="Courier New"/>
          <w:sz w:val="12"/>
          <w:szCs w:val="12"/>
          <w:color w:val="auto"/>
        </w:rPr>
        <w:t>provided, however, that the Company shall bear and pay directly all costs and expenses (including additional interest and penalties) incurred in connection with such contest and shall indemnify and hold the Employee harmless, on an after-tax basis, for any Excise Tax or income tax (including related interest and penalties) imposed as a result of such representation and payment of costs and expenses. Without limitation on the foregoing provisions of this Section 9(e),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Employee to pay the tax claimed and sue for a refund or contest the claim in any permissible manner, and the Employee agrees to prosecute such contest to a determination before any administrative tribunal, in a court of initial jurisdiction and in one or more appellate courts, as the Company shall determine; provided, however, that if the Company directs the Employee to pay such claim and sue for a refund, the Company shall advance the amount of such payment to the Employee, on an interest-free basis and shall indemnify and hold the Employee harmless, on an after-tax basis, from any Excise Tax or income tax (including related interest or penalties) imposed with respect to such advance or with respect to any imputed income with respect to such advance. The Company's control of the contest shall be limited to issues that may impact Gross-Up Payments or reduction in Payments under this Section 9, and the Employee shall be entitled to settle or contest, as the case may be, any other issue raised by the Internal Revenue Service or any other taxing authority.</w:t>
      </w:r>
    </w:p>
    <w:p>
      <w:pPr>
        <w:spacing w:after="0" w:line="226" w:lineRule="exact"/>
        <w:rPr>
          <w:sz w:val="20"/>
          <w:szCs w:val="20"/>
          <w:color w:val="auto"/>
        </w:rPr>
      </w:pPr>
    </w:p>
    <w:p>
      <w:pPr>
        <w:ind w:left="378" w:right="4179" w:hanging="378"/>
        <w:spacing w:after="0" w:line="251" w:lineRule="auto"/>
        <w:tabs>
          <w:tab w:leader="none" w:pos="378" w:val="left"/>
        </w:tabs>
        <w:numPr>
          <w:ilvl w:val="0"/>
          <w:numId w:val="98"/>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after the receipt by the Employee of an amount advanced by the Company pursuant to Section 9(e), the Employee becomes entitled to receive any refund with respect to such claim, the Employee shall (subject to the Company's complying with the requirements of Section 9(e)) promptly pay to the Company the amount of such refund (together with any interest paid or credited thereon after taxes applicable thereto). If, after the receipt by the Employee of an amount advanced by the Company pursuant to Section 9(e), a determination is made that the Employee shall not be entitled to any refund with respect to such claim and the Company does not notify the Employee in writing of its intent to contest such</w:t>
      </w:r>
    </w:p>
    <w:p>
      <w:pPr>
        <w:spacing w:after="0" w:line="222"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9857"/>
          </w:cols>
          <w:pgMar w:left="602" w:top="540" w:right="1440" w:bottom="1440" w:gutter="0" w:footer="0" w:header="0"/>
        </w:sectPr>
      </w:pPr>
    </w:p>
    <w:bookmarkStart w:id="157" w:name="page158"/>
    <w:bookmarkEnd w:id="157"/>
    <w:p>
      <w:pPr>
        <w:ind w:left="378" w:right="4179"/>
        <w:spacing w:after="0" w:line="296" w:lineRule="auto"/>
        <w:rPr>
          <w:sz w:val="20"/>
          <w:szCs w:val="20"/>
          <w:color w:val="auto"/>
        </w:rPr>
      </w:pPr>
      <w:r>
        <w:rPr>
          <w:rFonts w:ascii="Courier New" w:cs="Courier New" w:eastAsia="Courier New" w:hAnsi="Courier New"/>
          <w:sz w:val="13"/>
          <w:szCs w:val="13"/>
          <w:color w:val="auto"/>
        </w:rPr>
        <w:t>denial of refund prior to the expiration of thirty (30) days after such determination, then such advance shall be forgiven and shall not be required to be repaid.</w:t>
      </w:r>
    </w:p>
    <w:p>
      <w:pPr>
        <w:spacing w:after="0" w:line="45" w:lineRule="exact"/>
        <w:rPr>
          <w:sz w:val="20"/>
          <w:szCs w:val="20"/>
          <w:color w:val="auto"/>
        </w:rPr>
      </w:pPr>
    </w:p>
    <w:p>
      <w:pPr>
        <w:ind w:left="-382" w:right="4339" w:firstLine="382"/>
        <w:spacing w:after="0" w:line="307" w:lineRule="auto"/>
        <w:tabs>
          <w:tab w:leader="none" w:pos="308"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Non-Delegation of Employee's Rights. The obligations, rights and benefits of the Employee hereunder are personal and may not be delegated, assigned or transferred in any manner whatsoever, nor are such obligations, rights or benefits subject to involuntary alienation, assignment or transfer.</w:t>
      </w:r>
    </w:p>
    <w:p>
      <w:pPr>
        <w:spacing w:after="0" w:line="41" w:lineRule="exact"/>
        <w:rPr>
          <w:rFonts w:ascii="Courier New" w:cs="Courier New" w:eastAsia="Courier New" w:hAnsi="Courier New"/>
          <w:sz w:val="12"/>
          <w:szCs w:val="12"/>
          <w:color w:val="auto"/>
        </w:rPr>
      </w:pPr>
    </w:p>
    <w:p>
      <w:pPr>
        <w:ind w:left="-382" w:right="4099" w:firstLine="382"/>
        <w:spacing w:after="0" w:line="267" w:lineRule="auto"/>
        <w:tabs>
          <w:tab w:leader="none" w:pos="308"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Confidential Information. The Employee acknowledges that in his capacity as an employee of the Company he will occupy a position of trust and confidence and he further acknowledges that he will have access to and learn substantial information about the Company and its affiliates and their operations that is confidential or not generally known in the industry including, without limitation, information that relates to purchasing, sales, customers, marketing, and the Company's and its affiliates' financial positions and financing arrangements. The Employee agrees that all such information is proprietary or confidential, or constitutes trade secrets and is the sole property of the Company and/or its affiliates, as the case may be. The Employee will keep confidential, and will not reproduce, copy or disclose to any other person or firm, any such information or any documents or information relating to the Company's or its affiliates' methods, processes, customers, accounts, analyses, systems, charts, programs, procedures, correspondence or records, or any other documents used or owned by the Company or any of its affiliates, nor will the Employee advise, discuss with or in any way assist any other person, firm or entity in obtaining or learning about any of the items described in this Section 11. Accordingly, the Employee agrees that during the Employment Term and at all times thereafter he will not disclose, or permit or encourage anyone else to disclose, any such information, nor will he utilize any such information, either alone or with others, outside the scope of his duties and responsibilities with the Company and its affiliates.</w:t>
      </w:r>
    </w:p>
    <w:p>
      <w:pPr>
        <w:spacing w:after="0" w:line="215" w:lineRule="exact"/>
        <w:rPr>
          <w:rFonts w:ascii="Courier New" w:cs="Courier New" w:eastAsia="Courier New" w:hAnsi="Courier New"/>
          <w:sz w:val="12"/>
          <w:szCs w:val="12"/>
          <w:color w:val="auto"/>
        </w:rPr>
      </w:pPr>
    </w:p>
    <w:p>
      <w:pPr>
        <w:ind w:left="-382" w:right="4099" w:firstLine="382"/>
        <w:spacing w:after="0" w:line="247" w:lineRule="auto"/>
        <w:tabs>
          <w:tab w:leader="none" w:pos="308" w:val="left"/>
        </w:tabs>
        <w:numPr>
          <w:ilvl w:val="0"/>
          <w:numId w:val="99"/>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Non-Competition During Employment Term. The Employee agrees that, during the Employment Term, he will devote such business time, attention and energies reasonably necessary to the diligent and faithful performance of the services to the Company and its affiliates, and he will not engage in any way whatsoever, directly or indirectly, in any business that is a direct competitor with the Company's or its affiliates' principal business, nor solicit customers, suppliers or employees of the Company or affiliates on behalf of, or in any other manner work for or assist any business which is a direct competitor with the Company's or its affiliates' principal business. For purposes of clarification, Fidelity National Information Services, Inc. and its affiliates shall not be considered to be competitive with the Company and its affiliates, for purposes of Section 12 and Section 13 of this Agreement. In addition, during the Employment Term, the Employee will undertake no planning for or organization of any business activity competitive with the work he performs as an employee of the Company, and the Employee will not combine or conspire with any other employee of the Company or any other person for the purpose of organizing any such competitive business activity.</w:t>
      </w:r>
    </w:p>
    <w:p>
      <w:pPr>
        <w:spacing w:after="0" w:line="77" w:lineRule="exact"/>
        <w:rPr>
          <w:rFonts w:ascii="Courier New" w:cs="Courier New" w:eastAsia="Courier New" w:hAnsi="Courier New"/>
          <w:sz w:val="13"/>
          <w:szCs w:val="13"/>
          <w:color w:val="auto"/>
        </w:rPr>
      </w:pPr>
    </w:p>
    <w:p>
      <w:pPr>
        <w:ind w:left="-382" w:right="4179" w:firstLine="382"/>
        <w:spacing w:after="0" w:line="268" w:lineRule="auto"/>
        <w:tabs>
          <w:tab w:leader="none" w:pos="308" w:val="left"/>
        </w:tabs>
        <w:numPr>
          <w:ilvl w:val="0"/>
          <w:numId w:val="99"/>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Non-Competition After Employment Term. The parties acknowledge that as an executive officer of the Company the Employee will acquire substantial knowledge and information concerning the business of the Company and its affiliates as a result of his employment. The parties further acknowledge that the scope of business in which the Company</w:t>
      </w:r>
    </w:p>
    <w:p>
      <w:pPr>
        <w:spacing w:after="0" w:line="210"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11</w:t>
      </w:r>
    </w:p>
    <w:p>
      <w:pPr>
        <w:sectPr>
          <w:pgSz w:w="11900" w:h="16838" w:orient="portrait"/>
          <w:cols w:equalWidth="0" w:num="1">
            <w:col w:w="9857"/>
          </w:cols>
          <w:pgMar w:left="602" w:top="540" w:right="1440" w:bottom="1440" w:gutter="0" w:footer="0" w:header="0"/>
        </w:sectPr>
      </w:pPr>
    </w:p>
    <w:bookmarkStart w:id="158" w:name="page159"/>
    <w:bookmarkEnd w:id="158"/>
    <w:p>
      <w:pPr>
        <w:ind w:right="4099"/>
        <w:spacing w:after="0" w:line="247" w:lineRule="auto"/>
        <w:rPr>
          <w:sz w:val="20"/>
          <w:szCs w:val="20"/>
          <w:color w:val="auto"/>
        </w:rPr>
      </w:pPr>
      <w:r>
        <w:rPr>
          <w:rFonts w:ascii="Courier New" w:cs="Courier New" w:eastAsia="Courier New" w:hAnsi="Courier New"/>
          <w:sz w:val="13"/>
          <w:szCs w:val="13"/>
          <w:color w:val="auto"/>
        </w:rPr>
        <w:t>and its affiliates are engaged as of the Effective Date is national and very competitive and one in which few companies can successfully compete. Competition by an executive officer such as the Employee in that business after the Employment Term is terminated would severely injure the Company and its affiliates. Accordingly, for a period of one (1) year after the Employee's employment terminates for any reason whatsoever, except as otherwise stated herein below, the Employee agrees (a) not to become an employee, consultant, advisor, principal, partner or substantial shareholder of any firm or business that directly competes with the Company or its affiliates in their principal products and markets, and (b), on behalf of any such competitive firm or business, not to solicit any person or business that was at the time of such termination and remains a customer or prospective customer, a supplier or prospective supplier, or an employee of the Company or an affiliate. Notwithstanding any of the foregoing provisions to the contrary, the Employee shall not be subject to the restrictions set forth in this Section 13 under the following circumstances:</w:t>
      </w:r>
    </w:p>
    <w:p>
      <w:pPr>
        <w:spacing w:after="0" w:line="81" w:lineRule="exact"/>
        <w:rPr>
          <w:sz w:val="20"/>
          <w:szCs w:val="20"/>
          <w:color w:val="auto"/>
        </w:rPr>
      </w:pPr>
    </w:p>
    <w:p>
      <w:pPr>
        <w:ind w:left="760" w:right="4499" w:hanging="378"/>
        <w:spacing w:after="0" w:line="353" w:lineRule="auto"/>
        <w:tabs>
          <w:tab w:leader="none" w:pos="760" w:val="left"/>
        </w:tabs>
        <w:numPr>
          <w:ilvl w:val="0"/>
          <w:numId w:val="100"/>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Employee's employment is terminated by the Company without Cause;</w:t>
      </w:r>
    </w:p>
    <w:p>
      <w:pPr>
        <w:spacing w:after="0" w:line="9" w:lineRule="exact"/>
        <w:rPr>
          <w:rFonts w:ascii="Courier New" w:cs="Courier New" w:eastAsia="Courier New" w:hAnsi="Courier New"/>
          <w:sz w:val="13"/>
          <w:szCs w:val="13"/>
          <w:color w:val="auto"/>
        </w:rPr>
      </w:pPr>
    </w:p>
    <w:p>
      <w:pPr>
        <w:ind w:left="760" w:right="4799" w:hanging="378"/>
        <w:spacing w:after="0" w:line="353" w:lineRule="auto"/>
        <w:tabs>
          <w:tab w:leader="none" w:pos="760" w:val="left"/>
        </w:tabs>
        <w:numPr>
          <w:ilvl w:val="0"/>
          <w:numId w:val="100"/>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Employee's employment is terminated as a result of the Company's unwillingness to extend the Employment Term;</w:t>
      </w:r>
    </w:p>
    <w:p>
      <w:pPr>
        <w:spacing w:after="0" w:line="9" w:lineRule="exact"/>
        <w:rPr>
          <w:rFonts w:ascii="Courier New" w:cs="Courier New" w:eastAsia="Courier New" w:hAnsi="Courier New"/>
          <w:sz w:val="13"/>
          <w:szCs w:val="13"/>
          <w:color w:val="auto"/>
        </w:rPr>
      </w:pPr>
    </w:p>
    <w:p>
      <w:pPr>
        <w:ind w:left="760" w:hanging="378"/>
        <w:spacing w:after="0"/>
        <w:tabs>
          <w:tab w:leader="none" w:pos="760" w:val="left"/>
        </w:tabs>
        <w:numPr>
          <w:ilvl w:val="0"/>
          <w:numId w:val="100"/>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 terminates employment for Good Reason; or</w:t>
      </w:r>
    </w:p>
    <w:p>
      <w:pPr>
        <w:spacing w:after="0" w:line="147" w:lineRule="exact"/>
        <w:rPr>
          <w:rFonts w:ascii="Courier New" w:cs="Courier New" w:eastAsia="Courier New" w:hAnsi="Courier New"/>
          <w:sz w:val="13"/>
          <w:szCs w:val="13"/>
          <w:color w:val="auto"/>
        </w:rPr>
      </w:pPr>
    </w:p>
    <w:p>
      <w:pPr>
        <w:ind w:left="760" w:right="4339" w:hanging="378"/>
        <w:spacing w:after="0" w:line="296" w:lineRule="auto"/>
        <w:tabs>
          <w:tab w:leader="none" w:pos="760" w:val="left"/>
        </w:tabs>
        <w:numPr>
          <w:ilvl w:val="0"/>
          <w:numId w:val="100"/>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 terminates employment without Good Reason, any time during the one (1) year period immediately following a Change in Control.</w:t>
      </w:r>
    </w:p>
    <w:p>
      <w:pPr>
        <w:spacing w:after="0" w:line="45" w:lineRule="exact"/>
        <w:rPr>
          <w:sz w:val="20"/>
          <w:szCs w:val="20"/>
          <w:color w:val="auto"/>
        </w:rPr>
      </w:pPr>
    </w:p>
    <w:p>
      <w:pPr>
        <w:ind w:right="4099" w:firstLine="382"/>
        <w:spacing w:after="0" w:line="268" w:lineRule="auto"/>
        <w:tabs>
          <w:tab w:leader="none" w:pos="690" w:val="left"/>
        </w:tabs>
        <w:numPr>
          <w:ilvl w:val="0"/>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Return of Company Documents. Upon termination of the Employment Term, Employee shall return immediately to the Company all records and documents of or pertaining to the Company or its affiliates and shall not make or retain any copy or extract of any such record or document, and other property of the Company or its affiliates.</w:t>
      </w:r>
    </w:p>
    <w:p>
      <w:pPr>
        <w:spacing w:after="0" w:line="62" w:lineRule="exact"/>
        <w:rPr>
          <w:rFonts w:ascii="Courier New" w:cs="Courier New" w:eastAsia="Courier New" w:hAnsi="Courier New"/>
          <w:sz w:val="13"/>
          <w:szCs w:val="13"/>
          <w:color w:val="auto"/>
        </w:rPr>
      </w:pPr>
    </w:p>
    <w:p>
      <w:pPr>
        <w:ind w:right="4099" w:firstLine="382"/>
        <w:spacing w:after="0" w:line="252" w:lineRule="auto"/>
        <w:tabs>
          <w:tab w:leader="none" w:pos="690" w:val="left"/>
        </w:tabs>
        <w:numPr>
          <w:ilvl w:val="0"/>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Improvements and Inventions. Any and all improvements or inventions, which the Employee may make or participate in during the Employment Term, unless wholly unrelated to the business of the Company and its affiliates and produced not in the scope of Employee's employment hereunder, shall be the sole and exclusive property of the Company. The Employee will, whenever requested by the Company, execute and deliver any and all documents which the Company shall deem appropriate in order to apply for and obtain patents for improvements or inventions or in order to assign and convey to the Company the sole and exclusive right, title and interest in and to such improvements, inventions, patents or applications.</w:t>
      </w:r>
    </w:p>
    <w:p>
      <w:pPr>
        <w:spacing w:after="0" w:line="75" w:lineRule="exact"/>
        <w:rPr>
          <w:rFonts w:ascii="Courier New" w:cs="Courier New" w:eastAsia="Courier New" w:hAnsi="Courier New"/>
          <w:sz w:val="13"/>
          <w:szCs w:val="13"/>
          <w:color w:val="auto"/>
        </w:rPr>
      </w:pPr>
    </w:p>
    <w:p>
      <w:pPr>
        <w:ind w:right="4099" w:firstLine="382"/>
        <w:spacing w:after="0" w:line="274" w:lineRule="auto"/>
        <w:tabs>
          <w:tab w:leader="none" w:pos="690" w:val="left"/>
        </w:tabs>
        <w:numPr>
          <w:ilvl w:val="0"/>
          <w:numId w:val="1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Actions. The parties agree and acknowledge that the rights conveyed by this Agreement are of a unique and special nature and that the Company will not have an adequate remedy at law in the event of a failure by the Employee to abide by its terms and conditions nor will money damages adequately compensate for such injury. It is, therefore, agreed between and hereby acknowledged by the parties that, in the event of a breach by the Employee of any of his obligations contained in this Agreement, the Company shall have the right, among other rights, to damages sustained thereby and to obtain an injunction or decree of specific performance from any court of competent jurisdiction to restrain or compel the Employee to perform as agreed herein. The Employee hereby acknowledges that obligations under Sections 11, 13, 14, 15, 16,</w:t>
      </w:r>
    </w:p>
    <w:p>
      <w:pPr>
        <w:spacing w:after="0" w:line="210"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10239"/>
          </w:cols>
          <w:pgMar w:left="220" w:top="540" w:right="1440" w:bottom="1440" w:gutter="0" w:footer="0" w:header="0"/>
        </w:sectPr>
      </w:pPr>
    </w:p>
    <w:bookmarkStart w:id="159" w:name="page160"/>
    <w:bookmarkEnd w:id="159"/>
    <w:p>
      <w:pPr>
        <w:jc w:val="both"/>
        <w:ind w:right="4179"/>
        <w:spacing w:after="0" w:line="307" w:lineRule="auto"/>
        <w:rPr>
          <w:sz w:val="20"/>
          <w:szCs w:val="20"/>
          <w:color w:val="auto"/>
        </w:rPr>
      </w:pPr>
      <w:r>
        <w:rPr>
          <w:rFonts w:ascii="Courier New" w:cs="Courier New" w:eastAsia="Courier New" w:hAnsi="Courier New"/>
          <w:sz w:val="12"/>
          <w:szCs w:val="12"/>
          <w:color w:val="auto"/>
        </w:rPr>
        <w:t>17 and 18 shall survive the termination of his employment and he shall be bound by their terms at all times subsequent to the termination of his employment for the periods specified therein. Nothing herein contained shall in any way limit or exclude any other right granted by law or equity to the Company.</w:t>
      </w:r>
    </w:p>
    <w:p>
      <w:pPr>
        <w:spacing w:after="0" w:line="42" w:lineRule="exact"/>
        <w:rPr>
          <w:sz w:val="20"/>
          <w:szCs w:val="20"/>
          <w:color w:val="auto"/>
        </w:rPr>
      </w:pPr>
    </w:p>
    <w:p>
      <w:pPr>
        <w:ind w:right="4099" w:firstLine="382"/>
        <w:spacing w:after="0" w:line="259" w:lineRule="auto"/>
        <w:tabs>
          <w:tab w:leader="none" w:pos="690" w:val="left"/>
        </w:tabs>
        <w:numPr>
          <w:ilvl w:val="0"/>
          <w:numId w:val="102"/>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Release. Notwithstanding any provision herein to the contrary, the Company will require that, prior to payment of any amount or provision of any benefit under Section 8 or payment of any Gross-Up Payment pursuant to Section 9 of this Agreement (other than due to the Employee's death), the Employee shall have executed a complete release of the Company and its affiliates and related parties in such form as is reasonably required by the Company, and any waiting periods contained in such release shall have expired.</w:t>
      </w:r>
    </w:p>
    <w:p>
      <w:pPr>
        <w:spacing w:after="0" w:line="67" w:lineRule="exact"/>
        <w:rPr>
          <w:rFonts w:ascii="Courier New" w:cs="Courier New" w:eastAsia="Courier New" w:hAnsi="Courier New"/>
          <w:sz w:val="13"/>
          <w:szCs w:val="13"/>
          <w:color w:val="auto"/>
        </w:rPr>
      </w:pPr>
    </w:p>
    <w:p>
      <w:pPr>
        <w:ind w:right="4099" w:firstLine="382"/>
        <w:spacing w:after="0" w:line="284" w:lineRule="auto"/>
        <w:tabs>
          <w:tab w:leader="none" w:pos="690"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 Mitigation. The Company agrees that, if the Employee's employment hereunder is terminated during the Employment Term, the Employee is not required to seek other employment or to attempt in any way to reduce any amounts payable to the Employee by the Company hereunder. Further, the amount of any payment or benefit provided for hereunder (other than pursuant to Section 8(a)(v) hereof) shall not be reduced by any compensation earned by the Employee as the result of employment by another employer, by retirement benefits or otherwise.</w:t>
      </w:r>
    </w:p>
    <w:p>
      <w:pPr>
        <w:spacing w:after="0" w:line="53" w:lineRule="exact"/>
        <w:rPr>
          <w:rFonts w:ascii="Courier New" w:cs="Courier New" w:eastAsia="Courier New" w:hAnsi="Courier New"/>
          <w:sz w:val="12"/>
          <w:szCs w:val="12"/>
          <w:color w:val="auto"/>
        </w:rPr>
      </w:pPr>
    </w:p>
    <w:p>
      <w:pPr>
        <w:ind w:right="4339" w:firstLine="382"/>
        <w:spacing w:after="0" w:line="262" w:lineRule="auto"/>
        <w:tabs>
          <w:tab w:leader="none" w:pos="690" w:val="left"/>
        </w:tabs>
        <w:numPr>
          <w:ilvl w:val="0"/>
          <w:numId w:val="10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Entire Agreement and Amendment. This Agreement embodies the entire agreement and understanding of the parties hereto in respect of the subject matter of this Agreement, and supersedes and replaces all prior agreements, understandings and commitments with respect to such subject matter. This Agreement may be amended only by a written document signed by both parties to this Agreement.</w:t>
      </w:r>
    </w:p>
    <w:p>
      <w:pPr>
        <w:spacing w:after="0" w:line="67" w:lineRule="exact"/>
        <w:rPr>
          <w:rFonts w:ascii="Courier New" w:cs="Courier New" w:eastAsia="Courier New" w:hAnsi="Courier New"/>
          <w:sz w:val="13"/>
          <w:szCs w:val="13"/>
          <w:color w:val="auto"/>
        </w:rPr>
      </w:pPr>
    </w:p>
    <w:p>
      <w:pPr>
        <w:ind w:right="4099" w:firstLine="382"/>
        <w:spacing w:after="0" w:line="262" w:lineRule="auto"/>
        <w:tabs>
          <w:tab w:leader="none" w:pos="690" w:val="left"/>
        </w:tabs>
        <w:numPr>
          <w:ilvl w:val="0"/>
          <w:numId w:val="102"/>
        </w:numPr>
        <w:rPr>
          <w:rFonts w:ascii="Courier New" w:cs="Courier New" w:eastAsia="Courier New" w:hAnsi="Courier New"/>
          <w:sz w:val="13"/>
          <w:szCs w:val="13"/>
          <w:color w:val="auto"/>
        </w:rPr>
      </w:pPr>
      <w:r>
        <w:rPr>
          <w:rFonts w:ascii="Courier New" w:cs="Courier New" w:eastAsia="Courier New" w:hAnsi="Courier New"/>
          <w:sz w:val="13"/>
          <w:szCs w:val="13"/>
          <w:color w:val="auto"/>
        </w:rPr>
        <w:t>Governing Law. This Agreement shall be governed by, and construed in accordance with, the laws of the State of Florida, excluding any conflicts or choice of law rule or principle that might otherwise refer construction or interpretation of this Agreement to the substantive law of another jurisdiction. Any litigation pertaining to this Agreement shall be adjudicated in courts located in Duval County, Florida.</w:t>
      </w:r>
    </w:p>
    <w:p>
      <w:pPr>
        <w:spacing w:after="0" w:line="67" w:lineRule="exact"/>
        <w:rPr>
          <w:rFonts w:ascii="Courier New" w:cs="Courier New" w:eastAsia="Courier New" w:hAnsi="Courier New"/>
          <w:sz w:val="13"/>
          <w:szCs w:val="13"/>
          <w:color w:val="auto"/>
        </w:rPr>
      </w:pPr>
    </w:p>
    <w:p>
      <w:pPr>
        <w:ind w:right="4099" w:firstLine="382"/>
        <w:spacing w:after="0" w:line="252" w:lineRule="auto"/>
        <w:tabs>
          <w:tab w:leader="none" w:pos="690" w:val="left"/>
        </w:tabs>
        <w:numPr>
          <w:ilvl w:val="0"/>
          <w:numId w:val="102"/>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Successors. In addition to any obligations imposed by law upon any successor to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"Company" shall mean the Company as herein before defined and any such successor that expressly assumes this Agreement or otherwise becomes bound by all the terms and provisions of this Agreement by operation of law.</w:t>
      </w:r>
    </w:p>
    <w:p>
      <w:pPr>
        <w:spacing w:after="0" w:line="75" w:lineRule="exact"/>
        <w:rPr>
          <w:rFonts w:ascii="Courier New" w:cs="Courier New" w:eastAsia="Courier New" w:hAnsi="Courier New"/>
          <w:sz w:val="13"/>
          <w:szCs w:val="13"/>
          <w:color w:val="auto"/>
        </w:rPr>
      </w:pPr>
    </w:p>
    <w:p>
      <w:pPr>
        <w:ind w:right="4259" w:firstLine="382"/>
        <w:spacing w:after="0" w:line="296" w:lineRule="auto"/>
        <w:tabs>
          <w:tab w:leader="none" w:pos="690" w:val="left"/>
        </w:tabs>
        <w:numPr>
          <w:ilvl w:val="0"/>
          <w:numId w:val="10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Counterparts. This Agreement may be executed in counterparts, each of which shall be deemed an original, but all of which together shall constitute one and the same instrument.</w:t>
      </w:r>
    </w:p>
    <w:p>
      <w:pPr>
        <w:spacing w:after="0" w:line="44" w:lineRule="exact"/>
        <w:rPr>
          <w:rFonts w:ascii="Courier New" w:cs="Courier New" w:eastAsia="Courier New" w:hAnsi="Courier New"/>
          <w:sz w:val="13"/>
          <w:szCs w:val="13"/>
          <w:color w:val="auto"/>
        </w:rPr>
      </w:pPr>
    </w:p>
    <w:p>
      <w:pPr>
        <w:ind w:right="4499" w:firstLine="382"/>
        <w:spacing w:after="0" w:line="296" w:lineRule="auto"/>
        <w:tabs>
          <w:tab w:leader="none" w:pos="690" w:val="left"/>
        </w:tabs>
        <w:numPr>
          <w:ilvl w:val="0"/>
          <w:numId w:val="10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Attorneys' Fees. If any party finds it necessary to employ legal counsel or to bring an action at law or other proceedings against the other party to interpret or enforce any of</w:t>
      </w:r>
    </w:p>
    <w:p>
      <w:pPr>
        <w:spacing w:after="0" w:line="192"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13</w:t>
      </w:r>
    </w:p>
    <w:p>
      <w:pPr>
        <w:sectPr>
          <w:pgSz w:w="11900" w:h="16838" w:orient="portrait"/>
          <w:cols w:equalWidth="0" w:num="1">
            <w:col w:w="10239"/>
          </w:cols>
          <w:pgMar w:left="220" w:top="540" w:right="1440" w:bottom="1440" w:gutter="0" w:footer="0" w:header="0"/>
        </w:sectPr>
      </w:pPr>
    </w:p>
    <w:bookmarkStart w:id="160" w:name="page161"/>
    <w:bookmarkEnd w:id="160"/>
    <w:p>
      <w:pPr>
        <w:ind w:left="1" w:right="4099"/>
        <w:spacing w:after="0" w:line="273" w:lineRule="auto"/>
        <w:rPr>
          <w:sz w:val="20"/>
          <w:szCs w:val="20"/>
          <w:color w:val="auto"/>
        </w:rPr>
      </w:pPr>
      <w:r>
        <w:rPr>
          <w:rFonts w:ascii="Courier New" w:cs="Courier New" w:eastAsia="Courier New" w:hAnsi="Courier New"/>
          <w:sz w:val="12"/>
          <w:szCs w:val="12"/>
          <w:color w:val="auto"/>
        </w:rPr>
        <w:t>the terms hereof, the party prevailing in any such action or other proceeding shall be paid by the other party its reasonable legal fees, court costs, litigation expenses, all as determined by the court and not a jury; provided, however, that on or after a Change in Control, if any party finds it necessary to employ legal counsel or to bring an action at law or other proceedings against the other party to interpret or enforce any of the terms hereof, the Company shall pay (on an ongoing basis) to the Employee to the fullest extent permitted by law, all legal fees, court costs and litigation expenses reasonably incurred by the Employee or others on his behalf (such amounts collectively referred to as the "Reimbursed Amounts"); provided, further, that the Employee shall reimburse the Company for the Reimbursed Amounts if it is determined that a majority of the Employee's claims or defenses were frivolous or without merit.</w:t>
      </w:r>
    </w:p>
    <w:p>
      <w:pPr>
        <w:spacing w:after="0" w:line="61" w:lineRule="exact"/>
        <w:rPr>
          <w:sz w:val="20"/>
          <w:szCs w:val="20"/>
          <w:color w:val="auto"/>
        </w:rPr>
      </w:pPr>
    </w:p>
    <w:p>
      <w:pPr>
        <w:ind w:left="1" w:right="4099" w:firstLine="382"/>
        <w:spacing w:after="0" w:line="271" w:lineRule="auto"/>
        <w:tabs>
          <w:tab w:leader="none" w:pos="691" w:val="left"/>
        </w:tabs>
        <w:numPr>
          <w:ilvl w:val="1"/>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Severability.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the Employee in this Agreement shall each be construed as an agreement independent of any other provision in this Agreement, and the existence of any claim or cause of action of the Employee against the Company, whether predicated on this Agreement or otherwise, shall not constitute a defense to the enforcement by the Company of the covenants in this Agreement.</w:t>
      </w:r>
    </w:p>
    <w:p>
      <w:pPr>
        <w:spacing w:after="0" w:line="62" w:lineRule="exact"/>
        <w:rPr>
          <w:rFonts w:ascii="Courier New" w:cs="Courier New" w:eastAsia="Courier New" w:hAnsi="Courier New"/>
          <w:sz w:val="12"/>
          <w:szCs w:val="12"/>
          <w:color w:val="auto"/>
        </w:rPr>
      </w:pPr>
    </w:p>
    <w:p>
      <w:pPr>
        <w:ind w:left="1" w:right="4099" w:firstLine="382"/>
        <w:spacing w:after="0" w:line="281" w:lineRule="auto"/>
        <w:tabs>
          <w:tab w:leader="none" w:pos="691" w:val="left"/>
        </w:tabs>
        <w:numPr>
          <w:ilvl w:val="1"/>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Notices. Any notice, request, or instruction to be given hereunder shall be in writing and shall be deemed given when personally delivered or three</w:t>
      </w:r>
    </w:p>
    <w:p>
      <w:pPr>
        <w:jc w:val="both"/>
        <w:ind w:left="1" w:right="4099" w:hanging="1"/>
        <w:spacing w:after="0" w:line="277" w:lineRule="auto"/>
        <w:tabs>
          <w:tab w:leader="none" w:pos="308" w:val="left"/>
        </w:tabs>
        <w:numPr>
          <w:ilvl w:val="0"/>
          <w:numId w:val="10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days after being sent by United States Certified Mail, postage prepaid, with Return Receipt Requested, to the parties at their respective addresses set forth below:</w:t>
      </w:r>
    </w:p>
    <w:p>
      <w:pPr>
        <w:spacing w:after="0" w:line="56" w:lineRule="exact"/>
        <w:rPr>
          <w:sz w:val="20"/>
          <w:szCs w:val="20"/>
          <w:color w:val="auto"/>
        </w:rPr>
      </w:pPr>
    </w:p>
    <w:p>
      <w:pPr>
        <w:ind w:left="381"/>
        <w:spacing w:after="0"/>
        <w:rPr>
          <w:sz w:val="20"/>
          <w:szCs w:val="20"/>
          <w:color w:val="auto"/>
        </w:rPr>
      </w:pPr>
      <w:r>
        <w:rPr>
          <w:rFonts w:ascii="Courier New" w:cs="Courier New" w:eastAsia="Courier New" w:hAnsi="Courier New"/>
          <w:sz w:val="13"/>
          <w:szCs w:val="13"/>
          <w:color w:val="auto"/>
        </w:rPr>
        <w:t>To the Company:</w:t>
      </w:r>
    </w:p>
    <w:p>
      <w:pPr>
        <w:spacing w:after="0" w:line="148" w:lineRule="exact"/>
        <w:rPr>
          <w:sz w:val="20"/>
          <w:szCs w:val="20"/>
          <w:color w:val="auto"/>
        </w:rPr>
      </w:pPr>
    </w:p>
    <w:p>
      <w:pPr>
        <w:ind w:left="761"/>
        <w:spacing w:after="0"/>
        <w:rPr>
          <w:sz w:val="20"/>
          <w:szCs w:val="20"/>
          <w:color w:val="auto"/>
        </w:rPr>
      </w:pPr>
      <w:r>
        <w:rPr>
          <w:rFonts w:ascii="Courier New" w:cs="Courier New" w:eastAsia="Courier New" w:hAnsi="Courier New"/>
          <w:sz w:val="13"/>
          <w:szCs w:val="13"/>
          <w:color w:val="auto"/>
        </w:rPr>
        <w:t>Fidelity National Title Group, Inc.</w:t>
      </w:r>
    </w:p>
    <w:p>
      <w:pPr>
        <w:spacing w:after="0" w:line="24" w:lineRule="exact"/>
        <w:rPr>
          <w:sz w:val="20"/>
          <w:szCs w:val="20"/>
          <w:color w:val="auto"/>
        </w:rPr>
      </w:pPr>
    </w:p>
    <w:p>
      <w:pPr>
        <w:ind w:left="761"/>
        <w:spacing w:after="0"/>
        <w:rPr>
          <w:sz w:val="20"/>
          <w:szCs w:val="20"/>
          <w:color w:val="auto"/>
        </w:rPr>
      </w:pPr>
      <w:r>
        <w:rPr>
          <w:rFonts w:ascii="Courier New" w:cs="Courier New" w:eastAsia="Courier New" w:hAnsi="Courier New"/>
          <w:sz w:val="13"/>
          <w:szCs w:val="13"/>
          <w:color w:val="auto"/>
        </w:rPr>
        <w:t>601 Riverside Avenue</w:t>
      </w:r>
    </w:p>
    <w:p>
      <w:pPr>
        <w:ind w:left="761"/>
        <w:spacing w:after="0"/>
        <w:rPr>
          <w:sz w:val="20"/>
          <w:szCs w:val="20"/>
          <w:color w:val="auto"/>
        </w:rPr>
      </w:pPr>
      <w:r>
        <w:rPr>
          <w:rFonts w:ascii="Courier New" w:cs="Courier New" w:eastAsia="Courier New" w:hAnsi="Courier New"/>
          <w:sz w:val="13"/>
          <w:szCs w:val="13"/>
          <w:color w:val="auto"/>
        </w:rPr>
        <w:t>Jacksonville, FL 32204</w:t>
      </w:r>
    </w:p>
    <w:p>
      <w:pPr>
        <w:ind w:left="761"/>
        <w:spacing w:after="0"/>
        <w:rPr>
          <w:sz w:val="20"/>
          <w:szCs w:val="20"/>
          <w:color w:val="auto"/>
        </w:rPr>
      </w:pPr>
      <w:r>
        <w:rPr>
          <w:rFonts w:ascii="Courier New" w:cs="Courier New" w:eastAsia="Courier New" w:hAnsi="Courier New"/>
          <w:sz w:val="13"/>
          <w:szCs w:val="13"/>
          <w:color w:val="auto"/>
        </w:rPr>
        <w:t>Attention: General Counsel</w:t>
      </w:r>
    </w:p>
    <w:p>
      <w:pPr>
        <w:spacing w:after="0" w:line="124" w:lineRule="exact"/>
        <w:rPr>
          <w:sz w:val="20"/>
          <w:szCs w:val="20"/>
          <w:color w:val="auto"/>
        </w:rPr>
      </w:pPr>
    </w:p>
    <w:p>
      <w:pPr>
        <w:ind w:left="381"/>
        <w:spacing w:after="0"/>
        <w:rPr>
          <w:sz w:val="20"/>
          <w:szCs w:val="20"/>
          <w:color w:val="auto"/>
        </w:rPr>
      </w:pPr>
      <w:r>
        <w:rPr>
          <w:rFonts w:ascii="Courier New" w:cs="Courier New" w:eastAsia="Courier New" w:hAnsi="Courier New"/>
          <w:sz w:val="13"/>
          <w:szCs w:val="13"/>
          <w:color w:val="auto"/>
        </w:rPr>
        <w:t>To the Employee:</w:t>
      </w:r>
    </w:p>
    <w:p>
      <w:pPr>
        <w:spacing w:after="0" w:line="148" w:lineRule="exact"/>
        <w:rPr>
          <w:sz w:val="20"/>
          <w:szCs w:val="20"/>
          <w:color w:val="auto"/>
        </w:rPr>
      </w:pPr>
    </w:p>
    <w:p>
      <w:pPr>
        <w:ind w:left="761"/>
        <w:spacing w:after="0"/>
        <w:rPr>
          <w:sz w:val="20"/>
          <w:szCs w:val="20"/>
          <w:color w:val="auto"/>
        </w:rPr>
      </w:pPr>
      <w:r>
        <w:rPr>
          <w:rFonts w:ascii="Courier New" w:cs="Courier New" w:eastAsia="Courier New" w:hAnsi="Courier New"/>
          <w:sz w:val="13"/>
          <w:szCs w:val="13"/>
          <w:color w:val="auto"/>
        </w:rPr>
        <w:t>Brent B. Bickett</w:t>
      </w:r>
    </w:p>
    <w:p>
      <w:pPr>
        <w:spacing w:after="0" w:line="24" w:lineRule="exact"/>
        <w:rPr>
          <w:sz w:val="20"/>
          <w:szCs w:val="20"/>
          <w:color w:val="auto"/>
        </w:rPr>
      </w:pPr>
    </w:p>
    <w:p>
      <w:pPr>
        <w:ind w:left="761"/>
        <w:spacing w:after="0"/>
        <w:rPr>
          <w:sz w:val="20"/>
          <w:szCs w:val="20"/>
          <w:color w:val="auto"/>
        </w:rPr>
      </w:pPr>
      <w:r>
        <w:rPr>
          <w:rFonts w:ascii="Courier New" w:cs="Courier New" w:eastAsia="Courier New" w:hAnsi="Courier New"/>
          <w:sz w:val="13"/>
          <w:szCs w:val="13"/>
          <w:color w:val="auto"/>
        </w:rPr>
        <w:t>c/o Fidelity National Title Group, Inc.</w:t>
      </w:r>
    </w:p>
    <w:p>
      <w:pPr>
        <w:ind w:left="761"/>
        <w:spacing w:after="0"/>
        <w:rPr>
          <w:sz w:val="20"/>
          <w:szCs w:val="20"/>
          <w:color w:val="auto"/>
        </w:rPr>
      </w:pPr>
      <w:r>
        <w:rPr>
          <w:rFonts w:ascii="Courier New" w:cs="Courier New" w:eastAsia="Courier New" w:hAnsi="Courier New"/>
          <w:sz w:val="13"/>
          <w:szCs w:val="13"/>
          <w:color w:val="auto"/>
        </w:rPr>
        <w:t>601 Riverside Avenue</w:t>
      </w:r>
    </w:p>
    <w:p>
      <w:pPr>
        <w:ind w:left="761"/>
        <w:spacing w:after="0"/>
        <w:rPr>
          <w:sz w:val="20"/>
          <w:szCs w:val="20"/>
          <w:color w:val="auto"/>
        </w:rPr>
      </w:pPr>
      <w:r>
        <w:rPr>
          <w:rFonts w:ascii="Courier New" w:cs="Courier New" w:eastAsia="Courier New" w:hAnsi="Courier New"/>
          <w:sz w:val="13"/>
          <w:szCs w:val="13"/>
          <w:color w:val="auto"/>
        </w:rPr>
        <w:t>Jacksonville, FL 32204</w:t>
      </w:r>
    </w:p>
    <w:p>
      <w:pPr>
        <w:spacing w:after="0" w:line="124" w:lineRule="exact"/>
        <w:rPr>
          <w:sz w:val="20"/>
          <w:szCs w:val="20"/>
          <w:color w:val="auto"/>
        </w:rPr>
      </w:pPr>
    </w:p>
    <w:p>
      <w:pPr>
        <w:ind w:left="1" w:right="4419" w:firstLine="382"/>
        <w:spacing w:after="0" w:line="296" w:lineRule="auto"/>
        <w:tabs>
          <w:tab w:leader="none" w:pos="691" w:val="left"/>
        </w:tabs>
        <w:numPr>
          <w:ilvl w:val="0"/>
          <w:numId w:val="105"/>
        </w:numPr>
        <w:rPr>
          <w:rFonts w:ascii="Courier New" w:cs="Courier New" w:eastAsia="Courier New" w:hAnsi="Courier New"/>
          <w:sz w:val="13"/>
          <w:szCs w:val="13"/>
          <w:color w:val="auto"/>
        </w:rPr>
      </w:pPr>
      <w:r>
        <w:rPr>
          <w:rFonts w:ascii="Courier New" w:cs="Courier New" w:eastAsia="Courier New" w:hAnsi="Courier New"/>
          <w:sz w:val="13"/>
          <w:szCs w:val="13"/>
          <w:color w:val="auto"/>
        </w:rPr>
        <w:t>Waiver of Breach. The waiver by any party of any provisions of this Agreement shall not operate or be construed as a waiver of any prior or subsequent breach by the other party.</w:t>
      </w:r>
    </w:p>
    <w:p>
      <w:pPr>
        <w:spacing w:after="0" w:line="192" w:lineRule="exact"/>
        <w:rPr>
          <w:sz w:val="20"/>
          <w:szCs w:val="20"/>
          <w:color w:val="auto"/>
        </w:rPr>
      </w:pPr>
    </w:p>
    <w:p>
      <w:pPr>
        <w:ind w:left="2981"/>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10241"/>
          </w:cols>
          <w:pgMar w:left="219" w:top="540" w:right="1440" w:bottom="1440" w:gutter="0" w:footer="0" w:header="0"/>
        </w:sectPr>
      </w:pPr>
    </w:p>
    <w:bookmarkStart w:id="161" w:name="page162"/>
    <w:bookmarkEnd w:id="161"/>
    <w:p>
      <w:pPr>
        <w:ind w:right="4099" w:firstLine="382"/>
        <w:spacing w:after="0" w:line="331" w:lineRule="auto"/>
        <w:tabs>
          <w:tab w:leader="none" w:pos="690"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Tax Withholding. The Company or an affiliate may deduct from all compensation and benefits payable under this Agreement any taxes or withholdings the Company is required to deduct pursuant to state, federal or local laws.</w:t>
      </w:r>
    </w:p>
    <w:p>
      <w:pPr>
        <w:spacing w:after="0" w:line="27" w:lineRule="exact"/>
        <w:rPr>
          <w:rFonts w:ascii="Courier New" w:cs="Courier New" w:eastAsia="Courier New" w:hAnsi="Courier New"/>
          <w:sz w:val="12"/>
          <w:szCs w:val="12"/>
          <w:color w:val="auto"/>
        </w:rPr>
      </w:pPr>
    </w:p>
    <w:p>
      <w:pPr>
        <w:ind w:right="4099" w:firstLine="382"/>
        <w:spacing w:after="0" w:line="280" w:lineRule="auto"/>
        <w:tabs>
          <w:tab w:leader="none" w:pos="690"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Code Section 409A. To the extent applicable, it is intended that this Agreement and any payment made hereunder shall comply with the requirements of Section 409A of the Code, and any related regulations or other guidance promulgated with respect to such Section by the U.S. Department of the Treasury or the Internal Revenue Service ("Code Section 409A"). Any provision that would cause the Agreement or any payment hereof to fail to satisfy Code Section 409A shall have no force or effect until amended to comply with Code Section 409A, which amendment may be retroactive to the extent permitted by Code Section 409A.</w:t>
      </w:r>
    </w:p>
    <w:p>
      <w:pPr>
        <w:spacing w:after="0" w:line="58" w:lineRule="exact"/>
        <w:rPr>
          <w:sz w:val="20"/>
          <w:szCs w:val="20"/>
          <w:color w:val="auto"/>
        </w:rPr>
      </w:pPr>
    </w:p>
    <w:p>
      <w:pPr>
        <w:ind w:right="4099" w:firstLine="383"/>
        <w:spacing w:after="0" w:line="353" w:lineRule="auto"/>
        <w:rPr>
          <w:sz w:val="20"/>
          <w:szCs w:val="20"/>
          <w:color w:val="auto"/>
        </w:rPr>
      </w:pPr>
      <w:r>
        <w:rPr>
          <w:rFonts w:ascii="Courier New" w:cs="Courier New" w:eastAsia="Courier New" w:hAnsi="Courier New"/>
          <w:sz w:val="13"/>
          <w:szCs w:val="13"/>
          <w:color w:val="auto"/>
        </w:rPr>
        <w:t>IN WITNESS WHEREOF the parties have executed this Agreement to be effective as of the date first set forth above.</w:t>
      </w:r>
    </w:p>
    <w:p>
      <w:pPr>
        <w:spacing w:after="0" w:line="9"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FIDELITY NATIONAL TITLE GROUP, INC.</w:t>
      </w:r>
    </w:p>
    <w:p>
      <w:pPr>
        <w:spacing w:after="0" w:line="295"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By: /s/ Alan L. Stinson</w:t>
      </w:r>
    </w:p>
    <w:p>
      <w:pPr>
        <w:spacing w:after="0" w:line="24" w:lineRule="exact"/>
        <w:rPr>
          <w:sz w:val="20"/>
          <w:szCs w:val="20"/>
          <w:color w:val="auto"/>
        </w:rPr>
      </w:pPr>
    </w:p>
    <w:p>
      <w:pPr>
        <w:ind w:left="3380"/>
        <w:spacing w:after="0"/>
        <w:rPr>
          <w:sz w:val="20"/>
          <w:szCs w:val="20"/>
          <w:color w:val="auto"/>
        </w:rPr>
      </w:pPr>
      <w:r>
        <w:rPr>
          <w:rFonts w:ascii="Courier New" w:cs="Courier New" w:eastAsia="Courier New" w:hAnsi="Courier New"/>
          <w:sz w:val="12"/>
          <w:szCs w:val="12"/>
          <w:color w:val="auto"/>
        </w:rPr>
        <w:t>------------------------------------</w:t>
      </w:r>
    </w:p>
    <w:p>
      <w:pPr>
        <w:spacing w:after="0" w:line="12"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Its: Co-chief Operating Officer</w:t>
      </w:r>
    </w:p>
    <w:p>
      <w:pPr>
        <w:spacing w:after="0" w:line="271"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BRENT B. BICKETT</w:t>
      </w:r>
    </w:p>
    <w:p>
      <w:pPr>
        <w:spacing w:after="0" w:line="295"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/s/ Brent B. Bickett</w:t>
      </w: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2"/>
          <w:szCs w:val="12"/>
          <w:color w:val="auto"/>
        </w:rPr>
        <w:t>----------------------------------------</w:t>
      </w:r>
    </w:p>
    <w:p>
      <w:pPr>
        <w:spacing w:after="0" w:line="282"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15</w:t>
      </w:r>
    </w:p>
    <w:p>
      <w:pPr>
        <w:sectPr>
          <w:pgSz w:w="11900" w:h="16838" w:orient="portrait"/>
          <w:cols w:equalWidth="0" w:num="1">
            <w:col w:w="10239"/>
          </w:cols>
          <w:pgMar w:left="220" w:top="540" w:right="1440" w:bottom="1440" w:gutter="0" w:footer="0" w:header="0"/>
        </w:sectPr>
      </w:pPr>
    </w:p>
    <w:bookmarkStart w:id="162" w:name="page163"/>
    <w:bookmarkEnd w:id="162"/>
    <w:p>
      <w:pPr>
        <w:jc w:val="right"/>
        <w:ind w:right="4099"/>
        <w:spacing w:after="0"/>
        <w:rPr>
          <w:sz w:val="20"/>
          <w:szCs w:val="20"/>
          <w:color w:val="auto"/>
        </w:rPr>
      </w:pPr>
      <w:r>
        <w:rPr>
          <w:rFonts w:ascii="Courier New" w:cs="Courier New" w:eastAsia="Courier New" w:hAnsi="Courier New"/>
          <w:sz w:val="13"/>
          <w:szCs w:val="13"/>
          <w:color w:val="auto"/>
        </w:rPr>
        <w:t>EXHIBIT 10.11</w:t>
      </w:r>
    </w:p>
    <w:p>
      <w:pPr>
        <w:spacing w:after="0" w:line="295" w:lineRule="exact"/>
        <w:rPr>
          <w:sz w:val="20"/>
          <w:szCs w:val="20"/>
          <w:color w:val="auto"/>
        </w:rPr>
      </w:pPr>
    </w:p>
    <w:p>
      <w:pPr>
        <w:ind w:left="2300"/>
        <w:spacing w:after="0"/>
        <w:rPr>
          <w:sz w:val="20"/>
          <w:szCs w:val="20"/>
          <w:color w:val="auto"/>
        </w:rPr>
      </w:pPr>
      <w:r>
        <w:rPr>
          <w:rFonts w:ascii="Courier New" w:cs="Courier New" w:eastAsia="Courier New" w:hAnsi="Courier New"/>
          <w:sz w:val="13"/>
          <w:szCs w:val="13"/>
          <w:color w:val="auto"/>
        </w:rPr>
        <w:t>EMPLOYMENT AGREEMENT</w:t>
      </w:r>
    </w:p>
    <w:p>
      <w:pPr>
        <w:spacing w:after="0" w:line="148" w:lineRule="exact"/>
        <w:rPr>
          <w:sz w:val="20"/>
          <w:szCs w:val="20"/>
          <w:color w:val="auto"/>
        </w:rPr>
      </w:pPr>
    </w:p>
    <w:p>
      <w:pPr>
        <w:ind w:right="4099" w:firstLine="383"/>
        <w:spacing w:after="0" w:line="268" w:lineRule="auto"/>
        <w:rPr>
          <w:sz w:val="20"/>
          <w:szCs w:val="20"/>
          <w:color w:val="auto"/>
        </w:rPr>
      </w:pPr>
      <w:r>
        <w:rPr>
          <w:rFonts w:ascii="Courier New" w:cs="Courier New" w:eastAsia="Courier New" w:hAnsi="Courier New"/>
          <w:sz w:val="13"/>
          <w:szCs w:val="13"/>
          <w:color w:val="auto"/>
        </w:rPr>
        <w:t>THIS EMPLOYMENT AGREEMENT (the "Agreement") is effective as of October 24, 2006 (the "Effective Date"), by and between FIDELITY NATIONAL TITLE GROUP, INC., a Delaware corporation (the "Company"), and PETER T. SADOWSKI (the "Employee"). In consideration of the mutual covenants and agreements set forth herein, the parties agree as follows:</w:t>
      </w:r>
    </w:p>
    <w:p>
      <w:pPr>
        <w:spacing w:after="0" w:line="62" w:lineRule="exact"/>
        <w:rPr>
          <w:sz w:val="20"/>
          <w:szCs w:val="20"/>
          <w:color w:val="auto"/>
        </w:rPr>
      </w:pPr>
    </w:p>
    <w:p>
      <w:pPr>
        <w:ind w:right="4099" w:firstLine="382"/>
        <w:spacing w:after="0" w:line="284" w:lineRule="auto"/>
        <w:tabs>
          <w:tab w:leader="none" w:pos="613"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Employment and Duties. Subject to the terms and conditions of this Agreement, the Company employs the Employee to serve in an executive capacity as Executive Vice President and General Counsel. Employee accepts such employment and agrees to undertake and discharge the duties, functions and responsibilities commensurate with the aforesaid position and such other duties and responsibilities as may be prescribed from time to time by the Chief Executive Officer or the Board of Directors of the Company (the "Board").</w:t>
      </w:r>
    </w:p>
    <w:p>
      <w:pPr>
        <w:spacing w:after="0" w:line="53" w:lineRule="exact"/>
        <w:rPr>
          <w:rFonts w:ascii="Courier New" w:cs="Courier New" w:eastAsia="Courier New" w:hAnsi="Courier New"/>
          <w:sz w:val="12"/>
          <w:szCs w:val="12"/>
          <w:color w:val="auto"/>
        </w:rPr>
      </w:pPr>
    </w:p>
    <w:p>
      <w:pPr>
        <w:ind w:right="4099" w:firstLine="382"/>
        <w:spacing w:after="0" w:line="249" w:lineRule="auto"/>
        <w:tabs>
          <w:tab w:leader="none" w:pos="613" w:val="left"/>
        </w:tabs>
        <w:numPr>
          <w:ilvl w:val="0"/>
          <w:numId w:val="10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 The term of this Agreement shall commence on the Effective Date and shall continue for a period of three (3) years ending on the third anniversary of the Effective Date or, if later, ending on the last day of any extension made pursuant to the next sentence, subject to prior termination as set forth in Section 7 (such term, including any extensions pursuant to the next sentence, the "Employment Term"). The Employment Term shall be extended automatically for one (1) additional year on the first anniversary of the Effective Date and for an additional year each anniversary thereafter unless and until either party gives written notice to the other not to extend the Employment Term before such extension would be effectuated. Notwithstanding any termination of the Employment Term or the Employee's employment, the Employee and the Company agree that Sections 7 through 9 shall remain in effect until all parties' obligations and benefits are satisfied thereunder.</w:t>
      </w:r>
    </w:p>
    <w:p>
      <w:pPr>
        <w:spacing w:after="0" w:line="77" w:lineRule="exact"/>
        <w:rPr>
          <w:rFonts w:ascii="Courier New" w:cs="Courier New" w:eastAsia="Courier New" w:hAnsi="Courier New"/>
          <w:sz w:val="13"/>
          <w:szCs w:val="13"/>
          <w:color w:val="auto"/>
        </w:rPr>
      </w:pPr>
    </w:p>
    <w:p>
      <w:pPr>
        <w:ind w:right="4099" w:firstLine="382"/>
        <w:spacing w:after="0" w:line="256" w:lineRule="auto"/>
        <w:tabs>
          <w:tab w:leader="none" w:pos="613" w:val="left"/>
        </w:tabs>
        <w:numPr>
          <w:ilvl w:val="0"/>
          <w:numId w:val="107"/>
        </w:numPr>
        <w:rPr>
          <w:rFonts w:ascii="Courier New" w:cs="Courier New" w:eastAsia="Courier New" w:hAnsi="Courier New"/>
          <w:sz w:val="13"/>
          <w:szCs w:val="13"/>
          <w:color w:val="auto"/>
        </w:rPr>
      </w:pPr>
      <w:r>
        <w:rPr>
          <w:rFonts w:ascii="Courier New" w:cs="Courier New" w:eastAsia="Courier New" w:hAnsi="Courier New"/>
          <w:sz w:val="13"/>
          <w:szCs w:val="13"/>
          <w:color w:val="auto"/>
        </w:rPr>
        <w:t>Salary. During the Employment Term, the Company shall pay the Employee an annual base salary, before deducting all applicable withholdings, of $440,000 per year, payable at the time and in the manner dictated by the Company's standard payroll policies. Such minimum annual base salary may be periodically reviewed and increased at the discretion of the Compensation Committee of the Board (the "Committee") to reflect, among other matters, cost of living increases and performance results (such annual base salary, including any increases pursuant to this Section 3, the "Annual Base Salary").</w:t>
      </w:r>
    </w:p>
    <w:p>
      <w:pPr>
        <w:spacing w:after="0" w:line="70" w:lineRule="exact"/>
        <w:rPr>
          <w:rFonts w:ascii="Courier New" w:cs="Courier New" w:eastAsia="Courier New" w:hAnsi="Courier New"/>
          <w:sz w:val="13"/>
          <w:szCs w:val="13"/>
          <w:color w:val="auto"/>
        </w:rPr>
      </w:pPr>
    </w:p>
    <w:p>
      <w:pPr>
        <w:ind w:right="4259" w:firstLine="382"/>
        <w:spacing w:after="0" w:line="268" w:lineRule="auto"/>
        <w:tabs>
          <w:tab w:leader="none" w:pos="613" w:val="left"/>
        </w:tabs>
        <w:numPr>
          <w:ilvl w:val="0"/>
          <w:numId w:val="107"/>
        </w:numPr>
        <w:rPr>
          <w:rFonts w:ascii="Courier New" w:cs="Courier New" w:eastAsia="Courier New" w:hAnsi="Courier New"/>
          <w:sz w:val="13"/>
          <w:szCs w:val="13"/>
          <w:color w:val="auto"/>
        </w:rPr>
      </w:pPr>
      <w:r>
        <w:rPr>
          <w:rFonts w:ascii="Courier New" w:cs="Courier New" w:eastAsia="Courier New" w:hAnsi="Courier New"/>
          <w:sz w:val="13"/>
          <w:szCs w:val="13"/>
          <w:color w:val="auto"/>
        </w:rPr>
        <w:t>Other Compensation and Fringe Benefits. In addition to any executive bonus, pension, deferred compensation and long-term incentive plans which the Company or an affiliate of the Company may from time to time make available to the Employee, the Employee shall be entitled to the following during the Employment Term:</w:t>
      </w:r>
    </w:p>
    <w:p>
      <w:pPr>
        <w:spacing w:after="0" w:line="62" w:lineRule="exact"/>
        <w:rPr>
          <w:sz w:val="20"/>
          <w:szCs w:val="20"/>
          <w:color w:val="auto"/>
        </w:rPr>
      </w:pPr>
    </w:p>
    <w:p>
      <w:pPr>
        <w:ind w:left="760" w:right="4559" w:hanging="378"/>
        <w:spacing w:after="0" w:line="353" w:lineRule="auto"/>
        <w:tabs>
          <w:tab w:leader="none" w:pos="760" w:val="left"/>
        </w:tabs>
        <w:numPr>
          <w:ilvl w:val="0"/>
          <w:numId w:val="10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standard Company benefits enjoyed by the Company's other top executives as a group;</w:t>
      </w:r>
    </w:p>
    <w:p>
      <w:pPr>
        <w:spacing w:after="0" w:line="9" w:lineRule="exact"/>
        <w:rPr>
          <w:rFonts w:ascii="Courier New" w:cs="Courier New" w:eastAsia="Courier New" w:hAnsi="Courier New"/>
          <w:sz w:val="13"/>
          <w:szCs w:val="13"/>
          <w:color w:val="auto"/>
        </w:rPr>
      </w:pPr>
    </w:p>
    <w:p>
      <w:pPr>
        <w:ind w:left="760" w:right="4179" w:hanging="378"/>
        <w:spacing w:after="0" w:line="277" w:lineRule="auto"/>
        <w:tabs>
          <w:tab w:leader="none" w:pos="760" w:val="left"/>
        </w:tabs>
        <w:numPr>
          <w:ilvl w:val="0"/>
          <w:numId w:val="108"/>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payment by the Company of the Employee's initiation and membership dues in all social and/or recreational clubs as deemed necessary and appropriate by the Company to maintain various business relationships on behalf of the Company;</w:t>
      </w:r>
    </w:p>
    <w:p>
      <w:pPr>
        <w:sectPr>
          <w:pgSz w:w="11900" w:h="16838" w:orient="portrait"/>
          <w:cols w:equalWidth="0" w:num="1">
            <w:col w:w="10239"/>
          </w:cols>
          <w:pgMar w:left="220" w:top="265" w:right="1440" w:bottom="1440" w:gutter="0" w:footer="0" w:header="0"/>
        </w:sectPr>
      </w:pPr>
    </w:p>
    <w:bookmarkStart w:id="163" w:name="page164"/>
    <w:bookmarkEnd w:id="163"/>
    <w:p>
      <w:pPr>
        <w:ind w:left="378" w:right="4179"/>
        <w:spacing w:after="0" w:line="390" w:lineRule="auto"/>
        <w:rPr>
          <w:sz w:val="20"/>
          <w:szCs w:val="20"/>
          <w:color w:val="auto"/>
        </w:rPr>
      </w:pPr>
      <w:r>
        <w:rPr>
          <w:rFonts w:ascii="Courier New" w:cs="Courier New" w:eastAsia="Courier New" w:hAnsi="Courier New"/>
          <w:sz w:val="12"/>
          <w:szCs w:val="12"/>
          <w:color w:val="auto"/>
        </w:rPr>
        <w:t>provided, however, that the Company shall not be obligated to pay for any of the Employee's personal purchases and expenses at such clubs;</w:t>
      </w:r>
    </w:p>
    <w:p>
      <w:pPr>
        <w:spacing w:after="0" w:line="1" w:lineRule="exact"/>
        <w:rPr>
          <w:sz w:val="20"/>
          <w:szCs w:val="20"/>
          <w:color w:val="auto"/>
        </w:rPr>
      </w:pPr>
    </w:p>
    <w:p>
      <w:pPr>
        <w:ind w:left="378" w:right="4099" w:hanging="378"/>
        <w:spacing w:after="0" w:line="296" w:lineRule="auto"/>
        <w:tabs>
          <w:tab w:leader="none" w:pos="378" w:val="left"/>
        </w:tabs>
        <w:numPr>
          <w:ilvl w:val="0"/>
          <w:numId w:val="109"/>
        </w:numPr>
        <w:rPr>
          <w:rFonts w:ascii="Courier New" w:cs="Courier New" w:eastAsia="Courier New" w:hAnsi="Courier New"/>
          <w:sz w:val="13"/>
          <w:szCs w:val="13"/>
          <w:color w:val="auto"/>
        </w:rPr>
      </w:pPr>
      <w:r>
        <w:rPr>
          <w:rFonts w:ascii="Courier New" w:cs="Courier New" w:eastAsia="Courier New" w:hAnsi="Courier New"/>
          <w:sz w:val="13"/>
          <w:szCs w:val="13"/>
          <w:color w:val="auto"/>
        </w:rPr>
        <w:t>medical and other insurance coverage (for the Employee and any covered dependents) provided by the Company to its other top executives as a group;</w:t>
      </w:r>
    </w:p>
    <w:p>
      <w:pPr>
        <w:spacing w:after="0" w:line="44" w:lineRule="exact"/>
        <w:rPr>
          <w:rFonts w:ascii="Courier New" w:cs="Courier New" w:eastAsia="Courier New" w:hAnsi="Courier New"/>
          <w:sz w:val="13"/>
          <w:szCs w:val="13"/>
          <w:color w:val="auto"/>
        </w:rPr>
      </w:pPr>
    </w:p>
    <w:p>
      <w:pPr>
        <w:ind w:left="378" w:right="4179" w:hanging="378"/>
        <w:spacing w:after="0" w:line="353" w:lineRule="auto"/>
        <w:tabs>
          <w:tab w:leader="none" w:pos="378" w:val="left"/>
        </w:tabs>
        <w:numPr>
          <w:ilvl w:val="0"/>
          <w:numId w:val="109"/>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supplemental disability insurance sufficient to provide two-thirds of the Employee's pre-disability Annual Base Salary;</w:t>
      </w:r>
    </w:p>
    <w:p>
      <w:pPr>
        <w:spacing w:after="0" w:line="9" w:lineRule="exact"/>
        <w:rPr>
          <w:rFonts w:ascii="Courier New" w:cs="Courier New" w:eastAsia="Courier New" w:hAnsi="Courier New"/>
          <w:sz w:val="13"/>
          <w:szCs w:val="13"/>
          <w:color w:val="auto"/>
        </w:rPr>
      </w:pPr>
    </w:p>
    <w:p>
      <w:pPr>
        <w:ind w:left="378" w:right="4099" w:hanging="378"/>
        <w:spacing w:after="0" w:line="248" w:lineRule="auto"/>
        <w:tabs>
          <w:tab w:leader="none" w:pos="378" w:val="left"/>
        </w:tabs>
        <w:numPr>
          <w:ilvl w:val="0"/>
          <w:numId w:val="109"/>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 annual incentive bonus opportunity under the Company's annual incentive plan ("Annual Bonus Plan") for each calendar year included in the Employment Term, with such opportunity to be earned based upon attainment of performance objectives established by the Committee ("Annual Bonus"). The Employee's "bonus factor" or "bonus target" under the Annual Bonus Plan shall be not less than 150% of the Employee's Annual Base Salary. The Employee's "bonus factor" may be periodically reviewed and increased (but not decreased without the Employee's express written consent) at the discretion of the Committee. The Annual Bonus shall be paid no later than the March 15th first following the calendar year to which the Annual Bonus relates. Unless provided otherwise herein or the Board determines otherwise, no Annual Bonus shall be paid to the Employee unless the Employee is employed by the Company, or an affiliate thereof, on the Annual Bonus payment date; and</w:t>
      </w:r>
    </w:p>
    <w:p>
      <w:pPr>
        <w:spacing w:after="0" w:line="76" w:lineRule="exact"/>
        <w:rPr>
          <w:rFonts w:ascii="Courier New" w:cs="Courier New" w:eastAsia="Courier New" w:hAnsi="Courier New"/>
          <w:sz w:val="13"/>
          <w:szCs w:val="13"/>
          <w:color w:val="auto"/>
        </w:rPr>
      </w:pPr>
    </w:p>
    <w:p>
      <w:pPr>
        <w:ind w:left="378" w:hanging="378"/>
        <w:spacing w:after="0"/>
        <w:tabs>
          <w:tab w:leader="none" w:pos="378" w:val="left"/>
        </w:tabs>
        <w:numPr>
          <w:ilvl w:val="0"/>
          <w:numId w:val="109"/>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participation in the Company's equity incentive plans.</w:t>
      </w:r>
    </w:p>
    <w:p>
      <w:pPr>
        <w:spacing w:after="0" w:line="148" w:lineRule="exact"/>
        <w:rPr>
          <w:sz w:val="20"/>
          <w:szCs w:val="20"/>
          <w:color w:val="auto"/>
        </w:rPr>
      </w:pPr>
    </w:p>
    <w:p>
      <w:pPr>
        <w:ind w:left="-382" w:right="4179" w:firstLine="382"/>
        <w:spacing w:after="0" w:line="262" w:lineRule="auto"/>
        <w:tabs>
          <w:tab w:leader="none" w:pos="231" w:val="left"/>
        </w:tabs>
        <w:numPr>
          <w:ilvl w:val="0"/>
          <w:numId w:val="110"/>
        </w:numPr>
        <w:rPr>
          <w:rFonts w:ascii="Courier New" w:cs="Courier New" w:eastAsia="Courier New" w:hAnsi="Courier New"/>
          <w:sz w:val="13"/>
          <w:szCs w:val="13"/>
          <w:color w:val="auto"/>
        </w:rPr>
      </w:pPr>
      <w:r>
        <w:rPr>
          <w:rFonts w:ascii="Courier New" w:cs="Courier New" w:eastAsia="Courier New" w:hAnsi="Courier New"/>
          <w:sz w:val="13"/>
          <w:szCs w:val="13"/>
          <w:color w:val="auto"/>
        </w:rPr>
        <w:t>Vacation. For and during each calendar year within the Employment Term, the Employee shall be entitled to reasonable paid vacation periods consistent with his positions with the Company and in accordance with the Company's standard policies, or as the Board may approve. In addition, the Employee shall be entitled to such holidays consistent with the Company's standard policies or as the Board or the Committee may approve.</w:t>
      </w:r>
    </w:p>
    <w:p>
      <w:pPr>
        <w:spacing w:after="0" w:line="67" w:lineRule="exact"/>
        <w:rPr>
          <w:rFonts w:ascii="Courier New" w:cs="Courier New" w:eastAsia="Courier New" w:hAnsi="Courier New"/>
          <w:sz w:val="13"/>
          <w:szCs w:val="13"/>
          <w:color w:val="auto"/>
        </w:rPr>
      </w:pPr>
    </w:p>
    <w:p>
      <w:pPr>
        <w:ind w:left="-382" w:right="4259" w:firstLine="382"/>
        <w:spacing w:after="0" w:line="262" w:lineRule="auto"/>
        <w:tabs>
          <w:tab w:leader="none" w:pos="231" w:val="left"/>
        </w:tabs>
        <w:numPr>
          <w:ilvl w:val="0"/>
          <w:numId w:val="110"/>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Expense Reimbursement. In addition to the compensation and benefits provided herein, the Company shall, upon receipt of appropriate documentation, reimburse the Employee each month for his reasonable travel, lodging, entertainment, promotion and other ordinary and necessary business expenses to the extent such reimbursement is permitted under the Company's expense reimbursement policy.</w:t>
      </w:r>
    </w:p>
    <w:p>
      <w:pPr>
        <w:spacing w:after="0" w:line="67" w:lineRule="exact"/>
        <w:rPr>
          <w:rFonts w:ascii="Courier New" w:cs="Courier New" w:eastAsia="Courier New" w:hAnsi="Courier New"/>
          <w:sz w:val="13"/>
          <w:szCs w:val="13"/>
          <w:color w:val="auto"/>
        </w:rPr>
      </w:pPr>
    </w:p>
    <w:p>
      <w:pPr>
        <w:ind w:left="-382" w:right="4099" w:firstLine="382"/>
        <w:spacing w:after="0" w:line="268" w:lineRule="auto"/>
        <w:tabs>
          <w:tab w:leader="none" w:pos="231" w:val="left"/>
        </w:tabs>
        <w:numPr>
          <w:ilvl w:val="0"/>
          <w:numId w:val="11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of Employment. The Company or the Employee may terminate the Employee's employment at any time and for any reason in accordance with subsection 7(a) below. The Employment Term shall be deemed to have ended on the last day of the Employee's employment. The Employment Term shall terminate automatically upon the Employee's death.</w:t>
      </w:r>
    </w:p>
    <w:p>
      <w:pPr>
        <w:spacing w:after="0" w:line="62" w:lineRule="exact"/>
        <w:rPr>
          <w:sz w:val="20"/>
          <w:szCs w:val="20"/>
          <w:color w:val="auto"/>
        </w:rPr>
      </w:pPr>
    </w:p>
    <w:p>
      <w:pPr>
        <w:ind w:left="378" w:right="4099" w:hanging="378"/>
        <w:spacing w:after="0" w:line="259" w:lineRule="auto"/>
        <w:tabs>
          <w:tab w:leader="none" w:pos="378" w:val="left"/>
        </w:tabs>
        <w:numPr>
          <w:ilvl w:val="0"/>
          <w:numId w:val="111"/>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Notice of Termination. Any purported termination of the Employee's employment (other than by reason of death) shall be communicated by written Notice of Termination (as defined herein) from one party hereto to the other party hereto in accordance with the notice provisions contained in Section 25. For purposes of this Agreement, a "Notice of Termination" shall mean a notice that indicates the Date of Termination (as that term is defined in Section 7(b)) and,</w:t>
      </w:r>
    </w:p>
    <w:p>
      <w:pPr>
        <w:spacing w:after="0" w:line="214"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9857"/>
          </w:cols>
          <w:pgMar w:left="602" w:top="540" w:right="1440" w:bottom="1440" w:gutter="0" w:footer="0" w:header="0"/>
        </w:sectPr>
      </w:pPr>
    </w:p>
    <w:bookmarkStart w:id="164" w:name="page165"/>
    <w:bookmarkEnd w:id="164"/>
    <w:p>
      <w:pPr>
        <w:ind w:left="378" w:right="4099"/>
        <w:spacing w:after="0" w:line="254" w:lineRule="auto"/>
        <w:rPr>
          <w:sz w:val="20"/>
          <w:szCs w:val="20"/>
          <w:color w:val="auto"/>
        </w:rPr>
      </w:pPr>
      <w:r>
        <w:rPr>
          <w:rFonts w:ascii="Courier New" w:cs="Courier New" w:eastAsia="Courier New" w:hAnsi="Courier New"/>
          <w:sz w:val="13"/>
          <w:szCs w:val="13"/>
          <w:color w:val="auto"/>
        </w:rPr>
        <w:t>with respect to a termination due to Disability (as that term is defined in Section 7(e)), Cause (as that term is defined in Section 7(d)) or Good Reason (as that term is defined in Section 7(f)), sets forth in reasonable detail the facts and circumstances that are alleged to provide a basis for such termination. A Notice of Termination from the Company shall specify whether the termination is with or without Cause or due to the Employee's Disability. A Notice of Termination from the Employee shall specify whether the termination is with or without Good Reason or due to Disability.</w:t>
      </w:r>
    </w:p>
    <w:p>
      <w:pPr>
        <w:spacing w:after="0" w:line="72" w:lineRule="exact"/>
        <w:rPr>
          <w:sz w:val="20"/>
          <w:szCs w:val="20"/>
          <w:color w:val="auto"/>
        </w:rPr>
      </w:pPr>
    </w:p>
    <w:p>
      <w:pPr>
        <w:ind w:left="378" w:right="4179" w:hanging="378"/>
        <w:spacing w:after="0" w:line="262" w:lineRule="auto"/>
        <w:tabs>
          <w:tab w:leader="none" w:pos="378" w:val="left"/>
        </w:tabs>
        <w:numPr>
          <w:ilvl w:val="0"/>
          <w:numId w:val="11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Date of Termination. For purposes of this Agreement, "Date of Termination" shall mean the date specified in the Notice of Termination (but in no event shall such date be earlier than the 30th day following the date the Notice of Termination is given, unless expressly agreed to by the parties hereto) or the date of the Employee's death.</w:t>
      </w:r>
    </w:p>
    <w:p>
      <w:pPr>
        <w:spacing w:after="0" w:line="67" w:lineRule="exact"/>
        <w:rPr>
          <w:rFonts w:ascii="Courier New" w:cs="Courier New" w:eastAsia="Courier New" w:hAnsi="Courier New"/>
          <w:sz w:val="13"/>
          <w:szCs w:val="13"/>
          <w:color w:val="auto"/>
        </w:rPr>
      </w:pPr>
    </w:p>
    <w:p>
      <w:pPr>
        <w:ind w:left="378" w:right="4099" w:hanging="378"/>
        <w:spacing w:after="0" w:line="262" w:lineRule="auto"/>
        <w:tabs>
          <w:tab w:leader="none" w:pos="378" w:val="left"/>
        </w:tabs>
        <w:numPr>
          <w:ilvl w:val="0"/>
          <w:numId w:val="112"/>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Waiver.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67" w:lineRule="exact"/>
        <w:rPr>
          <w:rFonts w:ascii="Courier New" w:cs="Courier New" w:eastAsia="Courier New" w:hAnsi="Courier New"/>
          <w:sz w:val="13"/>
          <w:szCs w:val="13"/>
          <w:color w:val="auto"/>
        </w:rPr>
      </w:pPr>
    </w:p>
    <w:p>
      <w:pPr>
        <w:ind w:left="378" w:hanging="378"/>
        <w:spacing w:after="0"/>
        <w:tabs>
          <w:tab w:leader="none" w:pos="378" w:val="left"/>
        </w:tabs>
        <w:numPr>
          <w:ilvl w:val="0"/>
          <w:numId w:val="11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Cause. For purposes of this Agreement, "Cause" means the Employee's</w:t>
      </w:r>
    </w:p>
    <w:p>
      <w:pPr>
        <w:spacing w:after="0" w:line="24" w:lineRule="exact"/>
        <w:rPr>
          <w:rFonts w:ascii="Courier New" w:cs="Courier New" w:eastAsia="Courier New" w:hAnsi="Courier New"/>
          <w:sz w:val="13"/>
          <w:szCs w:val="13"/>
          <w:color w:val="auto"/>
        </w:rPr>
      </w:pPr>
    </w:p>
    <w:p>
      <w:pPr>
        <w:ind w:left="378" w:right="4099" w:firstLine="5"/>
        <w:spacing w:after="0" w:line="265" w:lineRule="auto"/>
        <w:tabs>
          <w:tab w:leader="none" w:pos="685" w:val="left"/>
        </w:tabs>
        <w:numPr>
          <w:ilvl w:val="1"/>
          <w:numId w:val="1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persistent failure to perform duties consistent with a commercially reasonable standard of care (other than due to a physical or mental impairment or due to an action or inaction directed by the Company that would otherwise constitute Good Reason); (ii) willful neglect of duties (other than due to a physical or mental impairment or due to an action or inaction directed by the Company that would otherwise constitute Good Reason); (iii) conviction of, or pleading nolo contendere to, criminal or other illegal activities involving dishonesty; (iv) material breach of this Agreement; or (v) impeding, or failing to materially cooperate with, an investigation authorized by the Board. The Employee's termination for Cause shall be effective when and if a resolution is duly adopted by an affirmative vote of at least 3/4 of the Board (less the Employee), stating that, in the good faith opinion of the Board, the Employee is guilty of the conduct described in the Notice of Termination and such conduct constitutes Cause under this Agreement; provided, however, that the Employee shall have been given reasonable opportunity (i) to cure any act or omission that constitutes Cause if capable of cure and (ii), together with counsel, during the thirty (30) day period following the receipt by the Employee of the Notice of Termination and prior to the adoption of the Board's resolution, to be heard by the Board.</w:t>
      </w:r>
    </w:p>
    <w:p>
      <w:pPr>
        <w:spacing w:after="0" w:line="217" w:lineRule="exact"/>
        <w:rPr>
          <w:rFonts w:ascii="Courier New" w:cs="Courier New" w:eastAsia="Courier New" w:hAnsi="Courier New"/>
          <w:sz w:val="12"/>
          <w:szCs w:val="12"/>
          <w:color w:val="auto"/>
        </w:rPr>
      </w:pPr>
    </w:p>
    <w:p>
      <w:pPr>
        <w:ind w:left="378" w:right="4099" w:hanging="378"/>
        <w:spacing w:after="0" w:line="307" w:lineRule="auto"/>
        <w:tabs>
          <w:tab w:leader="none" w:pos="378" w:val="left"/>
        </w:tabs>
        <w:numPr>
          <w:ilvl w:val="0"/>
          <w:numId w:val="1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Disability. For purposes of this Agreement, the Employee shall be deemed to have a "Disability" if the Employee is entitled to long-term disability benefits under the Company's long-term disability plan or policy, as the case may be, as in effect on the Date of Termination.</w:t>
      </w:r>
    </w:p>
    <w:p>
      <w:pPr>
        <w:spacing w:after="0" w:line="189"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9857"/>
          </w:cols>
          <w:pgMar w:left="602" w:top="540" w:right="1440" w:bottom="1440" w:gutter="0" w:footer="0" w:header="0"/>
        </w:sectPr>
      </w:pPr>
    </w:p>
    <w:bookmarkStart w:id="165" w:name="page166"/>
    <w:bookmarkEnd w:id="165"/>
    <w:p>
      <w:pPr>
        <w:ind w:left="760" w:right="4099" w:hanging="378"/>
        <w:spacing w:after="0" w:line="277" w:lineRule="auto"/>
        <w:tabs>
          <w:tab w:leader="none" w:pos="760" w:val="left"/>
        </w:tabs>
        <w:numPr>
          <w:ilvl w:val="0"/>
          <w:numId w:val="1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Good Reason. For purposes of this Agreement, the term "Good Reason" means the occurrence (without the Employee's express written consent) during the Employment Term of any of the following acts or failures to act by the Company:</w:t>
      </w:r>
    </w:p>
    <w:p>
      <w:pPr>
        <w:spacing w:after="0" w:line="57" w:lineRule="exact"/>
        <w:rPr>
          <w:rFonts w:ascii="Courier New" w:cs="Courier New" w:eastAsia="Courier New" w:hAnsi="Courier New"/>
          <w:sz w:val="13"/>
          <w:szCs w:val="13"/>
          <w:color w:val="auto"/>
        </w:rPr>
      </w:pPr>
    </w:p>
    <w:p>
      <w:pPr>
        <w:ind w:left="1140" w:right="4179" w:hanging="375"/>
        <w:spacing w:after="0" w:line="307" w:lineRule="auto"/>
        <w:tabs>
          <w:tab w:leader="none" w:pos="1140" w:val="left"/>
        </w:tabs>
        <w:numPr>
          <w:ilvl w:val="1"/>
          <w:numId w:val="1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 adverse change in the Employee's title, the assignment to the Employee of duties materially inconsistent with the Employee's position of Executive Vice President and General Counsel, or a substantial diminution in the Employee's authority;</w:t>
      </w:r>
    </w:p>
    <w:p>
      <w:pPr>
        <w:spacing w:after="0" w:line="41" w:lineRule="exact"/>
        <w:rPr>
          <w:rFonts w:ascii="Courier New" w:cs="Courier New" w:eastAsia="Courier New" w:hAnsi="Courier New"/>
          <w:sz w:val="12"/>
          <w:szCs w:val="12"/>
          <w:color w:val="auto"/>
        </w:rPr>
      </w:pPr>
    </w:p>
    <w:p>
      <w:pPr>
        <w:ind w:left="1140" w:right="4959" w:hanging="375"/>
        <w:spacing w:after="0" w:line="353" w:lineRule="auto"/>
        <w:tabs>
          <w:tab w:leader="none" w:pos="1140" w:val="left"/>
        </w:tabs>
        <w:numPr>
          <w:ilvl w:val="1"/>
          <w:numId w:val="1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material breach by the Company of any of its other obligations under this Agreement;</w:t>
      </w:r>
    </w:p>
    <w:p>
      <w:pPr>
        <w:spacing w:after="0" w:line="9" w:lineRule="exact"/>
        <w:rPr>
          <w:rFonts w:ascii="Courier New" w:cs="Courier New" w:eastAsia="Courier New" w:hAnsi="Courier New"/>
          <w:sz w:val="13"/>
          <w:szCs w:val="13"/>
          <w:color w:val="auto"/>
        </w:rPr>
      </w:pPr>
    </w:p>
    <w:p>
      <w:pPr>
        <w:ind w:left="1140" w:right="4499" w:hanging="375"/>
        <w:spacing w:after="0" w:line="296" w:lineRule="auto"/>
        <w:tabs>
          <w:tab w:leader="none" w:pos="1217" w:val="left"/>
        </w:tabs>
        <w:numPr>
          <w:ilvl w:val="1"/>
          <w:numId w:val="1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gives the Employee notice of its intent not to extend the Employment Term, any time during the one (1) year period immediately following a Change in Control;</w:t>
      </w:r>
    </w:p>
    <w:p>
      <w:pPr>
        <w:spacing w:after="0" w:line="44" w:lineRule="exact"/>
        <w:rPr>
          <w:rFonts w:ascii="Courier New" w:cs="Courier New" w:eastAsia="Courier New" w:hAnsi="Courier New"/>
          <w:sz w:val="13"/>
          <w:szCs w:val="13"/>
          <w:color w:val="auto"/>
        </w:rPr>
      </w:pPr>
    </w:p>
    <w:p>
      <w:pPr>
        <w:ind w:left="1140" w:right="4099" w:hanging="375"/>
        <w:spacing w:after="0" w:line="277" w:lineRule="auto"/>
        <w:tabs>
          <w:tab w:leader="none" w:pos="1140" w:val="left"/>
        </w:tabs>
        <w:numPr>
          <w:ilvl w:val="1"/>
          <w:numId w:val="1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following a Change in Control, the relocation of the Employee's primary place of employment to a location more than 50 miles from the Employee's primary place of employment immediately prior to the Change in Control; or</w:t>
      </w:r>
    </w:p>
    <w:p>
      <w:pPr>
        <w:spacing w:after="0" w:line="57" w:lineRule="exact"/>
        <w:rPr>
          <w:rFonts w:ascii="Courier New" w:cs="Courier New" w:eastAsia="Courier New" w:hAnsi="Courier New"/>
          <w:sz w:val="13"/>
          <w:szCs w:val="13"/>
          <w:color w:val="auto"/>
        </w:rPr>
      </w:pPr>
    </w:p>
    <w:p>
      <w:pPr>
        <w:ind w:left="1140" w:right="4559" w:hanging="375"/>
        <w:spacing w:after="0" w:line="353" w:lineRule="auto"/>
        <w:tabs>
          <w:tab w:leader="none" w:pos="1140" w:val="left"/>
        </w:tabs>
        <w:numPr>
          <w:ilvl w:val="1"/>
          <w:numId w:val="1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failure of the Company to obtain the assumption of this Agreement as contemplated in Section 21.</w:t>
      </w:r>
    </w:p>
    <w:p>
      <w:pPr>
        <w:spacing w:after="0" w:line="9" w:lineRule="exact"/>
        <w:rPr>
          <w:sz w:val="20"/>
          <w:szCs w:val="20"/>
          <w:color w:val="auto"/>
        </w:rPr>
      </w:pPr>
    </w:p>
    <w:p>
      <w:pPr>
        <w:ind w:right="4179"/>
        <w:spacing w:after="0" w:line="250" w:lineRule="auto"/>
        <w:rPr>
          <w:sz w:val="20"/>
          <w:szCs w:val="20"/>
          <w:color w:val="auto"/>
        </w:rPr>
      </w:pPr>
      <w:r>
        <w:rPr>
          <w:rFonts w:ascii="Courier New" w:cs="Courier New" w:eastAsia="Courier New" w:hAnsi="Courier New"/>
          <w:sz w:val="13"/>
          <w:szCs w:val="13"/>
          <w:color w:val="auto"/>
        </w:rPr>
        <w:t>Notwithstanding the foregoing, the Board placing the Employee on a paid leave for up to 60 days pending the determination of whether there is a basis to terminate the Employee for Cause, shall not constitute Good Reason. The Employee's continued employment shall not constitute consent to, or a waiver of rights with respect to, any act or failure to act constituting Good Reason hereunder; provided, however, that no such event described above shall constitute Good Reason unless the Employee has given a Notice of Termination to the Company specifying the condition or event relied upon for such termination within ninety (90) days from the Employee's actual knowledge of the occurrence of such event and, if capable of cure, the Company has failed to cure the condition or event constituting Good Reason within the thirty (30) day period following receipt of the Employee's Notice of Termination.</w:t>
      </w:r>
    </w:p>
    <w:p>
      <w:pPr>
        <w:spacing w:after="0" w:line="76" w:lineRule="exact"/>
        <w:rPr>
          <w:sz w:val="20"/>
          <w:szCs w:val="20"/>
          <w:color w:val="auto"/>
        </w:rPr>
      </w:pPr>
    </w:p>
    <w:p>
      <w:pPr>
        <w:ind w:left="760" w:hanging="378"/>
        <w:spacing w:after="0"/>
        <w:tabs>
          <w:tab w:leader="none" w:pos="760" w:val="left"/>
        </w:tabs>
        <w:numPr>
          <w:ilvl w:val="0"/>
          <w:numId w:val="114"/>
        </w:numPr>
        <w:rPr>
          <w:rFonts w:ascii="Courier New" w:cs="Courier New" w:eastAsia="Courier New" w:hAnsi="Courier New"/>
          <w:sz w:val="13"/>
          <w:szCs w:val="13"/>
          <w:color w:val="auto"/>
        </w:rPr>
      </w:pPr>
      <w:r>
        <w:rPr>
          <w:rFonts w:ascii="Courier New" w:cs="Courier New" w:eastAsia="Courier New" w:hAnsi="Courier New"/>
          <w:sz w:val="13"/>
          <w:szCs w:val="13"/>
          <w:color w:val="auto"/>
        </w:rPr>
        <w:t>Obligations of the Company upon Termination.</w:t>
      </w:r>
    </w:p>
    <w:p>
      <w:pPr>
        <w:spacing w:after="0" w:line="148" w:lineRule="exact"/>
        <w:rPr>
          <w:sz w:val="20"/>
          <w:szCs w:val="20"/>
          <w:color w:val="auto"/>
        </w:rPr>
      </w:pPr>
    </w:p>
    <w:p>
      <w:pPr>
        <w:ind w:left="760" w:right="4419" w:hanging="378"/>
        <w:spacing w:after="0" w:line="277" w:lineRule="auto"/>
        <w:tabs>
          <w:tab w:leader="none" w:pos="760" w:val="left"/>
        </w:tabs>
        <w:numPr>
          <w:ilvl w:val="0"/>
          <w:numId w:val="11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by the Company for other than Cause or Disability or Termination by the Employee for Good Reason. If the Employee's employment is terminated by the Company for any reason, other than Cause or Disability or by the Employee for Good Reason:</w:t>
      </w:r>
    </w:p>
    <w:p>
      <w:pPr>
        <w:spacing w:after="0" w:line="57" w:lineRule="exact"/>
        <w:rPr>
          <w:rFonts w:ascii="Courier New" w:cs="Courier New" w:eastAsia="Courier New" w:hAnsi="Courier New"/>
          <w:sz w:val="13"/>
          <w:szCs w:val="13"/>
          <w:color w:val="auto"/>
        </w:rPr>
      </w:pPr>
    </w:p>
    <w:p>
      <w:pPr>
        <w:ind w:left="1140" w:right="4179" w:hanging="375"/>
        <w:spacing w:after="0" w:line="259" w:lineRule="auto"/>
        <w:tabs>
          <w:tab w:leader="none" w:pos="1140" w:val="left"/>
        </w:tabs>
        <w:numPr>
          <w:ilvl w:val="1"/>
          <w:numId w:val="11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shall pay to the Employee, (A) within five (5) business days after the Date of Termination, any earned but unpaid Annual Base Salary and any expense reimbursement payments owed to the Employee, and (B) no later than March 15 of the year in which the Date of Termination occurs, any earned but unpaid Annual Bonus payments relating to the prior calendar year (the "Accrued Obligations");</w:t>
      </w:r>
    </w:p>
    <w:p>
      <w:pPr>
        <w:spacing w:after="0" w:line="214"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39"/>
          </w:cols>
          <w:pgMar w:left="220" w:top="540" w:right="1440" w:bottom="1440" w:gutter="0" w:footer="0" w:header="0"/>
        </w:sectPr>
      </w:pPr>
    </w:p>
    <w:bookmarkStart w:id="166" w:name="page167"/>
    <w:bookmarkEnd w:id="166"/>
    <w:p>
      <w:pPr>
        <w:ind w:left="375" w:right="4099" w:hanging="375"/>
        <w:spacing w:after="0" w:line="268" w:lineRule="auto"/>
        <w:tabs>
          <w:tab w:leader="none" w:pos="375" w:val="left"/>
        </w:tabs>
        <w:numPr>
          <w:ilvl w:val="0"/>
          <w:numId w:val="1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pay to the Employee, within thirty (30) business days after the Date of Termination, a prorated Annual Bonus based on (A) the target Annual Bonus opportunity in the year in which the Date of Termination occurs or the prior year if no target Annual Bonus opportunity has yet been determined and</w:t>
      </w:r>
    </w:p>
    <w:p>
      <w:pPr>
        <w:spacing w:after="0" w:line="2" w:lineRule="exact"/>
        <w:rPr>
          <w:rFonts w:ascii="Courier New" w:cs="Courier New" w:eastAsia="Courier New" w:hAnsi="Courier New"/>
          <w:sz w:val="12"/>
          <w:szCs w:val="12"/>
          <w:color w:val="auto"/>
        </w:rPr>
      </w:pPr>
    </w:p>
    <w:p>
      <w:pPr>
        <w:ind w:left="695" w:hanging="311"/>
        <w:spacing w:after="0"/>
        <w:tabs>
          <w:tab w:leader="none" w:pos="695" w:val="left"/>
        </w:tabs>
        <w:numPr>
          <w:ilvl w:val="1"/>
          <w:numId w:val="1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fraction of the year the Employee was employed;</w:t>
      </w:r>
    </w:p>
    <w:p>
      <w:pPr>
        <w:spacing w:after="0" w:line="123" w:lineRule="exact"/>
        <w:rPr>
          <w:rFonts w:ascii="Courier New" w:cs="Courier New" w:eastAsia="Courier New" w:hAnsi="Courier New"/>
          <w:sz w:val="13"/>
          <w:szCs w:val="13"/>
          <w:color w:val="auto"/>
        </w:rPr>
      </w:pPr>
    </w:p>
    <w:p>
      <w:pPr>
        <w:ind w:left="375" w:right="4099" w:hanging="375"/>
        <w:spacing w:after="0" w:line="252" w:lineRule="auto"/>
        <w:tabs>
          <w:tab w:leader="none" w:pos="451" w:val="left"/>
        </w:tabs>
        <w:numPr>
          <w:ilvl w:val="0"/>
          <w:numId w:val="1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shall pay to the Employee, within thirty (30) business days after the Date of Termination, a lump-sum payment equal to 200% of the sum of (x) the Employee's Annual Base Salary in effect immediately prior to the Date of Termination (disregarding any reduction in Annual Base Salary to which the Employee did not expressly consent in writing) and (y) the highest Annual Bonus paid to the Employee by the Company within the three (3) years preceding his termination of employment or, if higher, the target Annual Bonus opportunity in the year in which the Date of Termination occurs;</w:t>
      </w:r>
    </w:p>
    <w:p>
      <w:pPr>
        <w:spacing w:after="0" w:line="75" w:lineRule="exact"/>
        <w:rPr>
          <w:rFonts w:ascii="Courier New" w:cs="Courier New" w:eastAsia="Courier New" w:hAnsi="Courier New"/>
          <w:sz w:val="13"/>
          <w:szCs w:val="13"/>
          <w:color w:val="auto"/>
        </w:rPr>
      </w:pPr>
    </w:p>
    <w:p>
      <w:pPr>
        <w:ind w:left="375" w:right="4099" w:hanging="375"/>
        <w:spacing w:after="0" w:line="277" w:lineRule="auto"/>
        <w:tabs>
          <w:tab w:leader="none" w:pos="375" w:val="left"/>
        </w:tabs>
        <w:numPr>
          <w:ilvl w:val="0"/>
          <w:numId w:val="1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stock option, restricted stock and other equity-based incentive awards granted by the Company that were outstanding but not vested as of the Date of Termination shall become immediately vested and/or payable, as the case may be; and</w:t>
      </w:r>
    </w:p>
    <w:p>
      <w:pPr>
        <w:spacing w:after="0" w:line="57" w:lineRule="exact"/>
        <w:rPr>
          <w:rFonts w:ascii="Courier New" w:cs="Courier New" w:eastAsia="Courier New" w:hAnsi="Courier New"/>
          <w:sz w:val="13"/>
          <w:szCs w:val="13"/>
          <w:color w:val="auto"/>
        </w:rPr>
      </w:pPr>
    </w:p>
    <w:p>
      <w:pPr>
        <w:ind w:left="375" w:right="4099" w:hanging="375"/>
        <w:spacing w:after="0" w:line="265" w:lineRule="auto"/>
        <w:tabs>
          <w:tab w:leader="none" w:pos="375" w:val="left"/>
        </w:tabs>
        <w:numPr>
          <w:ilvl w:val="0"/>
          <w:numId w:val="1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a three (3) year period after the Date of Termination, the Company will provide or cause to be provided to the Employee (and any covered dependents), with life and health insurance benefits (but not disability insurance benefits) substantially similar to those the Employee and any covered dependents were receiving immediately prior to the Notice of Termination at the same level of benefits and at the same dollar cost to the Employee as is available to the Company's executive officers generally, provided that the Employee's continued receipt of such benefits is possible under the general terms and provisions of the applicable plans and programs, and provided further, that such benefits would not be taxable to the Employee or subject to Section 409A of the Internal Revenue Code of 1986, as amended (the "Code"). In the event that the Employee's participation in any such plan or program is prohibited, the Company shall, at its expense, arrange to provide the Employee with benefits substantially similar to those which the Employee would otherwise have been entitled to receive under such plans and programs from which his continued participation is prohibited. If the Company arranges to provide the Employee and covered dependents with life and health insurance benefits, those benefits will be reduced to the extent comparable benefits are received by, or made available to, the Employee (at no greater cost to the Employee) by another employer during the three (3) year period following the Employee's Date of Termination. The Employee must report to the Company any such benefits that he receives or that are made available. In lieu of the benefits described in this Section 8(a)(v), the Company, in its sole discretion, may elect to pay to the Employee a lump</w:t>
      </w:r>
    </w:p>
    <w:p>
      <w:pPr>
        <w:spacing w:after="0" w:line="371" w:lineRule="exact"/>
        <w:rPr>
          <w:sz w:val="20"/>
          <w:szCs w:val="20"/>
          <w:color w:val="auto"/>
        </w:rPr>
      </w:pPr>
    </w:p>
    <w:p>
      <w:pPr>
        <w:ind w:left="2215"/>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9474"/>
          </w:cols>
          <w:pgMar w:left="985" w:top="540" w:right="1440" w:bottom="1440" w:gutter="0" w:footer="0" w:header="0"/>
        </w:sectPr>
      </w:pPr>
    </w:p>
    <w:bookmarkStart w:id="167" w:name="page168"/>
    <w:bookmarkEnd w:id="167"/>
    <w:p>
      <w:pPr>
        <w:ind w:left="758" w:right="4099"/>
        <w:spacing w:after="0" w:line="268" w:lineRule="auto"/>
        <w:rPr>
          <w:sz w:val="20"/>
          <w:szCs w:val="20"/>
          <w:color w:val="auto"/>
        </w:rPr>
      </w:pPr>
      <w:r>
        <w:rPr>
          <w:rFonts w:ascii="Courier New" w:cs="Courier New" w:eastAsia="Courier New" w:hAnsi="Courier New"/>
          <w:sz w:val="13"/>
          <w:szCs w:val="13"/>
          <w:color w:val="auto"/>
        </w:rPr>
        <w:t>sum cash payment equal to the monthly premiums that would have been paid by the Company to provide such benefits to the Employee for each month such coverage is not provided under this Section 8(a)(v). Nothing in this Section 8(a)(v) will extend the COBRA continuation coverage period.</w:t>
      </w:r>
    </w:p>
    <w:p>
      <w:pPr>
        <w:spacing w:after="0" w:line="62" w:lineRule="exact"/>
        <w:rPr>
          <w:sz w:val="20"/>
          <w:szCs w:val="20"/>
          <w:color w:val="auto"/>
        </w:rPr>
      </w:pPr>
    </w:p>
    <w:p>
      <w:pPr>
        <w:ind w:left="378" w:right="4179" w:hanging="378"/>
        <w:spacing w:after="0" w:line="262" w:lineRule="auto"/>
        <w:tabs>
          <w:tab w:leader="none" w:pos="378" w:val="left"/>
        </w:tabs>
        <w:numPr>
          <w:ilvl w:val="0"/>
          <w:numId w:val="11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by the Company for Cause or by the Employee without Good Reason. If the Employee's employment is terminated (i) by the Company for Cause or (ii) by the Employee without Good Reason, the Company's only obligation under this Agreement shall be payment of any earned but unpaid Annual Base Salary and any expense reimbursement payments owed to the Employee.</w:t>
      </w:r>
    </w:p>
    <w:p>
      <w:pPr>
        <w:spacing w:after="0" w:line="67" w:lineRule="exact"/>
        <w:rPr>
          <w:rFonts w:ascii="Courier New" w:cs="Courier New" w:eastAsia="Courier New" w:hAnsi="Courier New"/>
          <w:sz w:val="13"/>
          <w:szCs w:val="13"/>
          <w:color w:val="auto"/>
        </w:rPr>
      </w:pPr>
    </w:p>
    <w:p>
      <w:pPr>
        <w:ind w:left="378" w:right="4099" w:hanging="378"/>
        <w:spacing w:after="0" w:line="278" w:lineRule="auto"/>
        <w:tabs>
          <w:tab w:leader="none" w:pos="37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Termination due to Death or Disability. If the Employee's employment is terminated due to death or Disability, the Company shall pay to the Employee (or to the Employee's estate or personal representative in the case of the Employee's death), within thirty (30) business days after the Date of Termination, (i) any Accrued Obligations and (ii) a prorated Annual Bonus based on (A) the target Annual Bonus opportunity in the year in which the Date of Termination occurs or the prior year if no target Annual Bonus opportunity has yet been determined and (B) the fraction of the year the Employee was employed.</w:t>
      </w:r>
    </w:p>
    <w:p>
      <w:pPr>
        <w:spacing w:after="0" w:line="57" w:lineRule="exact"/>
        <w:rPr>
          <w:rFonts w:ascii="Courier New" w:cs="Courier New" w:eastAsia="Courier New" w:hAnsi="Courier New"/>
          <w:sz w:val="12"/>
          <w:szCs w:val="12"/>
          <w:color w:val="auto"/>
        </w:rPr>
      </w:pPr>
    </w:p>
    <w:p>
      <w:pPr>
        <w:jc w:val="both"/>
        <w:ind w:left="378" w:right="4259" w:hanging="378"/>
        <w:spacing w:after="0" w:line="331" w:lineRule="auto"/>
        <w:tabs>
          <w:tab w:leader="none" w:pos="37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Definition of Change in Control. For purposes of this Agreement, the term "Change in Control" shall mean that the conditions set forth in any one of the following subsections shall have been satisfied:</w:t>
      </w:r>
    </w:p>
    <w:p>
      <w:pPr>
        <w:spacing w:after="0" w:line="27" w:lineRule="exact"/>
        <w:rPr>
          <w:rFonts w:ascii="Courier New" w:cs="Courier New" w:eastAsia="Courier New" w:hAnsi="Courier New"/>
          <w:sz w:val="12"/>
          <w:szCs w:val="12"/>
          <w:color w:val="auto"/>
        </w:rPr>
      </w:pPr>
    </w:p>
    <w:p>
      <w:pPr>
        <w:ind w:left="758" w:right="4099" w:hanging="375"/>
        <w:spacing w:after="0" w:line="256" w:lineRule="auto"/>
        <w:tabs>
          <w:tab w:leader="none" w:pos="758" w:val="left"/>
        </w:tabs>
        <w:numPr>
          <w:ilvl w:val="1"/>
          <w:numId w:val="11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acquisition, directly or indirectly, by any "person" (within the meaning of Section 3(a)(9) of the Securities and Exchange Act of 1934, as amended (the "Exchange Act") and used in Sections 13(d) and 14(d) thereof) of "beneficial ownership" (within the meaning of Rule 13d-3 of the Exchange Act) of securities of the Company possessing more than fifty percent (50%) of the total combined voting power of all outstanding securities of the Company;</w:t>
      </w:r>
    </w:p>
    <w:p>
      <w:pPr>
        <w:spacing w:after="0" w:line="70" w:lineRule="exact"/>
        <w:rPr>
          <w:rFonts w:ascii="Courier New" w:cs="Courier New" w:eastAsia="Courier New" w:hAnsi="Courier New"/>
          <w:sz w:val="13"/>
          <w:szCs w:val="13"/>
          <w:color w:val="auto"/>
        </w:rPr>
      </w:pPr>
    </w:p>
    <w:p>
      <w:pPr>
        <w:ind w:left="758" w:right="4099" w:hanging="375"/>
        <w:spacing w:after="0" w:line="284" w:lineRule="auto"/>
        <w:tabs>
          <w:tab w:leader="none" w:pos="758" w:val="left"/>
        </w:tabs>
        <w:numPr>
          <w:ilvl w:val="1"/>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merger or consolidation in which the Company is not the surviving entity, except for a transaction in which the holders of the outstanding voting securities of the Company immediately prior to such merger or consolidation hold, in the aggregate, securities possessing more than fifty percent (50%) of the total combined voting power of all outstanding voting securities of the surviving entity immediately after such merger or consolidation;</w:t>
      </w:r>
    </w:p>
    <w:p>
      <w:pPr>
        <w:spacing w:after="0" w:line="53" w:lineRule="exact"/>
        <w:rPr>
          <w:rFonts w:ascii="Courier New" w:cs="Courier New" w:eastAsia="Courier New" w:hAnsi="Courier New"/>
          <w:sz w:val="12"/>
          <w:szCs w:val="12"/>
          <w:color w:val="auto"/>
        </w:rPr>
      </w:pPr>
    </w:p>
    <w:p>
      <w:pPr>
        <w:ind w:left="758" w:right="4179" w:hanging="375"/>
        <w:spacing w:after="0" w:line="268" w:lineRule="auto"/>
        <w:tabs>
          <w:tab w:leader="none" w:pos="835" w:val="left"/>
        </w:tabs>
        <w:numPr>
          <w:ilvl w:val="1"/>
          <w:numId w:val="117"/>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reverse merger in which the Company is the surviving entity but in which securities possessing more than fifty percent (50%) of the total combined voting power of all outstanding voting securities of the Company are transferred to or acquired by a person or persons different</w:t>
      </w:r>
    </w:p>
    <w:p>
      <w:pPr>
        <w:spacing w:after="0" w:line="210"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9857"/>
          </w:cols>
          <w:pgMar w:left="602" w:top="540" w:right="1440" w:bottom="1440" w:gutter="0" w:footer="0" w:header="0"/>
        </w:sectPr>
      </w:pPr>
    </w:p>
    <w:bookmarkStart w:id="168" w:name="page169"/>
    <w:bookmarkEnd w:id="168"/>
    <w:p>
      <w:pPr>
        <w:ind w:left="1140"/>
        <w:spacing w:after="0"/>
        <w:rPr>
          <w:sz w:val="20"/>
          <w:szCs w:val="20"/>
          <w:color w:val="auto"/>
        </w:rPr>
      </w:pPr>
      <w:r>
        <w:rPr>
          <w:rFonts w:ascii="Courier New" w:cs="Courier New" w:eastAsia="Courier New" w:hAnsi="Courier New"/>
          <w:sz w:val="13"/>
          <w:szCs w:val="13"/>
          <w:color w:val="auto"/>
        </w:rPr>
        <w:t>from the persons holding those securities immediately prior to</w:t>
      </w:r>
    </w:p>
    <w:p>
      <w:pPr>
        <w:spacing w:after="0" w:line="24" w:lineRule="exact"/>
        <w:rPr>
          <w:sz w:val="20"/>
          <w:szCs w:val="20"/>
          <w:color w:val="auto"/>
        </w:rPr>
      </w:pPr>
    </w:p>
    <w:p>
      <w:pPr>
        <w:ind w:left="1140"/>
        <w:spacing w:after="0"/>
        <w:rPr>
          <w:sz w:val="20"/>
          <w:szCs w:val="20"/>
          <w:color w:val="auto"/>
        </w:rPr>
      </w:pPr>
      <w:r>
        <w:rPr>
          <w:rFonts w:ascii="Courier New" w:cs="Courier New" w:eastAsia="Courier New" w:hAnsi="Courier New"/>
          <w:sz w:val="13"/>
          <w:szCs w:val="13"/>
          <w:color w:val="auto"/>
        </w:rPr>
        <w:t>such merger;</w:t>
      </w:r>
    </w:p>
    <w:p>
      <w:pPr>
        <w:spacing w:after="0" w:line="124" w:lineRule="exact"/>
        <w:rPr>
          <w:sz w:val="20"/>
          <w:szCs w:val="20"/>
          <w:color w:val="auto"/>
        </w:rPr>
      </w:pPr>
    </w:p>
    <w:p>
      <w:pPr>
        <w:ind w:left="1140" w:right="4099" w:hanging="375"/>
        <w:spacing w:after="0" w:line="256" w:lineRule="auto"/>
        <w:tabs>
          <w:tab w:leader="none" w:pos="1140" w:val="left"/>
        </w:tabs>
        <w:numPr>
          <w:ilvl w:val="0"/>
          <w:numId w:val="118"/>
        </w:numPr>
        <w:rPr>
          <w:rFonts w:ascii="Courier New" w:cs="Courier New" w:eastAsia="Courier New" w:hAnsi="Courier New"/>
          <w:sz w:val="13"/>
          <w:szCs w:val="13"/>
          <w:color w:val="auto"/>
        </w:rPr>
      </w:pPr>
      <w:r>
        <w:rPr>
          <w:rFonts w:ascii="Courier New" w:cs="Courier New" w:eastAsia="Courier New" w:hAnsi="Courier New"/>
          <w:sz w:val="13"/>
          <w:szCs w:val="13"/>
          <w:color w:val="auto"/>
        </w:rPr>
        <w:t>during any period of two (2) consecutive years during the Employment Term or any extensions thereof, individuals, who, at the beginning of such period, constitute the Board, cease for any reason to constitute at least a majority thereof, unless the election of each director who was not a director at the beginning of such period has been approved in advance by directors representing at least two-thirds of the directors then in office who were directors at the beginning of the period;</w:t>
      </w:r>
    </w:p>
    <w:p>
      <w:pPr>
        <w:spacing w:after="0" w:line="70" w:lineRule="exact"/>
        <w:rPr>
          <w:rFonts w:ascii="Courier New" w:cs="Courier New" w:eastAsia="Courier New" w:hAnsi="Courier New"/>
          <w:sz w:val="13"/>
          <w:szCs w:val="13"/>
          <w:color w:val="auto"/>
        </w:rPr>
      </w:pPr>
    </w:p>
    <w:p>
      <w:pPr>
        <w:ind w:left="1140" w:right="4099" w:hanging="375"/>
        <w:spacing w:after="0" w:line="248" w:lineRule="auto"/>
        <w:tabs>
          <w:tab w:leader="none" w:pos="1140" w:val="left"/>
        </w:tabs>
        <w:numPr>
          <w:ilvl w:val="0"/>
          <w:numId w:val="11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sale, transfer or other disposition (in one transaction or a series of related transactions) of assets of the Company that have a total fair market value equal to or more than one-third of the total fair market value of all of the assets of the Company immediately prior to such sale, transfer or other disposition, other than a sale, transfer or other disposition to an entity (x) which immediately following such sale, transfer or other disposition owns, directly or indirectly, at least 50% of the Company's outstanding voting securities or (y) 50% or more of whose outstanding voting securities is immediately following such sale, transfer or other disposition owned, directly or indirectly, by the Company. For purposes of the foregoing clause, the sale of stock of a subsidiary of the Company (or the assets of such subsidiary) shall be treated as a sale of assets of the Company; or</w:t>
      </w:r>
    </w:p>
    <w:p>
      <w:pPr>
        <w:spacing w:after="0" w:line="76" w:lineRule="exact"/>
        <w:rPr>
          <w:rFonts w:ascii="Courier New" w:cs="Courier New" w:eastAsia="Courier New" w:hAnsi="Courier New"/>
          <w:sz w:val="13"/>
          <w:szCs w:val="13"/>
          <w:color w:val="auto"/>
        </w:rPr>
      </w:pPr>
    </w:p>
    <w:p>
      <w:pPr>
        <w:ind w:left="1140" w:right="4339" w:hanging="375"/>
        <w:spacing w:after="0" w:line="353" w:lineRule="auto"/>
        <w:tabs>
          <w:tab w:leader="none" w:pos="1140" w:val="left"/>
        </w:tabs>
        <w:numPr>
          <w:ilvl w:val="0"/>
          <w:numId w:val="11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approval by the stockholders of a plan or proposal for the liquidation or dissolution of the Company.</w:t>
      </w:r>
    </w:p>
    <w:p>
      <w:pPr>
        <w:spacing w:after="0" w:line="9" w:lineRule="exact"/>
        <w:rPr>
          <w:sz w:val="20"/>
          <w:szCs w:val="20"/>
          <w:color w:val="auto"/>
        </w:rPr>
      </w:pPr>
    </w:p>
    <w:p>
      <w:pPr>
        <w:ind w:right="4099"/>
        <w:spacing w:after="0" w:line="249" w:lineRule="auto"/>
        <w:rPr>
          <w:sz w:val="20"/>
          <w:szCs w:val="20"/>
          <w:color w:val="auto"/>
        </w:rPr>
      </w:pPr>
      <w:r>
        <w:rPr>
          <w:rFonts w:ascii="Courier New" w:cs="Courier New" w:eastAsia="Courier New" w:hAnsi="Courier New"/>
          <w:sz w:val="13"/>
          <w:szCs w:val="13"/>
          <w:color w:val="auto"/>
        </w:rPr>
        <w:t>For purposes of this Agreement, no event or transaction which is entered into, is contemplated by, or occurs as a result of the Agreement and Plan of Merger dated as of June 25, 2006 by and between Fidelity National Information Services, Inc. and Fidelity National Financial, Inc. or the Securities Exchange and Distribution Agreement, dated as of June 25, 2006 by and between Fidelity National Financial, Inc. and Fidelity National Title Group, Inc. shall constitute a Change in Control. In addition, no event or transaction which results in the merger or other combination of the Company or any affiliate thereof with Fidelity National Information Services, Inc. or any affiliate thereof in which the combined shareholders of both entities before such transaction own at least 80% in the aggregate of the voting power of the stock of the combined or merged company immediately after such event or transaction shall constitute a Change in Control.</w:t>
      </w:r>
    </w:p>
    <w:p>
      <w:pPr>
        <w:spacing w:after="0" w:line="78" w:lineRule="exact"/>
        <w:rPr>
          <w:sz w:val="20"/>
          <w:szCs w:val="20"/>
          <w:color w:val="auto"/>
        </w:rPr>
      </w:pPr>
    </w:p>
    <w:p>
      <w:pPr>
        <w:ind w:left="760" w:hanging="378"/>
        <w:spacing w:after="0"/>
        <w:tabs>
          <w:tab w:leader="none" w:pos="760" w:val="left"/>
        </w:tabs>
        <w:numPr>
          <w:ilvl w:val="0"/>
          <w:numId w:val="1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Excise Tax Gross-up Payments.</w:t>
      </w:r>
    </w:p>
    <w:p>
      <w:pPr>
        <w:spacing w:after="0" w:line="148" w:lineRule="exact"/>
        <w:rPr>
          <w:sz w:val="20"/>
          <w:szCs w:val="20"/>
          <w:color w:val="auto"/>
        </w:rPr>
      </w:pPr>
    </w:p>
    <w:p>
      <w:pPr>
        <w:ind w:left="760" w:right="4099" w:hanging="378"/>
        <w:spacing w:after="0" w:line="254" w:lineRule="auto"/>
        <w:tabs>
          <w:tab w:leader="none" w:pos="760" w:val="left"/>
        </w:tabs>
        <w:numPr>
          <w:ilvl w:val="0"/>
          <w:numId w:val="1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any payments or benefits paid or provided or to be paid or provided to the Employee or for his benefit pursuant to the terms of this Agreement or otherwise in connection with, or arising out of, his employment with the Company or its subsidiaries or the termination thereof (a "Payment" and, collectively, the "Payments") would be subject to the excise tax (the "Excise Tax") imposed by Section 4999 of the Code, then, except as otherwise provided in this Section 9(a), the Employee will be entitled to receive an additional payment (a "Gross-Up</w:t>
      </w:r>
    </w:p>
    <w:p>
      <w:pPr>
        <w:spacing w:after="0" w:line="219"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39"/>
          </w:cols>
          <w:pgMar w:left="220" w:top="540" w:right="1440" w:bottom="1440" w:gutter="0" w:footer="0" w:header="0"/>
        </w:sectPr>
      </w:pPr>
    </w:p>
    <w:bookmarkStart w:id="169" w:name="page170"/>
    <w:bookmarkEnd w:id="169"/>
    <w:p>
      <w:pPr>
        <w:ind w:left="378" w:right="4099"/>
        <w:spacing w:after="0" w:line="273" w:lineRule="auto"/>
        <w:rPr>
          <w:sz w:val="20"/>
          <w:szCs w:val="20"/>
          <w:color w:val="auto"/>
        </w:rPr>
      </w:pPr>
      <w:r>
        <w:rPr>
          <w:rFonts w:ascii="Courier New" w:cs="Courier New" w:eastAsia="Courier New" w:hAnsi="Courier New"/>
          <w:sz w:val="12"/>
          <w:szCs w:val="12"/>
          <w:color w:val="auto"/>
        </w:rPr>
        <w:t>Payment") in an amount such that, after payment by the Employee of all income taxes, all employment taxes and any Excise Tax imposed upon the Gross-Up Payment (including any related interest and penalties), the Employee retains an amount of the Gross-Up Payment equal to the Excise Tax (including any related interest and penalties) imposed upon the Payments. Notwithstanding the foregoing, if the amount of the Payments does not exceed by more than 3% the amount that would be payable to the Employee if the Payments were reduced to one dollar less than what would constitute a "parachute payment" under Section 280G of the Code (the "Scaled Back Amount"), then the Payments shall be reduced, in a manner determined by the Employee, to the Scaled Back Amount, and the Employee shall not be entitled to any Gross-Up Payment.</w:t>
      </w:r>
    </w:p>
    <w:p>
      <w:pPr>
        <w:spacing w:after="0" w:line="61" w:lineRule="exact"/>
        <w:rPr>
          <w:sz w:val="20"/>
          <w:szCs w:val="20"/>
          <w:color w:val="auto"/>
        </w:rPr>
      </w:pPr>
    </w:p>
    <w:p>
      <w:pPr>
        <w:ind w:left="378" w:right="4099" w:hanging="378"/>
        <w:spacing w:after="0" w:line="264" w:lineRule="auto"/>
        <w:tabs>
          <w:tab w:leader="none" w:pos="378" w:val="left"/>
        </w:tabs>
        <w:numPr>
          <w:ilvl w:val="0"/>
          <w:numId w:val="1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 initial determination of (i) whether a Gross-Up Payment is required pursuant to this Agreement, and, if applicable, the amount of such Gross-Up Payment or (ii) whether the Payments must be reduced to the Scaled Back Amount and, if so, the amount of such reduction, will be made at the Company's expense by an accounting firm selected by the Company. The accounting firm will provide its determination, together with detailed supporting calculations and documentation, to the Company and the Employee within ten (10) business days after the date of termination of Employee's employment, or such other time as may be reasonably requested by the Company or the Employee. If the accounting firm determines that no Excise Tax is payable by the Employee with respect to a Payment or Payments, it will furnish the Employee with an opinion to that effect. If a Gross-Up Payment becomes payable, such Gross-Up Payment will be paid by the Company to the Employee within thirty (30) business days of the receipt of the accounting firm's determination. If a reduction in Payments is required, such reduction shall be effectuated within thirty (30) business days of the receipt of the accounting firm's determination. Within ten (10) business days after the accounting firm delivers its determination to the Employee, the Employee will have the right to dispute the determination. The existence of a dispute will not in any way affect the Employee's right to receive a Gross-Up Payment in accordance with the determination. If there is no dispute, the determination will be binding, final, and conclusive upon the Company and the Employee. If there is a dispute, the Company and the Employee will together select a second accounting firm, which will review the determination and the Employee's basis for the dispute and then will render its own determination, which will be binding, final, and conclusive on the Company and on the Employee for purposes of determining whether a Gross-Up Payment is required pursuant to this Section 9(b) or whether a reduction to the Scaled Back Amount is required, as the case may be. If as a result of any dispute pursuant to this Section 9(b) a Gross-Up Payment is made or additional Gross-Up Payments are made, such Gross-Up Payment(s) will be paid by the Company to the Employee within thirty (30) business days of the receipt of the second accounting firm's determination. The Company will bear all costs associated with the second accounting firm's determination, unless such determination does not result in additional Gross-Up Payments to the Employee or unless such determination does not mitigate the reduction in Payments required</w:t>
      </w:r>
    </w:p>
    <w:p>
      <w:pPr>
        <w:spacing w:after="0" w:line="200" w:lineRule="exact"/>
        <w:rPr>
          <w:sz w:val="20"/>
          <w:szCs w:val="20"/>
          <w:color w:val="auto"/>
        </w:rPr>
      </w:pPr>
    </w:p>
    <w:p>
      <w:pPr>
        <w:spacing w:after="0" w:line="312"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9857"/>
          </w:cols>
          <w:pgMar w:left="602" w:top="540" w:right="1440" w:bottom="1440" w:gutter="0" w:footer="0" w:header="0"/>
        </w:sectPr>
      </w:pPr>
    </w:p>
    <w:bookmarkStart w:id="170" w:name="page171"/>
    <w:bookmarkEnd w:id="170"/>
    <w:p>
      <w:pPr>
        <w:ind w:left="378" w:right="4099"/>
        <w:spacing w:after="0" w:line="353" w:lineRule="auto"/>
        <w:rPr>
          <w:sz w:val="20"/>
          <w:szCs w:val="20"/>
          <w:color w:val="auto"/>
        </w:rPr>
      </w:pPr>
      <w:r>
        <w:rPr>
          <w:rFonts w:ascii="Courier New" w:cs="Courier New" w:eastAsia="Courier New" w:hAnsi="Courier New"/>
          <w:sz w:val="13"/>
          <w:szCs w:val="13"/>
          <w:color w:val="auto"/>
        </w:rPr>
        <w:t>to arrive at the Scaled Back Amount, in which case all such costs will be borne by the Employee.</w:t>
      </w:r>
    </w:p>
    <w:p>
      <w:pPr>
        <w:spacing w:after="0" w:line="9" w:lineRule="exact"/>
        <w:rPr>
          <w:sz w:val="20"/>
          <w:szCs w:val="20"/>
          <w:color w:val="auto"/>
        </w:rPr>
      </w:pPr>
    </w:p>
    <w:p>
      <w:pPr>
        <w:ind w:left="378" w:right="4099" w:hanging="378"/>
        <w:spacing w:after="0" w:line="276" w:lineRule="auto"/>
        <w:tabs>
          <w:tab w:leader="none" w:pos="378" w:val="left"/>
        </w:tabs>
        <w:numPr>
          <w:ilvl w:val="0"/>
          <w:numId w:val="1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purposes of determining the amount of the Gross-Up Payment and, if applicable, the Scaled Back Amount, the Employee will be deemed to pay federal income taxes at the highest marginal rate of federal income taxation in the calendar year in which the Gross-Up Payment is to be made or the Scaled Back Amount is determined, as the case may be, and applicable state and local income taxes at the highest marginal rate of taxation in the state and locality of the Employee's residence on the date of termination of Employee's employment, net of the maximum reduction in federal income taxes that would be obtained from deduction of those state and local taxes.</w:t>
      </w:r>
    </w:p>
    <w:p>
      <w:pPr>
        <w:spacing w:after="0" w:line="58" w:lineRule="exact"/>
        <w:rPr>
          <w:rFonts w:ascii="Courier New" w:cs="Courier New" w:eastAsia="Courier New" w:hAnsi="Courier New"/>
          <w:sz w:val="12"/>
          <w:szCs w:val="12"/>
          <w:color w:val="auto"/>
        </w:rPr>
      </w:pPr>
    </w:p>
    <w:p>
      <w:pPr>
        <w:ind w:left="378" w:right="4099" w:hanging="378"/>
        <w:spacing w:after="0" w:line="244" w:lineRule="auto"/>
        <w:tabs>
          <w:tab w:leader="none" w:pos="378" w:val="left"/>
        </w:tabs>
        <w:numPr>
          <w:ilvl w:val="0"/>
          <w:numId w:val="1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As a result of the uncertainty in the application of Section 4999 of the Code, it is possible that Gross-Up Payments which will not have been made by the Company should have been made, the Employee's Payments will be reduced to the Scaled Back Amount when they should not have been or the Employee's Payments are reduced to a greater extent than they should have been (an "Underpayment") or Gross-Up Payments are made by the Company which should not have been made, the Employee's Payments are not reduced to the Scaled Back Amount when they should have been or they are not reduced to the extent they should have been (an "Overpayment"). If it is determined that an Underpayment has occurred, the accounting firm shall determine the amount of the Underpayment that has occurred and any such Underpayment (together with interest at the rate provided in Section 1274(b)(2)(B) of the Code) shall be promptly paid by the Company to or for the benefit of Employee. If it is determined that an Overpayment has occurred, the accounting firm shall determine the amount of the Overpayment that has occurred and any such Overpayment (together with interest at the rate provided in Section 1274(b)(2) of the Code) shall be promptly paid by the Employee (to the extent he has received a refund if the applicable Excise Tax has been paid to the Internal Revenue Service) to or for the benefit of the Company; provided, however, that if the Company determines that such repayment obligation would be or result in an unlawful extension of credit under Section 13(k) of the Exchange Act, repayment shall not be required. The Employee shall cooperate, to the extent his expenses are reimbursed by the Company, with any reasonable requests by the Company in connection with any contest or disputes with the Internal Revenue Service in connection with the Excise Tax.</w:t>
      </w:r>
    </w:p>
    <w:p>
      <w:pPr>
        <w:spacing w:after="0" w:line="83" w:lineRule="exact"/>
        <w:rPr>
          <w:rFonts w:ascii="Courier New" w:cs="Courier New" w:eastAsia="Courier New" w:hAnsi="Courier New"/>
          <w:sz w:val="13"/>
          <w:szCs w:val="13"/>
          <w:color w:val="auto"/>
        </w:rPr>
      </w:pPr>
    </w:p>
    <w:p>
      <w:pPr>
        <w:ind w:left="378" w:right="4099" w:hanging="378"/>
        <w:spacing w:after="0" w:line="251" w:lineRule="auto"/>
        <w:tabs>
          <w:tab w:leader="none" w:pos="378" w:val="left"/>
        </w:tabs>
        <w:numPr>
          <w:ilvl w:val="0"/>
          <w:numId w:val="1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Employee shall notify the Company in writing of any claim by the Internal Revenue Service that, if successful, would require a payment resulting in an Underpayment. Such notification shall be given as soon as practicable but no later than ten (10) business days after the Employee is informed in writing of such claim and shall apprise the Company of the nature of such claim and the date on which such claim is requested to be paid. The Employee shall not pay such claim prior to the expiration of the thirty (30) day period following the date on which he gives such notice to the Company (or such shorter period ending on the date that any payment of taxes with respect to such claim is due). If the Company notifies</w:t>
      </w:r>
    </w:p>
    <w:p>
      <w:pPr>
        <w:spacing w:after="0" w:line="222"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9857"/>
          </w:cols>
          <w:pgMar w:left="602" w:top="540" w:right="1440" w:bottom="1440" w:gutter="0" w:footer="0" w:header="0"/>
        </w:sectPr>
      </w:pPr>
    </w:p>
    <w:bookmarkStart w:id="171" w:name="page172"/>
    <w:bookmarkEnd w:id="171"/>
    <w:p>
      <w:pPr>
        <w:ind w:left="378" w:right="4099"/>
        <w:spacing w:after="0" w:line="353" w:lineRule="auto"/>
        <w:rPr>
          <w:sz w:val="20"/>
          <w:szCs w:val="20"/>
          <w:color w:val="auto"/>
        </w:rPr>
      </w:pPr>
      <w:r>
        <w:rPr>
          <w:rFonts w:ascii="Courier New" w:cs="Courier New" w:eastAsia="Courier New" w:hAnsi="Courier New"/>
          <w:sz w:val="13"/>
          <w:szCs w:val="13"/>
          <w:color w:val="auto"/>
        </w:rPr>
        <w:t>the Employee in writing prior to the expiration of such period that it desires to contest such claim, the Employee shall:</w:t>
      </w:r>
    </w:p>
    <w:p>
      <w:pPr>
        <w:spacing w:after="0" w:line="9" w:lineRule="exact"/>
        <w:rPr>
          <w:sz w:val="20"/>
          <w:szCs w:val="20"/>
          <w:color w:val="auto"/>
        </w:rPr>
      </w:pPr>
    </w:p>
    <w:p>
      <w:pPr>
        <w:ind w:left="758" w:right="4499" w:hanging="375"/>
        <w:spacing w:after="0" w:line="353" w:lineRule="auto"/>
        <w:tabs>
          <w:tab w:leader="none" w:pos="758" w:val="left"/>
        </w:tabs>
        <w:numPr>
          <w:ilvl w:val="0"/>
          <w:numId w:val="123"/>
        </w:numPr>
        <w:rPr>
          <w:rFonts w:ascii="Courier New" w:cs="Courier New" w:eastAsia="Courier New" w:hAnsi="Courier New"/>
          <w:sz w:val="13"/>
          <w:szCs w:val="13"/>
          <w:color w:val="auto"/>
        </w:rPr>
      </w:pPr>
      <w:r>
        <w:rPr>
          <w:rFonts w:ascii="Courier New" w:cs="Courier New" w:eastAsia="Courier New" w:hAnsi="Courier New"/>
          <w:sz w:val="13"/>
          <w:szCs w:val="13"/>
          <w:color w:val="auto"/>
        </w:rPr>
        <w:t>give the Company any information reasonably requested by the Company relating to such claim,</w:t>
      </w:r>
    </w:p>
    <w:p>
      <w:pPr>
        <w:spacing w:after="0" w:line="9" w:lineRule="exact"/>
        <w:rPr>
          <w:rFonts w:ascii="Courier New" w:cs="Courier New" w:eastAsia="Courier New" w:hAnsi="Courier New"/>
          <w:sz w:val="13"/>
          <w:szCs w:val="13"/>
          <w:color w:val="auto"/>
        </w:rPr>
      </w:pPr>
    </w:p>
    <w:p>
      <w:pPr>
        <w:ind w:left="758" w:right="4179" w:hanging="375"/>
        <w:spacing w:after="0" w:line="268" w:lineRule="auto"/>
        <w:tabs>
          <w:tab w:leader="none" w:pos="758" w:val="left"/>
        </w:tabs>
        <w:numPr>
          <w:ilvl w:val="0"/>
          <w:numId w:val="12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62" w:lineRule="exact"/>
        <w:rPr>
          <w:rFonts w:ascii="Courier New" w:cs="Courier New" w:eastAsia="Courier New" w:hAnsi="Courier New"/>
          <w:sz w:val="13"/>
          <w:szCs w:val="13"/>
          <w:color w:val="auto"/>
        </w:rPr>
      </w:pPr>
    </w:p>
    <w:p>
      <w:pPr>
        <w:ind w:left="758" w:right="4099" w:hanging="375"/>
        <w:spacing w:after="0" w:line="353" w:lineRule="auto"/>
        <w:tabs>
          <w:tab w:leader="none" w:pos="835" w:val="left"/>
        </w:tabs>
        <w:numPr>
          <w:ilvl w:val="0"/>
          <w:numId w:val="123"/>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cooperate with the Company in good faith in order effectively to contest such claim, and</w:t>
      </w:r>
    </w:p>
    <w:p>
      <w:pPr>
        <w:spacing w:after="0" w:line="9" w:lineRule="exact"/>
        <w:rPr>
          <w:rFonts w:ascii="Courier New" w:cs="Courier New" w:eastAsia="Courier New" w:hAnsi="Courier New"/>
          <w:sz w:val="13"/>
          <w:szCs w:val="13"/>
          <w:color w:val="auto"/>
        </w:rPr>
      </w:pPr>
    </w:p>
    <w:p>
      <w:pPr>
        <w:ind w:left="758" w:right="4259" w:hanging="375"/>
        <w:spacing w:after="0" w:line="353" w:lineRule="auto"/>
        <w:tabs>
          <w:tab w:leader="none" w:pos="758" w:val="left"/>
        </w:tabs>
        <w:numPr>
          <w:ilvl w:val="0"/>
          <w:numId w:val="123"/>
        </w:numPr>
        <w:rPr>
          <w:rFonts w:ascii="Courier New" w:cs="Courier New" w:eastAsia="Courier New" w:hAnsi="Courier New"/>
          <w:sz w:val="13"/>
          <w:szCs w:val="13"/>
          <w:color w:val="auto"/>
        </w:rPr>
      </w:pPr>
      <w:r>
        <w:rPr>
          <w:rFonts w:ascii="Courier New" w:cs="Courier New" w:eastAsia="Courier New" w:hAnsi="Courier New"/>
          <w:sz w:val="13"/>
          <w:szCs w:val="13"/>
          <w:color w:val="auto"/>
        </w:rPr>
        <w:t>permit the Company to participate in any proceeding relating to such claim;</w:t>
      </w:r>
    </w:p>
    <w:p>
      <w:pPr>
        <w:spacing w:after="0" w:line="9" w:lineRule="exact"/>
        <w:rPr>
          <w:sz w:val="20"/>
          <w:szCs w:val="20"/>
          <w:color w:val="auto"/>
        </w:rPr>
      </w:pPr>
    </w:p>
    <w:p>
      <w:pPr>
        <w:ind w:left="378" w:right="4099"/>
        <w:spacing w:after="0" w:line="265" w:lineRule="auto"/>
        <w:rPr>
          <w:sz w:val="20"/>
          <w:szCs w:val="20"/>
          <w:color w:val="auto"/>
        </w:rPr>
      </w:pPr>
      <w:r>
        <w:rPr>
          <w:rFonts w:ascii="Courier New" w:cs="Courier New" w:eastAsia="Courier New" w:hAnsi="Courier New"/>
          <w:sz w:val="12"/>
          <w:szCs w:val="12"/>
          <w:color w:val="auto"/>
        </w:rPr>
        <w:t>provided, however, that the Company shall bear and pay directly all costs and expenses (including additional interest and penalties) incurred in connection with such contest and shall indemnify and hold the Employee harmless, on an after-tax basis, for any Excise Tax or income tax (including related interest and penalties) imposed as a result of such representation and payment of costs and expenses. Without limitation on the foregoing provisions of this Section 9(e),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Employee to pay the tax claimed and sue for a refund or contest the claim in any permissible manner, and the Employee agrees to prosecute such contest to a determination before any administrative tribunal, in a court of initial jurisdiction and in one or more appellate courts, as the Company shall determine; provided, however, that if the Company directs the Employee to pay such claim and sue for a refund, the Company shall advance the amount of such payment to the Employee, on an interest-free basis and shall indemnify and hold the Employee harmless, on an after-tax basis, from any Excise Tax or income tax (including related interest or penalties) imposed with respect to such advance or with respect to any imputed income with respect to such advance. The Company's control of the contest shall be limited to issues that may impact Gross-Up Payments or reduction in Payments under this Section 9, and the Employee shall be entitled to settle or contest, as the case may be, any other issue raised by the Internal Revenue Service or any other taxing authority.</w:t>
      </w:r>
    </w:p>
    <w:p>
      <w:pPr>
        <w:spacing w:after="0" w:line="226" w:lineRule="exact"/>
        <w:rPr>
          <w:sz w:val="20"/>
          <w:szCs w:val="20"/>
          <w:color w:val="auto"/>
        </w:rPr>
      </w:pPr>
    </w:p>
    <w:p>
      <w:pPr>
        <w:ind w:left="378" w:right="4179" w:hanging="378"/>
        <w:spacing w:after="0" w:line="284" w:lineRule="auto"/>
        <w:tabs>
          <w:tab w:leader="none" w:pos="378" w:val="left"/>
        </w:tabs>
        <w:numPr>
          <w:ilvl w:val="0"/>
          <w:numId w:val="1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after the receipt by the Employee of an amount advanced by the Company pursuant to Section 9(e), the Employee becomes entitled to receive any refund with respect to such claim, the Employee shall (subject to the Company's complying with the requirements of Section 9(e)) promptly pay to the Company the amount of such refund (together with any interest paid or credited thereon after taxes applicable thereto). If, after the receipt by the Employee of an amount</w:t>
      </w:r>
    </w:p>
    <w:p>
      <w:pPr>
        <w:spacing w:after="0" w:line="201"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9857"/>
          </w:cols>
          <w:pgMar w:left="602" w:top="540" w:right="1440" w:bottom="1440" w:gutter="0" w:footer="0" w:header="0"/>
        </w:sectPr>
      </w:pPr>
    </w:p>
    <w:bookmarkStart w:id="172" w:name="page173"/>
    <w:bookmarkEnd w:id="172"/>
    <w:p>
      <w:pPr>
        <w:ind w:left="378" w:right="4179"/>
        <w:spacing w:after="0" w:line="288" w:lineRule="auto"/>
        <w:rPr>
          <w:sz w:val="20"/>
          <w:szCs w:val="20"/>
          <w:color w:val="auto"/>
        </w:rPr>
      </w:pPr>
      <w:r>
        <w:rPr>
          <w:rFonts w:ascii="Courier New" w:cs="Courier New" w:eastAsia="Courier New" w:hAnsi="Courier New"/>
          <w:sz w:val="12"/>
          <w:szCs w:val="12"/>
          <w:color w:val="auto"/>
        </w:rPr>
        <w:t>advanced by the Company pursuant to Section 9(e), a determination is made that the Employee shall not be entitled to any refund with respect to such claim and the Company does not notify the Employee in writing of its intent to contest such denial of refund prior to the expiration of thirty (30) days after such determination, then such advance shall be forgiven and shall not be required to be repaid.</w:t>
      </w:r>
    </w:p>
    <w:p>
      <w:pPr>
        <w:spacing w:after="0" w:line="53" w:lineRule="exact"/>
        <w:rPr>
          <w:sz w:val="20"/>
          <w:szCs w:val="20"/>
          <w:color w:val="auto"/>
        </w:rPr>
      </w:pPr>
    </w:p>
    <w:p>
      <w:pPr>
        <w:ind w:left="-382" w:right="4339" w:firstLine="382"/>
        <w:spacing w:after="0" w:line="307" w:lineRule="auto"/>
        <w:tabs>
          <w:tab w:leader="none" w:pos="308"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Non-Delegation of Employee's Rights. The obligations, rights and benefits of the Employee hereunder are personal and may not be delegated, assigned or transferred in any manner whatsoever, nor are such obligations, rights or benefits subject to involuntary alienation, assignment or transfer.</w:t>
      </w:r>
    </w:p>
    <w:p>
      <w:pPr>
        <w:spacing w:after="0" w:line="41" w:lineRule="exact"/>
        <w:rPr>
          <w:rFonts w:ascii="Courier New" w:cs="Courier New" w:eastAsia="Courier New" w:hAnsi="Courier New"/>
          <w:sz w:val="12"/>
          <w:szCs w:val="12"/>
          <w:color w:val="auto"/>
        </w:rPr>
      </w:pPr>
    </w:p>
    <w:p>
      <w:pPr>
        <w:ind w:left="-382" w:right="4099" w:firstLine="382"/>
        <w:spacing w:after="0" w:line="267" w:lineRule="auto"/>
        <w:tabs>
          <w:tab w:leader="none" w:pos="308" w:val="left"/>
        </w:tabs>
        <w:numPr>
          <w:ilvl w:val="0"/>
          <w:numId w:val="1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Confidential Information. The Employee acknowledges that in his capacity as an employee of the Company he will occupy a position of trust and confidence and he further acknowledges that he will have access to and learn substantial information about the Company and its affiliates and their operations that is confidential or not generally known in the industry including, without limitation, information that relates to purchasing, sales, customers, marketing, and the Company's and its affiliates' financial positions and financing arrangements. The Employee agrees that all such information is proprietary or confidential, or constitutes trade secrets and is the sole property of the Company and/or its affiliates, as the case may be. The Employee will keep confidential, and will not reproduce, copy or disclose to any other person or firm, any such information or any documents or information relating to the Company's or its affiliates' methods, processes, customers, accounts, analyses, systems, charts, programs, procedures, correspondence or records, or any other documents used or owned by the Company or any of its affiliates, nor will the Employee advise, discuss with or in any way assist any other person, firm or entity in obtaining or learning about any of the items described in this Section 11. Accordingly, the Employee agrees that during the Employment Term and at all times thereafter he will not disclose, or permit or encourage anyone else to disclose, any such information, nor will he utilize any such information, either alone or with others, outside the scope of his duties and responsibilities with the Company and its affiliates.</w:t>
      </w:r>
    </w:p>
    <w:p>
      <w:pPr>
        <w:spacing w:after="0" w:line="215" w:lineRule="exact"/>
        <w:rPr>
          <w:rFonts w:ascii="Courier New" w:cs="Courier New" w:eastAsia="Courier New" w:hAnsi="Courier New"/>
          <w:sz w:val="12"/>
          <w:szCs w:val="12"/>
          <w:color w:val="auto"/>
        </w:rPr>
      </w:pPr>
    </w:p>
    <w:p>
      <w:pPr>
        <w:ind w:left="-382" w:right="4099" w:firstLine="382"/>
        <w:spacing w:after="0" w:line="247" w:lineRule="auto"/>
        <w:tabs>
          <w:tab w:leader="none" w:pos="308" w:val="left"/>
        </w:tabs>
        <w:numPr>
          <w:ilvl w:val="0"/>
          <w:numId w:val="125"/>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Non-Competition During Employment Term. The Employee agrees that, during the Employment Term, he will devote such business time, attention and energies reasonably necessary to the diligent and faithful performance of the services to the Company and its affiliates, and he will not engage in any way whatsoever, directly or indirectly, in any business that is a direct competitor with the Company's or its affiliates' principal business, nor solicit customers, suppliers or employees of the Company or affiliates on behalf of, or in any other manner work for or assist any business which is a direct competitor with the Company's or its affiliates' principal business. For purposes of clarification, Fidelity National Information Services, Inc. and its affiliates shall not be considered to be competitive with the Company and its affiliates, for purposes of Section 12 and Section 13 of this Agreement. In addition, during the Employment Term, the Employee will undertake no planning for or organization of any business activity competitive with the work he performs as an employee of the Company, and the Employee will not combine or conspire with any other employee of the Company or any other person for the purpose of organizing any such competitive business activity.</w:t>
      </w:r>
    </w:p>
    <w:p>
      <w:pPr>
        <w:spacing w:after="0" w:line="225"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11</w:t>
      </w:r>
    </w:p>
    <w:p>
      <w:pPr>
        <w:sectPr>
          <w:pgSz w:w="11900" w:h="16838" w:orient="portrait"/>
          <w:cols w:equalWidth="0" w:num="1">
            <w:col w:w="9857"/>
          </w:cols>
          <w:pgMar w:left="602" w:top="540" w:right="1440" w:bottom="1440" w:gutter="0" w:footer="0" w:header="0"/>
        </w:sectPr>
      </w:pPr>
    </w:p>
    <w:bookmarkStart w:id="173" w:name="page174"/>
    <w:bookmarkEnd w:id="173"/>
    <w:p>
      <w:pPr>
        <w:ind w:left="1" w:right="4099" w:firstLine="382"/>
        <w:spacing w:after="0" w:line="265" w:lineRule="auto"/>
        <w:tabs>
          <w:tab w:leader="none" w:pos="691" w:val="left"/>
        </w:tabs>
        <w:numPr>
          <w:ilvl w:val="1"/>
          <w:numId w:val="1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Non-Competition After Employment Term. The parties acknowledge that as an executive officer of the Company the Employee will acquire substantial knowledge and information concerning the business of the Company and its affiliates as a result of his employment. The parties further acknowledge that the scope of business in which the Company and its affiliates are engaged as of the Effective Date is national and very competitive and one in which few companies can successfully compete. Competition by an executive officer such as the Employee in that business after the Employment Term is terminated would severely injure the Company and its affiliates. Accordingly, for a period of one</w:t>
      </w:r>
    </w:p>
    <w:p>
      <w:pPr>
        <w:ind w:left="1" w:right="4179" w:hanging="1"/>
        <w:spacing w:after="0" w:line="268" w:lineRule="auto"/>
        <w:tabs>
          <w:tab w:leader="none" w:pos="308" w:val="left"/>
        </w:tabs>
        <w:numPr>
          <w:ilvl w:val="0"/>
          <w:numId w:val="1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year after the Employee's employment terminates for any reason whatsoever, except as otherwise stated herein below, the Employee agrees (a) not to become an employee, consultant, advisor, principal, partner or substantial shareholder of any firm or business that directly competes with the Company or its affiliates in their principal products and markets; and (b), on behalf of any such competitive firm or business, not to solicit any person or business that was at the time of such termination and remains a customer or prospective customer, a supplier or prospective supplier, or an employee of the Company or an affiliate: provided, however, that services provided by the Employee as a partner, member or employee of a firm authorized to enter into the practice of law in any state shall not be considered to be a violation of this Section 13. Notwithstanding any of the foregoing provisions to the contrary, the Employee shall not be subject to the restrictions set forth in this Section 13 under the following circumstances:</w:t>
      </w:r>
    </w:p>
    <w:p>
      <w:pPr>
        <w:spacing w:after="0" w:line="214" w:lineRule="exact"/>
        <w:rPr>
          <w:sz w:val="20"/>
          <w:szCs w:val="20"/>
          <w:color w:val="auto"/>
        </w:rPr>
      </w:pPr>
    </w:p>
    <w:p>
      <w:pPr>
        <w:ind w:left="761" w:right="4499" w:hanging="378"/>
        <w:spacing w:after="0" w:line="353" w:lineRule="auto"/>
        <w:tabs>
          <w:tab w:leader="none" w:pos="761" w:val="left"/>
        </w:tabs>
        <w:numPr>
          <w:ilvl w:val="0"/>
          <w:numId w:val="1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Employee's employment is terminated by the Company without Cause;</w:t>
      </w:r>
    </w:p>
    <w:p>
      <w:pPr>
        <w:spacing w:after="0" w:line="9" w:lineRule="exact"/>
        <w:rPr>
          <w:rFonts w:ascii="Courier New" w:cs="Courier New" w:eastAsia="Courier New" w:hAnsi="Courier New"/>
          <w:sz w:val="13"/>
          <w:szCs w:val="13"/>
          <w:color w:val="auto"/>
        </w:rPr>
      </w:pPr>
    </w:p>
    <w:p>
      <w:pPr>
        <w:ind w:left="761" w:right="4799" w:hanging="378"/>
        <w:spacing w:after="0" w:line="353" w:lineRule="auto"/>
        <w:tabs>
          <w:tab w:leader="none" w:pos="761" w:val="left"/>
        </w:tabs>
        <w:numPr>
          <w:ilvl w:val="0"/>
          <w:numId w:val="1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Employee's employment is terminated as a result of the Company's unwillingness to extend the Employment Term;</w:t>
      </w:r>
    </w:p>
    <w:p>
      <w:pPr>
        <w:spacing w:after="0" w:line="9" w:lineRule="exact"/>
        <w:rPr>
          <w:rFonts w:ascii="Courier New" w:cs="Courier New" w:eastAsia="Courier New" w:hAnsi="Courier New"/>
          <w:sz w:val="13"/>
          <w:szCs w:val="13"/>
          <w:color w:val="auto"/>
        </w:rPr>
      </w:pPr>
    </w:p>
    <w:p>
      <w:pPr>
        <w:ind w:left="761" w:hanging="378"/>
        <w:spacing w:after="0"/>
        <w:tabs>
          <w:tab w:leader="none" w:pos="761" w:val="left"/>
        </w:tabs>
        <w:numPr>
          <w:ilvl w:val="0"/>
          <w:numId w:val="1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 terminates employment for Good Reason; or</w:t>
      </w:r>
    </w:p>
    <w:p>
      <w:pPr>
        <w:spacing w:after="0" w:line="147" w:lineRule="exact"/>
        <w:rPr>
          <w:rFonts w:ascii="Courier New" w:cs="Courier New" w:eastAsia="Courier New" w:hAnsi="Courier New"/>
          <w:sz w:val="13"/>
          <w:szCs w:val="13"/>
          <w:color w:val="auto"/>
        </w:rPr>
      </w:pPr>
    </w:p>
    <w:p>
      <w:pPr>
        <w:ind w:left="761" w:right="4339" w:hanging="378"/>
        <w:spacing w:after="0" w:line="296" w:lineRule="auto"/>
        <w:tabs>
          <w:tab w:leader="none" w:pos="761" w:val="left"/>
        </w:tabs>
        <w:numPr>
          <w:ilvl w:val="0"/>
          <w:numId w:val="1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 terminates employment without Good Reason, any time during the one (1) year period immediately following a Change in Control.</w:t>
      </w:r>
    </w:p>
    <w:p>
      <w:pPr>
        <w:spacing w:after="0" w:line="45" w:lineRule="exact"/>
        <w:rPr>
          <w:sz w:val="20"/>
          <w:szCs w:val="20"/>
          <w:color w:val="auto"/>
        </w:rPr>
      </w:pPr>
    </w:p>
    <w:p>
      <w:pPr>
        <w:ind w:left="1" w:right="4099" w:firstLine="382"/>
        <w:spacing w:after="0" w:line="268" w:lineRule="auto"/>
        <w:tabs>
          <w:tab w:leader="none" w:pos="691" w:val="left"/>
        </w:tabs>
        <w:numPr>
          <w:ilvl w:val="0"/>
          <w:numId w:val="129"/>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Return of Company Documents. Upon termination of the Employment Term, Employee shall return immediately to the Company all records and documents of or pertaining to the Company or its affiliates and shall not make or retain any copy or extract of any such record or document, and other property of the Company or its affiliates.</w:t>
      </w:r>
    </w:p>
    <w:p>
      <w:pPr>
        <w:spacing w:after="0" w:line="62" w:lineRule="exact"/>
        <w:rPr>
          <w:rFonts w:ascii="Courier New" w:cs="Courier New" w:eastAsia="Courier New" w:hAnsi="Courier New"/>
          <w:sz w:val="13"/>
          <w:szCs w:val="13"/>
          <w:color w:val="auto"/>
        </w:rPr>
      </w:pPr>
    </w:p>
    <w:p>
      <w:pPr>
        <w:ind w:left="1" w:right="4099" w:firstLine="382"/>
        <w:spacing w:after="0" w:line="252" w:lineRule="auto"/>
        <w:tabs>
          <w:tab w:leader="none" w:pos="691" w:val="left"/>
        </w:tabs>
        <w:numPr>
          <w:ilvl w:val="0"/>
          <w:numId w:val="12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Improvements and Inventions. Any and all improvements or inventions, which the Employee may make or participate in during the Employment Term, unless wholly unrelated to the business of the Company and its affiliates and produced not in the scope of Employee's employment hereunder, shall be the sole and exclusive property of the Company. The Employee will, whenever requested by the Company, execute and deliver any and all documents which the Company shall deem appropriate in order to apply for and obtain patents for improvements or inventions or in order to assign and convey to the Company the sole and exclusive right, title and interest in and to such improvements, inventions, patents or applications.</w:t>
      </w:r>
    </w:p>
    <w:p>
      <w:pPr>
        <w:spacing w:after="0" w:line="75" w:lineRule="exact"/>
        <w:rPr>
          <w:rFonts w:ascii="Courier New" w:cs="Courier New" w:eastAsia="Courier New" w:hAnsi="Courier New"/>
          <w:sz w:val="13"/>
          <w:szCs w:val="13"/>
          <w:color w:val="auto"/>
        </w:rPr>
      </w:pPr>
    </w:p>
    <w:p>
      <w:pPr>
        <w:jc w:val="both"/>
        <w:ind w:left="1" w:right="4179" w:firstLine="382"/>
        <w:spacing w:after="0" w:line="277" w:lineRule="auto"/>
        <w:tabs>
          <w:tab w:leader="none" w:pos="691" w:val="left"/>
        </w:tabs>
        <w:numPr>
          <w:ilvl w:val="0"/>
          <w:numId w:val="129"/>
        </w:numPr>
        <w:rPr>
          <w:rFonts w:ascii="Courier New" w:cs="Courier New" w:eastAsia="Courier New" w:hAnsi="Courier New"/>
          <w:sz w:val="13"/>
          <w:szCs w:val="13"/>
          <w:color w:val="auto"/>
        </w:rPr>
      </w:pPr>
      <w:r>
        <w:rPr>
          <w:rFonts w:ascii="Courier New" w:cs="Courier New" w:eastAsia="Courier New" w:hAnsi="Courier New"/>
          <w:sz w:val="13"/>
          <w:szCs w:val="13"/>
          <w:color w:val="auto"/>
        </w:rPr>
        <w:t>Actions. The parties agree and acknowledge that the rights conveyed by this Agreement are of a unique and special nature and that the Company will not have an adequate remedy at law in the event of a failure by the Employee to abide by its terms and conditions nor</w:t>
      </w:r>
    </w:p>
    <w:p>
      <w:pPr>
        <w:spacing w:after="0" w:line="205" w:lineRule="exact"/>
        <w:rPr>
          <w:sz w:val="20"/>
          <w:szCs w:val="20"/>
          <w:color w:val="auto"/>
        </w:rPr>
      </w:pPr>
    </w:p>
    <w:p>
      <w:pPr>
        <w:ind w:left="2981"/>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10241"/>
          </w:cols>
          <w:pgMar w:left="219" w:top="540" w:right="1440" w:bottom="1440" w:gutter="0" w:footer="0" w:header="0"/>
        </w:sectPr>
      </w:pPr>
    </w:p>
    <w:bookmarkStart w:id="174" w:name="page175"/>
    <w:bookmarkEnd w:id="174"/>
    <w:p>
      <w:pPr>
        <w:ind w:right="4099"/>
        <w:spacing w:after="0" w:line="250" w:lineRule="auto"/>
        <w:rPr>
          <w:sz w:val="20"/>
          <w:szCs w:val="20"/>
          <w:color w:val="auto"/>
        </w:rPr>
      </w:pPr>
      <w:r>
        <w:rPr>
          <w:rFonts w:ascii="Courier New" w:cs="Courier New" w:eastAsia="Courier New" w:hAnsi="Courier New"/>
          <w:sz w:val="13"/>
          <w:szCs w:val="13"/>
          <w:color w:val="auto"/>
        </w:rPr>
        <w:t>will money damages adequately compensate for such injury. It is, therefore, agreed between and hereby acknowledged by the parties that, in the event of a breach by the Employee of any of his obligations contained in this Agreement, the Company shall have the right, among other rights, to damages sustained thereby and to obtain an injunction or decree of specific performance from any court of competent jurisdiction to restrain or compel the Employee to perform as agreed herein. The Employee hereby acknowledges that obligations under Sections 11, 13, 14, 15, 16, 17 and 18 shall survive the termination of his employment and he shall be bound by their terms at all times subsequent to the termination of his employment for the periods specified therein. Nothing herein contained shall in any way limit or exclude any other right granted by law or equity to the Company.</w:t>
      </w:r>
    </w:p>
    <w:p>
      <w:pPr>
        <w:spacing w:after="0" w:line="76" w:lineRule="exact"/>
        <w:rPr>
          <w:sz w:val="20"/>
          <w:szCs w:val="20"/>
          <w:color w:val="auto"/>
        </w:rPr>
      </w:pPr>
    </w:p>
    <w:p>
      <w:pPr>
        <w:ind w:right="4099" w:firstLine="382"/>
        <w:spacing w:after="0" w:line="259" w:lineRule="auto"/>
        <w:tabs>
          <w:tab w:leader="none" w:pos="690" w:val="left"/>
        </w:tabs>
        <w:numPr>
          <w:ilvl w:val="0"/>
          <w:numId w:val="130"/>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Release. Notwithstanding any provision herein to the contrary, the Company will require that, prior to payment of any amount or provision of any benefit under Section 8 or payment of any Gross-Up Payment pursuant to Section 9 of this Agreement (other than due to the Employee's death), the Employee shall have executed a complete release of the Company and its affiliates and related parties in such form as is reasonably required by the Company, and any waiting periods contained in such release shall have expired.</w:t>
      </w:r>
    </w:p>
    <w:p>
      <w:pPr>
        <w:spacing w:after="0" w:line="67" w:lineRule="exact"/>
        <w:rPr>
          <w:rFonts w:ascii="Courier New" w:cs="Courier New" w:eastAsia="Courier New" w:hAnsi="Courier New"/>
          <w:sz w:val="13"/>
          <w:szCs w:val="13"/>
          <w:color w:val="auto"/>
        </w:rPr>
      </w:pPr>
    </w:p>
    <w:p>
      <w:pPr>
        <w:ind w:right="4099" w:firstLine="382"/>
        <w:spacing w:after="0" w:line="284" w:lineRule="auto"/>
        <w:tabs>
          <w:tab w:leader="none" w:pos="690"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 Mitigation. The Company agrees that, if the Employee's employment hereunder is terminated during the Employment Term, the Employee is not required to seek other employment or to attempt in any way to reduce any amounts payable to the Employee by the Company hereunder. Further, the amount of any payment or benefit provided for hereunder (other than pursuant to Section 8(a)(v) hereof) shall not be reduced by any compensation earned by the Employee as the result of employment by another employer, by retirement benefits or otherwise.</w:t>
      </w:r>
    </w:p>
    <w:p>
      <w:pPr>
        <w:spacing w:after="0" w:line="53" w:lineRule="exact"/>
        <w:rPr>
          <w:rFonts w:ascii="Courier New" w:cs="Courier New" w:eastAsia="Courier New" w:hAnsi="Courier New"/>
          <w:sz w:val="12"/>
          <w:szCs w:val="12"/>
          <w:color w:val="auto"/>
        </w:rPr>
      </w:pPr>
    </w:p>
    <w:p>
      <w:pPr>
        <w:ind w:right="4339" w:firstLine="382"/>
        <w:spacing w:after="0" w:line="262" w:lineRule="auto"/>
        <w:tabs>
          <w:tab w:leader="none" w:pos="690" w:val="left"/>
        </w:tabs>
        <w:numPr>
          <w:ilvl w:val="0"/>
          <w:numId w:val="130"/>
        </w:numPr>
        <w:rPr>
          <w:rFonts w:ascii="Courier New" w:cs="Courier New" w:eastAsia="Courier New" w:hAnsi="Courier New"/>
          <w:sz w:val="13"/>
          <w:szCs w:val="13"/>
          <w:color w:val="auto"/>
        </w:rPr>
      </w:pPr>
      <w:r>
        <w:rPr>
          <w:rFonts w:ascii="Courier New" w:cs="Courier New" w:eastAsia="Courier New" w:hAnsi="Courier New"/>
          <w:sz w:val="13"/>
          <w:szCs w:val="13"/>
          <w:color w:val="auto"/>
        </w:rPr>
        <w:t>Entire Agreement and Amendment. This Agreement embodies the entire agreement and understanding of the parties hereto in respect of the subject matter of this Agreement, and supersedes and replaces all prior agreements, understandings and commitments with respect to such subject matter. This Agreement may be amended only by a written document signed by both parties to this Agreement.</w:t>
      </w:r>
    </w:p>
    <w:p>
      <w:pPr>
        <w:spacing w:after="0" w:line="67" w:lineRule="exact"/>
        <w:rPr>
          <w:rFonts w:ascii="Courier New" w:cs="Courier New" w:eastAsia="Courier New" w:hAnsi="Courier New"/>
          <w:sz w:val="13"/>
          <w:szCs w:val="13"/>
          <w:color w:val="auto"/>
        </w:rPr>
      </w:pPr>
    </w:p>
    <w:p>
      <w:pPr>
        <w:ind w:right="4099" w:firstLine="382"/>
        <w:spacing w:after="0" w:line="262" w:lineRule="auto"/>
        <w:tabs>
          <w:tab w:leader="none" w:pos="690" w:val="left"/>
        </w:tabs>
        <w:numPr>
          <w:ilvl w:val="0"/>
          <w:numId w:val="130"/>
        </w:numPr>
        <w:rPr>
          <w:rFonts w:ascii="Courier New" w:cs="Courier New" w:eastAsia="Courier New" w:hAnsi="Courier New"/>
          <w:sz w:val="13"/>
          <w:szCs w:val="13"/>
          <w:color w:val="auto"/>
        </w:rPr>
      </w:pPr>
      <w:r>
        <w:rPr>
          <w:rFonts w:ascii="Courier New" w:cs="Courier New" w:eastAsia="Courier New" w:hAnsi="Courier New"/>
          <w:sz w:val="13"/>
          <w:szCs w:val="13"/>
          <w:color w:val="auto"/>
        </w:rPr>
        <w:t>Governing Law. This Agreement shall be governed by, and construed in accordance with, the laws of the State of Florida, excluding any conflicts or choice of law rule or principle that might otherwise refer construction or interpretation of this Agreement to the substantive law of another jurisdiction. Any litigation pertaining to this Agreement shall be adjudicated in courts located in Duval County, Florida.</w:t>
      </w:r>
    </w:p>
    <w:p>
      <w:pPr>
        <w:spacing w:after="0" w:line="67" w:lineRule="exact"/>
        <w:rPr>
          <w:rFonts w:ascii="Courier New" w:cs="Courier New" w:eastAsia="Courier New" w:hAnsi="Courier New"/>
          <w:sz w:val="13"/>
          <w:szCs w:val="13"/>
          <w:color w:val="auto"/>
        </w:rPr>
      </w:pPr>
    </w:p>
    <w:p>
      <w:pPr>
        <w:ind w:right="4099" w:firstLine="382"/>
        <w:spacing w:after="0" w:line="252" w:lineRule="auto"/>
        <w:tabs>
          <w:tab w:leader="none" w:pos="690" w:val="left"/>
        </w:tabs>
        <w:numPr>
          <w:ilvl w:val="0"/>
          <w:numId w:val="130"/>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Successors. In addition to any obligations imposed by law upon any successor to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"Company" shall mean the Company as herein before defined and any such successor that expressly assumes this Agreement or otherwise becomes bound by all the terms and provisions of this Agreement by operation of law.</w:t>
      </w:r>
    </w:p>
    <w:p>
      <w:pPr>
        <w:spacing w:after="0" w:line="223"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13</w:t>
      </w:r>
    </w:p>
    <w:p>
      <w:pPr>
        <w:sectPr>
          <w:pgSz w:w="11900" w:h="16838" w:orient="portrait"/>
          <w:cols w:equalWidth="0" w:num="1">
            <w:col w:w="10239"/>
          </w:cols>
          <w:pgMar w:left="220" w:top="540" w:right="1440" w:bottom="1440" w:gutter="0" w:footer="0" w:header="0"/>
        </w:sectPr>
      </w:pPr>
    </w:p>
    <w:bookmarkStart w:id="175" w:name="page176"/>
    <w:bookmarkEnd w:id="175"/>
    <w:p>
      <w:pPr>
        <w:ind w:left="1" w:right="4259" w:firstLine="382"/>
        <w:spacing w:after="0" w:line="296" w:lineRule="auto"/>
        <w:tabs>
          <w:tab w:leader="none" w:pos="691" w:val="left"/>
        </w:tabs>
        <w:numPr>
          <w:ilvl w:val="1"/>
          <w:numId w:val="1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Counterparts. This Agreement may be executed in counterparts, each of which shall be deemed an original, but all of which together shall constitute one and the same instrument.</w:t>
      </w:r>
    </w:p>
    <w:p>
      <w:pPr>
        <w:spacing w:after="0" w:line="44" w:lineRule="exact"/>
        <w:rPr>
          <w:rFonts w:ascii="Courier New" w:cs="Courier New" w:eastAsia="Courier New" w:hAnsi="Courier New"/>
          <w:sz w:val="13"/>
          <w:szCs w:val="13"/>
          <w:color w:val="auto"/>
        </w:rPr>
      </w:pPr>
    </w:p>
    <w:p>
      <w:pPr>
        <w:ind w:left="1" w:right="4099" w:firstLine="382"/>
        <w:spacing w:after="0" w:line="248" w:lineRule="auto"/>
        <w:tabs>
          <w:tab w:leader="none" w:pos="691" w:val="left"/>
        </w:tabs>
        <w:numPr>
          <w:ilvl w:val="1"/>
          <w:numId w:val="1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Attorneys' Fees. If any party finds it necessary to employ legal counsel or to bring an action at law or other proceedings against the other party to interpret or enforce any of the terms hereof, the party prevailing in any such action or other proceeding shall be paid by the other party its reasonable legal fees, court costs, litigation expenses, all as determined by the court and not a jury; provided, however, that on or after a Change in Control, if any party finds it necessary to employ legal counsel or to bring an action at law or other proceedings against the other party to interpret or enforce any of the terms hereof, the Company shall pay (on an ongoing basis) to the Employee to the fullest extent permitted by law, all legal fees, court costs and litigation expenses reasonably incurred by the Employee or others on his behalf (such amounts collectively referred to as the "Reimbursed Amounts"); provided, further, that the Employee shall reimburse the Company for the Reimbursed Amounts if it is determined that a majority of the Employee's claims or defenses were frivolous or without merit.</w:t>
      </w:r>
    </w:p>
    <w:p>
      <w:pPr>
        <w:spacing w:after="0" w:line="76" w:lineRule="exact"/>
        <w:rPr>
          <w:rFonts w:ascii="Courier New" w:cs="Courier New" w:eastAsia="Courier New" w:hAnsi="Courier New"/>
          <w:sz w:val="13"/>
          <w:szCs w:val="13"/>
          <w:color w:val="auto"/>
        </w:rPr>
      </w:pPr>
    </w:p>
    <w:p>
      <w:pPr>
        <w:ind w:left="1" w:right="4099" w:firstLine="382"/>
        <w:spacing w:after="0" w:line="271" w:lineRule="auto"/>
        <w:tabs>
          <w:tab w:leader="none" w:pos="691" w:val="left"/>
        </w:tabs>
        <w:numPr>
          <w:ilvl w:val="1"/>
          <w:numId w:val="1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Severability.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the Employee in this Agreement shall each be construed as an agreement independent of any other provision in this Agreement, and the existence of any claim or cause of action of the Employee against the Company, whether predicated on this Agreement or otherwise, shall not constitute a defense to the enforcement by the Company of the covenants in this Agreement.</w:t>
      </w:r>
    </w:p>
    <w:p>
      <w:pPr>
        <w:spacing w:after="0" w:line="62" w:lineRule="exact"/>
        <w:rPr>
          <w:rFonts w:ascii="Courier New" w:cs="Courier New" w:eastAsia="Courier New" w:hAnsi="Courier New"/>
          <w:sz w:val="12"/>
          <w:szCs w:val="12"/>
          <w:color w:val="auto"/>
        </w:rPr>
      </w:pPr>
    </w:p>
    <w:p>
      <w:pPr>
        <w:ind w:left="1" w:right="4099" w:firstLine="382"/>
        <w:spacing w:after="0" w:line="281" w:lineRule="auto"/>
        <w:tabs>
          <w:tab w:leader="none" w:pos="691" w:val="left"/>
        </w:tabs>
        <w:numPr>
          <w:ilvl w:val="1"/>
          <w:numId w:val="1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Notices. Any notice, request, or instruction to be given hereunder shall be in writing and shall be deemed given when personally delivered or three</w:t>
      </w:r>
    </w:p>
    <w:p>
      <w:pPr>
        <w:jc w:val="both"/>
        <w:ind w:left="1" w:right="4099" w:hanging="1"/>
        <w:spacing w:after="0" w:line="277" w:lineRule="auto"/>
        <w:tabs>
          <w:tab w:leader="none" w:pos="308" w:val="left"/>
        </w:tabs>
        <w:numPr>
          <w:ilvl w:val="0"/>
          <w:numId w:val="13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days after being sent by United States Certified Mail, postage prepaid, with Return Receipt Requested, to the parties at their respective addresses set forth below:</w:t>
      </w:r>
    </w:p>
    <w:p>
      <w:pPr>
        <w:spacing w:after="0" w:line="56" w:lineRule="exact"/>
        <w:rPr>
          <w:sz w:val="20"/>
          <w:szCs w:val="20"/>
          <w:color w:val="auto"/>
        </w:rPr>
      </w:pPr>
    </w:p>
    <w:p>
      <w:pPr>
        <w:ind w:left="381"/>
        <w:spacing w:after="0"/>
        <w:rPr>
          <w:sz w:val="20"/>
          <w:szCs w:val="20"/>
          <w:color w:val="auto"/>
        </w:rPr>
      </w:pPr>
      <w:r>
        <w:rPr>
          <w:rFonts w:ascii="Courier New" w:cs="Courier New" w:eastAsia="Courier New" w:hAnsi="Courier New"/>
          <w:sz w:val="13"/>
          <w:szCs w:val="13"/>
          <w:color w:val="auto"/>
        </w:rPr>
        <w:t>To the Company:</w:t>
      </w:r>
    </w:p>
    <w:p>
      <w:pPr>
        <w:spacing w:after="0" w:line="148" w:lineRule="exact"/>
        <w:rPr>
          <w:sz w:val="20"/>
          <w:szCs w:val="20"/>
          <w:color w:val="auto"/>
        </w:rPr>
      </w:pPr>
    </w:p>
    <w:p>
      <w:pPr>
        <w:ind w:left="761"/>
        <w:spacing w:after="0"/>
        <w:rPr>
          <w:sz w:val="20"/>
          <w:szCs w:val="20"/>
          <w:color w:val="auto"/>
        </w:rPr>
      </w:pPr>
      <w:r>
        <w:rPr>
          <w:rFonts w:ascii="Courier New" w:cs="Courier New" w:eastAsia="Courier New" w:hAnsi="Courier New"/>
          <w:sz w:val="13"/>
          <w:szCs w:val="13"/>
          <w:color w:val="auto"/>
        </w:rPr>
        <w:t>Fidelity National Financial, Inc.</w:t>
      </w:r>
    </w:p>
    <w:p>
      <w:pPr>
        <w:spacing w:after="0" w:line="24" w:lineRule="exact"/>
        <w:rPr>
          <w:sz w:val="20"/>
          <w:szCs w:val="20"/>
          <w:color w:val="auto"/>
        </w:rPr>
      </w:pPr>
    </w:p>
    <w:p>
      <w:pPr>
        <w:ind w:left="761"/>
        <w:spacing w:after="0"/>
        <w:rPr>
          <w:sz w:val="20"/>
          <w:szCs w:val="20"/>
          <w:color w:val="auto"/>
        </w:rPr>
      </w:pPr>
      <w:r>
        <w:rPr>
          <w:rFonts w:ascii="Courier New" w:cs="Courier New" w:eastAsia="Courier New" w:hAnsi="Courier New"/>
          <w:sz w:val="13"/>
          <w:szCs w:val="13"/>
          <w:color w:val="auto"/>
        </w:rPr>
        <w:t>601 Riverside Avenue</w:t>
      </w:r>
    </w:p>
    <w:p>
      <w:pPr>
        <w:ind w:left="761"/>
        <w:spacing w:after="0"/>
        <w:rPr>
          <w:sz w:val="20"/>
          <w:szCs w:val="20"/>
          <w:color w:val="auto"/>
        </w:rPr>
      </w:pPr>
      <w:r>
        <w:rPr>
          <w:rFonts w:ascii="Courier New" w:cs="Courier New" w:eastAsia="Courier New" w:hAnsi="Courier New"/>
          <w:sz w:val="13"/>
          <w:szCs w:val="13"/>
          <w:color w:val="auto"/>
        </w:rPr>
        <w:t>Jacksonville, FL 32204</w:t>
      </w:r>
    </w:p>
    <w:p>
      <w:pPr>
        <w:ind w:left="761"/>
        <w:spacing w:after="0"/>
        <w:rPr>
          <w:sz w:val="20"/>
          <w:szCs w:val="20"/>
          <w:color w:val="auto"/>
        </w:rPr>
      </w:pPr>
      <w:r>
        <w:rPr>
          <w:rFonts w:ascii="Courier New" w:cs="Courier New" w:eastAsia="Courier New" w:hAnsi="Courier New"/>
          <w:sz w:val="13"/>
          <w:szCs w:val="13"/>
          <w:color w:val="auto"/>
        </w:rPr>
        <w:t>Attention: General Counsel</w:t>
      </w:r>
    </w:p>
    <w:p>
      <w:pPr>
        <w:spacing w:after="0" w:line="271" w:lineRule="exact"/>
        <w:rPr>
          <w:sz w:val="20"/>
          <w:szCs w:val="20"/>
          <w:color w:val="auto"/>
        </w:rPr>
      </w:pPr>
    </w:p>
    <w:p>
      <w:pPr>
        <w:ind w:left="2981"/>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10241"/>
          </w:cols>
          <w:pgMar w:left="219" w:top="540" w:right="1440" w:bottom="1440" w:gutter="0" w:footer="0" w:header="0"/>
        </w:sectPr>
      </w:pPr>
    </w:p>
    <w:bookmarkStart w:id="176" w:name="page177"/>
    <w:bookmarkEnd w:id="176"/>
    <w:p>
      <w:pPr>
        <w:ind w:left="380"/>
        <w:spacing w:after="0"/>
        <w:rPr>
          <w:sz w:val="20"/>
          <w:szCs w:val="20"/>
          <w:color w:val="auto"/>
        </w:rPr>
      </w:pPr>
      <w:r>
        <w:rPr>
          <w:rFonts w:ascii="Courier New" w:cs="Courier New" w:eastAsia="Courier New" w:hAnsi="Courier New"/>
          <w:sz w:val="13"/>
          <w:szCs w:val="13"/>
          <w:color w:val="auto"/>
        </w:rPr>
        <w:t>To the Employee:</w:t>
      </w:r>
    </w:p>
    <w:p>
      <w:pPr>
        <w:spacing w:after="0" w:line="148" w:lineRule="exact"/>
        <w:rPr>
          <w:sz w:val="20"/>
          <w:szCs w:val="20"/>
          <w:color w:val="auto"/>
        </w:rPr>
      </w:pPr>
    </w:p>
    <w:p>
      <w:pPr>
        <w:ind w:left="760"/>
        <w:spacing w:after="0"/>
        <w:rPr>
          <w:sz w:val="20"/>
          <w:szCs w:val="20"/>
          <w:color w:val="auto"/>
        </w:rPr>
      </w:pPr>
      <w:r>
        <w:rPr>
          <w:rFonts w:ascii="Courier New" w:cs="Courier New" w:eastAsia="Courier New" w:hAnsi="Courier New"/>
          <w:sz w:val="13"/>
          <w:szCs w:val="13"/>
          <w:color w:val="auto"/>
        </w:rPr>
        <w:t>Peter T. Sadowski</w:t>
      </w:r>
    </w:p>
    <w:p>
      <w:pPr>
        <w:spacing w:after="0" w:line="24" w:lineRule="exact"/>
        <w:rPr>
          <w:sz w:val="20"/>
          <w:szCs w:val="20"/>
          <w:color w:val="auto"/>
        </w:rPr>
      </w:pPr>
    </w:p>
    <w:p>
      <w:pPr>
        <w:ind w:left="760"/>
        <w:spacing w:after="0"/>
        <w:rPr>
          <w:sz w:val="20"/>
          <w:szCs w:val="20"/>
          <w:color w:val="auto"/>
        </w:rPr>
      </w:pPr>
      <w:r>
        <w:rPr>
          <w:rFonts w:ascii="Courier New" w:cs="Courier New" w:eastAsia="Courier New" w:hAnsi="Courier New"/>
          <w:sz w:val="13"/>
          <w:szCs w:val="13"/>
          <w:color w:val="auto"/>
        </w:rPr>
        <w:t>c/o Fidelity National Title Group, Inc.</w:t>
      </w:r>
    </w:p>
    <w:p>
      <w:pPr>
        <w:ind w:left="760"/>
        <w:spacing w:after="0"/>
        <w:rPr>
          <w:sz w:val="20"/>
          <w:szCs w:val="20"/>
          <w:color w:val="auto"/>
        </w:rPr>
      </w:pPr>
      <w:r>
        <w:rPr>
          <w:rFonts w:ascii="Courier New" w:cs="Courier New" w:eastAsia="Courier New" w:hAnsi="Courier New"/>
          <w:sz w:val="13"/>
          <w:szCs w:val="13"/>
          <w:color w:val="auto"/>
        </w:rPr>
        <w:t>601 Riverside Avenue</w:t>
      </w:r>
    </w:p>
    <w:p>
      <w:pPr>
        <w:ind w:left="760"/>
        <w:spacing w:after="0"/>
        <w:rPr>
          <w:sz w:val="20"/>
          <w:szCs w:val="20"/>
          <w:color w:val="auto"/>
        </w:rPr>
      </w:pPr>
      <w:r>
        <w:rPr>
          <w:rFonts w:ascii="Courier New" w:cs="Courier New" w:eastAsia="Courier New" w:hAnsi="Courier New"/>
          <w:sz w:val="13"/>
          <w:szCs w:val="13"/>
          <w:color w:val="auto"/>
        </w:rPr>
        <w:t>Jacksonville, FL 32204</w:t>
      </w:r>
    </w:p>
    <w:p>
      <w:pPr>
        <w:spacing w:after="0" w:line="124" w:lineRule="exact"/>
        <w:rPr>
          <w:sz w:val="20"/>
          <w:szCs w:val="20"/>
          <w:color w:val="auto"/>
        </w:rPr>
      </w:pPr>
    </w:p>
    <w:p>
      <w:pPr>
        <w:ind w:right="4419" w:firstLine="382"/>
        <w:spacing w:after="0" w:line="296" w:lineRule="auto"/>
        <w:tabs>
          <w:tab w:leader="none" w:pos="690" w:val="left"/>
        </w:tabs>
        <w:numPr>
          <w:ilvl w:val="0"/>
          <w:numId w:val="1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Waiver of Breach. The waiver by any party of any provisions of this Agreement shall not operate or be construed as a waiver of any prior or subsequent breach by the other party.</w:t>
      </w:r>
    </w:p>
    <w:p>
      <w:pPr>
        <w:spacing w:after="0" w:line="44" w:lineRule="exact"/>
        <w:rPr>
          <w:rFonts w:ascii="Courier New" w:cs="Courier New" w:eastAsia="Courier New" w:hAnsi="Courier New"/>
          <w:sz w:val="13"/>
          <w:szCs w:val="13"/>
          <w:color w:val="auto"/>
        </w:rPr>
      </w:pPr>
    </w:p>
    <w:p>
      <w:pPr>
        <w:ind w:right="4099" w:firstLine="382"/>
        <w:spacing w:after="0" w:line="331" w:lineRule="auto"/>
        <w:tabs>
          <w:tab w:leader="none" w:pos="690" w:val="left"/>
        </w:tabs>
        <w:numPr>
          <w:ilvl w:val="0"/>
          <w:numId w:val="1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Tax Withholding. The Company or an affiliate may deduct from all compensation and benefits payable under this Agreement any taxes or withholdings the Company is required to deduct pursuant to state, federal or local laws.</w:t>
      </w:r>
    </w:p>
    <w:p>
      <w:pPr>
        <w:spacing w:after="0" w:line="27" w:lineRule="exact"/>
        <w:rPr>
          <w:rFonts w:ascii="Courier New" w:cs="Courier New" w:eastAsia="Courier New" w:hAnsi="Courier New"/>
          <w:sz w:val="12"/>
          <w:szCs w:val="12"/>
          <w:color w:val="auto"/>
        </w:rPr>
      </w:pPr>
    </w:p>
    <w:p>
      <w:pPr>
        <w:ind w:right="4099" w:firstLine="382"/>
        <w:spacing w:after="0" w:line="280" w:lineRule="auto"/>
        <w:tabs>
          <w:tab w:leader="none" w:pos="690" w:val="left"/>
        </w:tabs>
        <w:numPr>
          <w:ilvl w:val="0"/>
          <w:numId w:val="1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Code Section 409A. To the extent applicable, it is intended that this Agreement and any payment made hereunder shall comply with the requirements of Section 409A of the Code, and any related regulations or other guidance promulgated with respect to such Section by the U.S. Department of the Treasury or the Internal Revenue Service ("Code Section 409A"). Any provision that would cause the Agreement or any payment hereof to fail to satisfy Code Section 409A shall have no force or effect until amended to comply with Code Section 409A, which amendment may be retroactive to the extent permitted by Code Section 409A.</w:t>
      </w:r>
    </w:p>
    <w:p>
      <w:pPr>
        <w:spacing w:after="0" w:line="58" w:lineRule="exact"/>
        <w:rPr>
          <w:sz w:val="20"/>
          <w:szCs w:val="20"/>
          <w:color w:val="auto"/>
        </w:rPr>
      </w:pPr>
    </w:p>
    <w:p>
      <w:pPr>
        <w:ind w:right="4099" w:firstLine="383"/>
        <w:spacing w:after="0" w:line="353" w:lineRule="auto"/>
        <w:rPr>
          <w:sz w:val="20"/>
          <w:szCs w:val="20"/>
          <w:color w:val="auto"/>
        </w:rPr>
      </w:pPr>
      <w:r>
        <w:rPr>
          <w:rFonts w:ascii="Courier New" w:cs="Courier New" w:eastAsia="Courier New" w:hAnsi="Courier New"/>
          <w:sz w:val="13"/>
          <w:szCs w:val="13"/>
          <w:color w:val="auto"/>
        </w:rPr>
        <w:t>IN WITNESS WHEREOF the parties have executed this Agreement to be effective as of the date first set forth above.</w:t>
      </w:r>
    </w:p>
    <w:p>
      <w:pPr>
        <w:spacing w:after="0" w:line="9"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FIDELITY NATIONAL TITLE GROUP, INC.</w:t>
      </w:r>
    </w:p>
    <w:p>
      <w:pPr>
        <w:spacing w:after="0" w:line="295"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By: /s/ Alan L. Stinson</w:t>
      </w:r>
    </w:p>
    <w:p>
      <w:pPr>
        <w:spacing w:after="0" w:line="24" w:lineRule="exact"/>
        <w:rPr>
          <w:sz w:val="20"/>
          <w:szCs w:val="20"/>
          <w:color w:val="auto"/>
        </w:rPr>
      </w:pPr>
    </w:p>
    <w:p>
      <w:pPr>
        <w:ind w:left="3380"/>
        <w:spacing w:after="0"/>
        <w:rPr>
          <w:sz w:val="20"/>
          <w:szCs w:val="20"/>
          <w:color w:val="auto"/>
        </w:rPr>
      </w:pPr>
      <w:r>
        <w:rPr>
          <w:rFonts w:ascii="Courier New" w:cs="Courier New" w:eastAsia="Courier New" w:hAnsi="Courier New"/>
          <w:sz w:val="12"/>
          <w:szCs w:val="12"/>
          <w:color w:val="auto"/>
        </w:rPr>
        <w:t>------------------------------------</w:t>
      </w:r>
    </w:p>
    <w:p>
      <w:pPr>
        <w:spacing w:after="0" w:line="12"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Its: Co-chief Operating Officer</w:t>
      </w:r>
    </w:p>
    <w:p>
      <w:pPr>
        <w:spacing w:after="0" w:line="271"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PETER T. SADOWSKI</w:t>
      </w:r>
    </w:p>
    <w:p>
      <w:pPr>
        <w:spacing w:after="0" w:line="295"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/s/ Peter T. Sadowski</w:t>
      </w: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2"/>
          <w:szCs w:val="12"/>
          <w:color w:val="auto"/>
        </w:rPr>
        <w:t>----------------------------------------</w:t>
      </w:r>
    </w:p>
    <w:p>
      <w:pPr>
        <w:spacing w:after="0" w:line="282"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15</w:t>
      </w:r>
    </w:p>
    <w:p>
      <w:pPr>
        <w:sectPr>
          <w:pgSz w:w="11900" w:h="16838" w:orient="portrait"/>
          <w:cols w:equalWidth="0" w:num="1">
            <w:col w:w="10239"/>
          </w:cols>
          <w:pgMar w:left="220" w:top="540" w:right="1440" w:bottom="1440" w:gutter="0" w:footer="0" w:header="0"/>
        </w:sectPr>
      </w:pPr>
    </w:p>
    <w:bookmarkStart w:id="177" w:name="page178"/>
    <w:bookmarkEnd w:id="177"/>
    <w:p>
      <w:pPr>
        <w:jc w:val="right"/>
        <w:ind w:right="4099"/>
        <w:spacing w:after="0"/>
        <w:rPr>
          <w:sz w:val="20"/>
          <w:szCs w:val="20"/>
          <w:color w:val="auto"/>
        </w:rPr>
      </w:pPr>
      <w:r>
        <w:rPr>
          <w:rFonts w:ascii="Courier New" w:cs="Courier New" w:eastAsia="Courier New" w:hAnsi="Courier New"/>
          <w:sz w:val="13"/>
          <w:szCs w:val="13"/>
          <w:color w:val="auto"/>
        </w:rPr>
        <w:t>EXHIBIT 10.12</w:t>
      </w:r>
    </w:p>
    <w:p>
      <w:pPr>
        <w:spacing w:after="0" w:line="295" w:lineRule="exact"/>
        <w:rPr>
          <w:sz w:val="20"/>
          <w:szCs w:val="20"/>
          <w:color w:val="auto"/>
        </w:rPr>
      </w:pPr>
    </w:p>
    <w:p>
      <w:pPr>
        <w:ind w:left="2300"/>
        <w:spacing w:after="0"/>
        <w:rPr>
          <w:sz w:val="20"/>
          <w:szCs w:val="20"/>
          <w:color w:val="auto"/>
        </w:rPr>
      </w:pPr>
      <w:r>
        <w:rPr>
          <w:rFonts w:ascii="Courier New" w:cs="Courier New" w:eastAsia="Courier New" w:hAnsi="Courier New"/>
          <w:sz w:val="13"/>
          <w:szCs w:val="13"/>
          <w:color w:val="auto"/>
        </w:rPr>
        <w:t>EMPLOYMENT AGREEMENT</w:t>
      </w:r>
    </w:p>
    <w:p>
      <w:pPr>
        <w:spacing w:after="0" w:line="148" w:lineRule="exact"/>
        <w:rPr>
          <w:sz w:val="20"/>
          <w:szCs w:val="20"/>
          <w:color w:val="auto"/>
        </w:rPr>
      </w:pPr>
    </w:p>
    <w:p>
      <w:pPr>
        <w:ind w:right="4099" w:firstLine="383"/>
        <w:spacing w:after="0" w:line="268" w:lineRule="auto"/>
        <w:rPr>
          <w:sz w:val="20"/>
          <w:szCs w:val="20"/>
          <w:color w:val="auto"/>
        </w:rPr>
      </w:pPr>
      <w:r>
        <w:rPr>
          <w:rFonts w:ascii="Courier New" w:cs="Courier New" w:eastAsia="Courier New" w:hAnsi="Courier New"/>
          <w:sz w:val="13"/>
          <w:szCs w:val="13"/>
          <w:color w:val="auto"/>
        </w:rPr>
        <w:t>THIS EMPLOYMENT AGREEMENT (the "Agreement") is effective as of October 24, 2006 (the "Effective Date"), by and between FIDELITY NATIONAL TITLE GROUP, INC., a Delaware corporation (the "Company"), and WILLIAM P. FOLEY, II (the "Employee"). In consideration of the mutual covenants and agreements set forth herein, the parties agree as follows:</w:t>
      </w:r>
    </w:p>
    <w:p>
      <w:pPr>
        <w:spacing w:after="0" w:line="62" w:lineRule="exact"/>
        <w:rPr>
          <w:sz w:val="20"/>
          <w:szCs w:val="20"/>
          <w:color w:val="auto"/>
        </w:rPr>
      </w:pPr>
    </w:p>
    <w:p>
      <w:pPr>
        <w:ind w:right="4099" w:firstLine="382"/>
        <w:spacing w:after="0" w:line="278" w:lineRule="auto"/>
        <w:tabs>
          <w:tab w:leader="none" w:pos="613" w:val="left"/>
        </w:tabs>
        <w:numPr>
          <w:ilvl w:val="0"/>
          <w:numId w:val="1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Employment and Duties. Subject to the terms and conditions of this Agreement, the Company employs the Employee to serve in an executive capacity as Chief Executive Officer. Employee accepts such employment and agrees to undertake and discharge the duties, functions and responsibilities set forth in Appendix A attached hereto. In addition to the duties and responsibilities specifically assigned to the Employee pursuant to Appendix A, the Employee will perform such other duties and responsibilities as are from time to time assigned to the Employee by the Board of Directors of the Company (the "Board") in writing, consistent with the terms and provisions of this Agreement.</w:t>
      </w:r>
    </w:p>
    <w:p>
      <w:pPr>
        <w:spacing w:after="0" w:line="57" w:lineRule="exact"/>
        <w:rPr>
          <w:rFonts w:ascii="Courier New" w:cs="Courier New" w:eastAsia="Courier New" w:hAnsi="Courier New"/>
          <w:sz w:val="12"/>
          <w:szCs w:val="12"/>
          <w:color w:val="auto"/>
        </w:rPr>
      </w:pPr>
    </w:p>
    <w:p>
      <w:pPr>
        <w:ind w:right="4099" w:firstLine="382"/>
        <w:spacing w:after="0" w:line="249" w:lineRule="auto"/>
        <w:tabs>
          <w:tab w:leader="none" w:pos="613" w:val="left"/>
        </w:tabs>
        <w:numPr>
          <w:ilvl w:val="0"/>
          <w:numId w:val="13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 The term of this Agreement shall commence on the Effective Date and shall continue for a period of three (3) years ending on the third anniversary of the Effective Date or, if later, ending on the last day of any extension made pursuant to the next sentence, subject to prior termination as set forth in Section 7 (such term, including any extensions pursuant to the next sentence, the "Employment Term"). The Employment Term shall be extended automatically for one (1) additional year on the first anniversary of the Effective Date and for an additional year each anniversary thereafter unless and until either party gives written notice to the other not to extend the Employment Term before such extension would be effectuated. Notwithstanding any termination of the Employment Term or the Employee's employment, the Employee and the Company agree that Sections 7 through 9 shall remain in effect until all parties' obligations and benefits are satisfied thereunder.</w:t>
      </w:r>
    </w:p>
    <w:p>
      <w:pPr>
        <w:spacing w:after="0" w:line="77" w:lineRule="exact"/>
        <w:rPr>
          <w:rFonts w:ascii="Courier New" w:cs="Courier New" w:eastAsia="Courier New" w:hAnsi="Courier New"/>
          <w:sz w:val="13"/>
          <w:szCs w:val="13"/>
          <w:color w:val="auto"/>
        </w:rPr>
      </w:pPr>
    </w:p>
    <w:p>
      <w:pPr>
        <w:ind w:right="4099" w:firstLine="382"/>
        <w:spacing w:after="0" w:line="256" w:lineRule="auto"/>
        <w:tabs>
          <w:tab w:leader="none" w:pos="613" w:val="left"/>
        </w:tabs>
        <w:numPr>
          <w:ilvl w:val="0"/>
          <w:numId w:val="134"/>
        </w:numPr>
        <w:rPr>
          <w:rFonts w:ascii="Courier New" w:cs="Courier New" w:eastAsia="Courier New" w:hAnsi="Courier New"/>
          <w:sz w:val="13"/>
          <w:szCs w:val="13"/>
          <w:color w:val="auto"/>
        </w:rPr>
      </w:pPr>
      <w:r>
        <w:rPr>
          <w:rFonts w:ascii="Courier New" w:cs="Courier New" w:eastAsia="Courier New" w:hAnsi="Courier New"/>
          <w:sz w:val="13"/>
          <w:szCs w:val="13"/>
          <w:color w:val="auto"/>
        </w:rPr>
        <w:t>Salary. During the Employment Term, the Company shall pay the Employee an annual base salary, before deducting all applicable withholdings, of $500,000 per year, payable at the time and in the manner dictated by the Company's standard payroll policies. Such minimum annual base salary may be periodically reviewed and increased at the discretion of the Compensation Committee of the Board (the "Committee") to reflect, among other matters, cost of living increases and performance results (such annual base salary, including any increases pursuant to this Section 3, the "Annual Base Salary").</w:t>
      </w:r>
    </w:p>
    <w:p>
      <w:pPr>
        <w:spacing w:after="0" w:line="70" w:lineRule="exact"/>
        <w:rPr>
          <w:rFonts w:ascii="Courier New" w:cs="Courier New" w:eastAsia="Courier New" w:hAnsi="Courier New"/>
          <w:sz w:val="13"/>
          <w:szCs w:val="13"/>
          <w:color w:val="auto"/>
        </w:rPr>
      </w:pPr>
    </w:p>
    <w:p>
      <w:pPr>
        <w:ind w:right="4259" w:firstLine="382"/>
        <w:spacing w:after="0" w:line="268" w:lineRule="auto"/>
        <w:tabs>
          <w:tab w:leader="none" w:pos="613" w:val="left"/>
        </w:tabs>
        <w:numPr>
          <w:ilvl w:val="0"/>
          <w:numId w:val="134"/>
        </w:numPr>
        <w:rPr>
          <w:rFonts w:ascii="Courier New" w:cs="Courier New" w:eastAsia="Courier New" w:hAnsi="Courier New"/>
          <w:sz w:val="13"/>
          <w:szCs w:val="13"/>
          <w:color w:val="auto"/>
        </w:rPr>
      </w:pPr>
      <w:r>
        <w:rPr>
          <w:rFonts w:ascii="Courier New" w:cs="Courier New" w:eastAsia="Courier New" w:hAnsi="Courier New"/>
          <w:sz w:val="13"/>
          <w:szCs w:val="13"/>
          <w:color w:val="auto"/>
        </w:rPr>
        <w:t>Other Compensation and Fringe Benefits. In addition to any executive bonus, pension, deferred compensation and long-term incentive plans which the Company or an affiliate of the Company may from time to time make available to the Employee, the Employee shall be entitled to the following during the Employment Term:</w:t>
      </w:r>
    </w:p>
    <w:p>
      <w:pPr>
        <w:spacing w:after="0" w:line="62" w:lineRule="exact"/>
        <w:rPr>
          <w:sz w:val="20"/>
          <w:szCs w:val="20"/>
          <w:color w:val="auto"/>
        </w:rPr>
      </w:pPr>
    </w:p>
    <w:p>
      <w:pPr>
        <w:ind w:left="760" w:right="4559" w:hanging="378"/>
        <w:spacing w:after="0" w:line="353" w:lineRule="auto"/>
        <w:tabs>
          <w:tab w:leader="none" w:pos="760" w:val="left"/>
        </w:tabs>
        <w:numPr>
          <w:ilvl w:val="0"/>
          <w:numId w:val="13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standard Company benefits enjoyed by the Company's other top executives as a group;</w:t>
      </w:r>
    </w:p>
    <w:p>
      <w:pPr>
        <w:spacing w:after="0" w:line="9" w:lineRule="exact"/>
        <w:rPr>
          <w:rFonts w:ascii="Courier New" w:cs="Courier New" w:eastAsia="Courier New" w:hAnsi="Courier New"/>
          <w:sz w:val="13"/>
          <w:szCs w:val="13"/>
          <w:color w:val="auto"/>
        </w:rPr>
      </w:pPr>
    </w:p>
    <w:p>
      <w:pPr>
        <w:ind w:left="760" w:right="4179" w:hanging="378"/>
        <w:spacing w:after="0" w:line="277" w:lineRule="auto"/>
        <w:tabs>
          <w:tab w:leader="none" w:pos="760" w:val="left"/>
        </w:tabs>
        <w:numPr>
          <w:ilvl w:val="0"/>
          <w:numId w:val="135"/>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payment by the Company of the Employee's initiation and membership dues in all social and/or recreational clubs as deemed necessary and appropriate by the Company to maintain various business relationships on behalf of the Company;</w:t>
      </w:r>
    </w:p>
    <w:p>
      <w:pPr>
        <w:sectPr>
          <w:pgSz w:w="11900" w:h="16838" w:orient="portrait"/>
          <w:cols w:equalWidth="0" w:num="1">
            <w:col w:w="10239"/>
          </w:cols>
          <w:pgMar w:left="220" w:top="265" w:right="1440" w:bottom="1440" w:gutter="0" w:footer="0" w:header="0"/>
        </w:sectPr>
      </w:pPr>
    </w:p>
    <w:bookmarkStart w:id="178" w:name="page179"/>
    <w:bookmarkEnd w:id="178"/>
    <w:p>
      <w:pPr>
        <w:ind w:left="378" w:right="4179"/>
        <w:spacing w:after="0" w:line="390" w:lineRule="auto"/>
        <w:rPr>
          <w:sz w:val="20"/>
          <w:szCs w:val="20"/>
          <w:color w:val="auto"/>
        </w:rPr>
      </w:pPr>
      <w:r>
        <w:rPr>
          <w:rFonts w:ascii="Courier New" w:cs="Courier New" w:eastAsia="Courier New" w:hAnsi="Courier New"/>
          <w:sz w:val="12"/>
          <w:szCs w:val="12"/>
          <w:color w:val="auto"/>
        </w:rPr>
        <w:t>provided, however, that the Company shall not be obligated to pay for any of the Employee's personal purchases and expenses at such clubs;</w:t>
      </w:r>
    </w:p>
    <w:p>
      <w:pPr>
        <w:spacing w:after="0" w:line="1" w:lineRule="exact"/>
        <w:rPr>
          <w:sz w:val="20"/>
          <w:szCs w:val="20"/>
          <w:color w:val="auto"/>
        </w:rPr>
      </w:pPr>
    </w:p>
    <w:p>
      <w:pPr>
        <w:ind w:left="378" w:right="4099" w:hanging="378"/>
        <w:spacing w:after="0" w:line="296" w:lineRule="auto"/>
        <w:tabs>
          <w:tab w:leader="none" w:pos="378" w:val="left"/>
        </w:tabs>
        <w:numPr>
          <w:ilvl w:val="0"/>
          <w:numId w:val="1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medical and other insurance coverage (for the Employee and any covered dependents) provided by the Company to its other top executives as a group;</w:t>
      </w:r>
    </w:p>
    <w:p>
      <w:pPr>
        <w:spacing w:after="0" w:line="44" w:lineRule="exact"/>
        <w:rPr>
          <w:rFonts w:ascii="Courier New" w:cs="Courier New" w:eastAsia="Courier New" w:hAnsi="Courier New"/>
          <w:sz w:val="13"/>
          <w:szCs w:val="13"/>
          <w:color w:val="auto"/>
        </w:rPr>
      </w:pPr>
    </w:p>
    <w:p>
      <w:pPr>
        <w:ind w:left="378" w:right="4179" w:hanging="378"/>
        <w:spacing w:after="0" w:line="353" w:lineRule="auto"/>
        <w:tabs>
          <w:tab w:leader="none" w:pos="378" w:val="left"/>
        </w:tabs>
        <w:numPr>
          <w:ilvl w:val="0"/>
          <w:numId w:val="1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supplemental disability insurance sufficient to provide two-thirds of the Employee's pre-disability Annual Base Salary;</w:t>
      </w:r>
    </w:p>
    <w:p>
      <w:pPr>
        <w:spacing w:after="0" w:line="9" w:lineRule="exact"/>
        <w:rPr>
          <w:rFonts w:ascii="Courier New" w:cs="Courier New" w:eastAsia="Courier New" w:hAnsi="Courier New"/>
          <w:sz w:val="13"/>
          <w:szCs w:val="13"/>
          <w:color w:val="auto"/>
        </w:rPr>
      </w:pPr>
    </w:p>
    <w:p>
      <w:pPr>
        <w:ind w:left="378" w:right="4099" w:hanging="378"/>
        <w:spacing w:after="0" w:line="248" w:lineRule="auto"/>
        <w:tabs>
          <w:tab w:leader="none" w:pos="378" w:val="left"/>
        </w:tabs>
        <w:numPr>
          <w:ilvl w:val="0"/>
          <w:numId w:val="1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 annual incentive bonus opportunity under the Company's annual incentive plan ("Annual Bonus Plan") for each calendar year included in the Employment Term, with such opportunity to be earned based upon attainment of performance objectives established by the Committee ("Annual Bonus"). The Employee's "bonus factor" or "bonus target" under the Annual Bonus Plan shall be not less than 250% of the Employee's Annual Base Salary. The Employee's "bonus factor" may be periodically reviewed and increased (but not decreased without the Employee's express written consent) at the discretion of the Committee. The Annual Bonus shall be paid no later than the March 15th first following the calendar year to which the Annual Bonus relates. Unless provided otherwise herein or the Board determines otherwise, no Annual Bonus shall be paid to the Employee unless the Employee is employed by the Company, or an affiliate thereof, on the Annual Bonus payment date; and</w:t>
      </w:r>
    </w:p>
    <w:p>
      <w:pPr>
        <w:spacing w:after="0" w:line="76" w:lineRule="exact"/>
        <w:rPr>
          <w:rFonts w:ascii="Courier New" w:cs="Courier New" w:eastAsia="Courier New" w:hAnsi="Courier New"/>
          <w:sz w:val="13"/>
          <w:szCs w:val="13"/>
          <w:color w:val="auto"/>
        </w:rPr>
      </w:pPr>
    </w:p>
    <w:p>
      <w:pPr>
        <w:ind w:left="378" w:hanging="378"/>
        <w:spacing w:after="0"/>
        <w:tabs>
          <w:tab w:leader="none" w:pos="378" w:val="left"/>
        </w:tabs>
        <w:numPr>
          <w:ilvl w:val="0"/>
          <w:numId w:val="1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participation in the Company's equity incentive plans.</w:t>
      </w:r>
    </w:p>
    <w:p>
      <w:pPr>
        <w:spacing w:after="0" w:line="148" w:lineRule="exact"/>
        <w:rPr>
          <w:sz w:val="20"/>
          <w:szCs w:val="20"/>
          <w:color w:val="auto"/>
        </w:rPr>
      </w:pPr>
    </w:p>
    <w:p>
      <w:pPr>
        <w:ind w:left="-382" w:right="4179" w:firstLine="382"/>
        <w:spacing w:after="0" w:line="262" w:lineRule="auto"/>
        <w:tabs>
          <w:tab w:leader="none" w:pos="231" w:val="left"/>
        </w:tabs>
        <w:numPr>
          <w:ilvl w:val="0"/>
          <w:numId w:val="137"/>
        </w:numPr>
        <w:rPr>
          <w:rFonts w:ascii="Courier New" w:cs="Courier New" w:eastAsia="Courier New" w:hAnsi="Courier New"/>
          <w:sz w:val="13"/>
          <w:szCs w:val="13"/>
          <w:color w:val="auto"/>
        </w:rPr>
      </w:pPr>
      <w:r>
        <w:rPr>
          <w:rFonts w:ascii="Courier New" w:cs="Courier New" w:eastAsia="Courier New" w:hAnsi="Courier New"/>
          <w:sz w:val="13"/>
          <w:szCs w:val="13"/>
          <w:color w:val="auto"/>
        </w:rPr>
        <w:t>Vacation. For and during each calendar year within the Employment Term, the Employee shall be entitled to reasonable paid vacation periods consistent with his positions with the Company and in accordance with the Company's standard policies, or as the Board may approve. In addition, the Employee shall be entitled to such holidays consistent with the Company's standard policies or as the Board or the Committee may approve.</w:t>
      </w:r>
    </w:p>
    <w:p>
      <w:pPr>
        <w:spacing w:after="0" w:line="67" w:lineRule="exact"/>
        <w:rPr>
          <w:rFonts w:ascii="Courier New" w:cs="Courier New" w:eastAsia="Courier New" w:hAnsi="Courier New"/>
          <w:sz w:val="13"/>
          <w:szCs w:val="13"/>
          <w:color w:val="auto"/>
        </w:rPr>
      </w:pPr>
    </w:p>
    <w:p>
      <w:pPr>
        <w:ind w:left="-382" w:right="4259" w:firstLine="382"/>
        <w:spacing w:after="0" w:line="262" w:lineRule="auto"/>
        <w:tabs>
          <w:tab w:leader="none" w:pos="231" w:val="left"/>
        </w:tabs>
        <w:numPr>
          <w:ilvl w:val="0"/>
          <w:numId w:val="137"/>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Expense Reimbursement. In addition to the compensation and benefits provided herein, the Company shall, upon receipt of appropriate documentation, reimburse the Employee each month for his reasonable travel, lodging, entertainment, promotion and other ordinary and necessary business expenses to the extent such reimbursement is permitted under the Company's expense reimbursement policy.</w:t>
      </w:r>
    </w:p>
    <w:p>
      <w:pPr>
        <w:spacing w:after="0" w:line="67" w:lineRule="exact"/>
        <w:rPr>
          <w:rFonts w:ascii="Courier New" w:cs="Courier New" w:eastAsia="Courier New" w:hAnsi="Courier New"/>
          <w:sz w:val="13"/>
          <w:szCs w:val="13"/>
          <w:color w:val="auto"/>
        </w:rPr>
      </w:pPr>
    </w:p>
    <w:p>
      <w:pPr>
        <w:ind w:left="-382" w:right="4099" w:firstLine="382"/>
        <w:spacing w:after="0" w:line="268" w:lineRule="auto"/>
        <w:tabs>
          <w:tab w:leader="none" w:pos="231" w:val="left"/>
        </w:tabs>
        <w:numPr>
          <w:ilvl w:val="0"/>
          <w:numId w:val="13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of Employment. The Company or the Employee may terminate the Employee's employment at any time and for any reason in accordance with subsection 7(a) below. The Employment Term shall be deemed to have ended on the last day of the Employee's employment. The Employment Term shall terminate automatically upon the Employee's death.</w:t>
      </w:r>
    </w:p>
    <w:p>
      <w:pPr>
        <w:spacing w:after="0" w:line="62" w:lineRule="exact"/>
        <w:rPr>
          <w:sz w:val="20"/>
          <w:szCs w:val="20"/>
          <w:color w:val="auto"/>
        </w:rPr>
      </w:pPr>
    </w:p>
    <w:p>
      <w:pPr>
        <w:ind w:left="378" w:right="4099" w:hanging="378"/>
        <w:spacing w:after="0" w:line="259" w:lineRule="auto"/>
        <w:tabs>
          <w:tab w:leader="none" w:pos="378" w:val="left"/>
        </w:tabs>
        <w:numPr>
          <w:ilvl w:val="0"/>
          <w:numId w:val="1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Notice of Termination. Any purported termination of the Employee's employment (other than by reason of death) shall be communicated by written Notice of Termination (as defined herein) from one party hereto to the other party hereto in accordance with the notice provisions contained in Section 25. For purposes of this Agreement, a "Notice of Termination" shall mean a notice that indicates the Date of Termination (as that term is defined in Section 7(b)) and,</w:t>
      </w:r>
    </w:p>
    <w:p>
      <w:pPr>
        <w:spacing w:after="0" w:line="214" w:lineRule="exact"/>
        <w:rPr>
          <w:sz w:val="20"/>
          <w:szCs w:val="20"/>
          <w:color w:val="auto"/>
        </w:rPr>
      </w:pPr>
    </w:p>
    <w:p>
      <w:pPr>
        <w:ind w:left="2678"/>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9857"/>
          </w:cols>
          <w:pgMar w:left="602" w:top="540" w:right="1440" w:bottom="1440" w:gutter="0" w:footer="0" w:header="0"/>
        </w:sectPr>
      </w:pPr>
    </w:p>
    <w:bookmarkStart w:id="179" w:name="page180"/>
    <w:bookmarkEnd w:id="179"/>
    <w:p>
      <w:pPr>
        <w:ind w:left="378" w:right="4099"/>
        <w:spacing w:after="0" w:line="254" w:lineRule="auto"/>
        <w:rPr>
          <w:sz w:val="20"/>
          <w:szCs w:val="20"/>
          <w:color w:val="auto"/>
        </w:rPr>
      </w:pPr>
      <w:r>
        <w:rPr>
          <w:rFonts w:ascii="Courier New" w:cs="Courier New" w:eastAsia="Courier New" w:hAnsi="Courier New"/>
          <w:sz w:val="13"/>
          <w:szCs w:val="13"/>
          <w:color w:val="auto"/>
        </w:rPr>
        <w:t>with respect to a termination due to Disability (as that term is defined in Section 7(e)), Cause (as that term is defined in Section 7(d)) or Good Reason (as that term is defined in Section 7(f)), sets forth in reasonable detail the facts and circumstances that are alleged to provide a basis for such termination. A Notice of Termination from the Company shall specify whether the termination is with or without Cause or due to the Employee's Disability. A Notice of Termination from the Employee shall specify whether the termination is with or without Good Reason or due to Disability.</w:t>
      </w:r>
    </w:p>
    <w:p>
      <w:pPr>
        <w:spacing w:after="0" w:line="72" w:lineRule="exact"/>
        <w:rPr>
          <w:sz w:val="20"/>
          <w:szCs w:val="20"/>
          <w:color w:val="auto"/>
        </w:rPr>
      </w:pPr>
    </w:p>
    <w:p>
      <w:pPr>
        <w:ind w:left="378" w:right="4179" w:hanging="378"/>
        <w:spacing w:after="0" w:line="262" w:lineRule="auto"/>
        <w:tabs>
          <w:tab w:leader="none" w:pos="378" w:val="left"/>
        </w:tabs>
        <w:numPr>
          <w:ilvl w:val="0"/>
          <w:numId w:val="1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Date of Termination. For purposes of this Agreement, "Date of Termination" shall mean the date specified in the Notice of Termination (but in no event shall such date be earlier than the 30th day following the date the Notice of Termination is given, unless expressly agreed to by the parties hereto) or the date of the Employee's death.</w:t>
      </w:r>
    </w:p>
    <w:p>
      <w:pPr>
        <w:spacing w:after="0" w:line="67" w:lineRule="exact"/>
        <w:rPr>
          <w:rFonts w:ascii="Courier New" w:cs="Courier New" w:eastAsia="Courier New" w:hAnsi="Courier New"/>
          <w:sz w:val="13"/>
          <w:szCs w:val="13"/>
          <w:color w:val="auto"/>
        </w:rPr>
      </w:pPr>
    </w:p>
    <w:p>
      <w:pPr>
        <w:ind w:left="378" w:right="4099" w:hanging="378"/>
        <w:spacing w:after="0" w:line="262" w:lineRule="auto"/>
        <w:tabs>
          <w:tab w:leader="none" w:pos="378" w:val="left"/>
        </w:tabs>
        <w:numPr>
          <w:ilvl w:val="0"/>
          <w:numId w:val="1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Waiver.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67" w:lineRule="exact"/>
        <w:rPr>
          <w:rFonts w:ascii="Courier New" w:cs="Courier New" w:eastAsia="Courier New" w:hAnsi="Courier New"/>
          <w:sz w:val="13"/>
          <w:szCs w:val="13"/>
          <w:color w:val="auto"/>
        </w:rPr>
      </w:pPr>
    </w:p>
    <w:p>
      <w:pPr>
        <w:ind w:left="378" w:hanging="378"/>
        <w:spacing w:after="0"/>
        <w:tabs>
          <w:tab w:leader="none" w:pos="378" w:val="left"/>
        </w:tabs>
        <w:numPr>
          <w:ilvl w:val="0"/>
          <w:numId w:val="1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Cause. For purposes of this Agreement, "Cause" means the Employee's</w:t>
      </w:r>
    </w:p>
    <w:p>
      <w:pPr>
        <w:spacing w:after="0" w:line="24" w:lineRule="exact"/>
        <w:rPr>
          <w:rFonts w:ascii="Courier New" w:cs="Courier New" w:eastAsia="Courier New" w:hAnsi="Courier New"/>
          <w:sz w:val="13"/>
          <w:szCs w:val="13"/>
          <w:color w:val="auto"/>
        </w:rPr>
      </w:pPr>
    </w:p>
    <w:p>
      <w:pPr>
        <w:ind w:left="378" w:right="4099" w:firstLine="5"/>
        <w:spacing w:after="0" w:line="265" w:lineRule="auto"/>
        <w:tabs>
          <w:tab w:leader="none" w:pos="685" w:val="left"/>
        </w:tabs>
        <w:numPr>
          <w:ilvl w:val="1"/>
          <w:numId w:val="1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persistent failure to perform duties consistent with a commercially reasonable standard of care (other than due to a physical or mental impairment or due to an action or inaction directed by the Company that would otherwise constitute Good Reason); (ii) willful neglect of duties (other than due to a physical or mental impairment or due to an action or inaction directed by the Company that would otherwise constitute Good Reason); (iii) conviction of, or pleading nolo contendere to, criminal or other illegal activities involving dishonesty; (iv) material breach of this Agreement; or (v) impeding, or failing to materially cooperate with, an investigation authorized by the Board. The Employee's termination for Cause shall be effective when and if a resolution is duly adopted by an affirmative vote of at least 3/4 of the Board (less the Employee), stating that, in the good faith opinion of the Board, the Employee is guilty of the conduct described in the Notice of Termination and such conduct constitutes Cause under this Agreement; provided, however, that the Employee shall have been given reasonable opportunity (i) to cure any act or omission that constitutes Cause if capable of cure and (ii), together with counsel, during the thirty (30) day period following the receipt by the Employee of the Notice of Termination and prior to the adoption of the Board's resolution, to be heard by the Board.</w:t>
      </w:r>
    </w:p>
    <w:p>
      <w:pPr>
        <w:spacing w:after="0" w:line="217" w:lineRule="exact"/>
        <w:rPr>
          <w:rFonts w:ascii="Courier New" w:cs="Courier New" w:eastAsia="Courier New" w:hAnsi="Courier New"/>
          <w:sz w:val="12"/>
          <w:szCs w:val="12"/>
          <w:color w:val="auto"/>
        </w:rPr>
      </w:pPr>
    </w:p>
    <w:p>
      <w:pPr>
        <w:ind w:left="378" w:right="4099" w:hanging="378"/>
        <w:spacing w:after="0" w:line="307" w:lineRule="auto"/>
        <w:tabs>
          <w:tab w:leader="none" w:pos="378" w:val="left"/>
        </w:tabs>
        <w:numPr>
          <w:ilvl w:val="0"/>
          <w:numId w:val="1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Disability. For purposes of this Agreement, the Employee shall be deemed to have a "Disability" if the Employee is entitled to long-term disability benefits under the Company's long-term disability plan or policy, as the case may be, as in effect on the Date of Termination.</w:t>
      </w:r>
    </w:p>
    <w:p>
      <w:pPr>
        <w:spacing w:after="0" w:line="189" w:lineRule="exact"/>
        <w:rPr>
          <w:sz w:val="20"/>
          <w:szCs w:val="20"/>
          <w:color w:val="auto"/>
        </w:rPr>
      </w:pPr>
    </w:p>
    <w:p>
      <w:pPr>
        <w:ind w:left="2678"/>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9857"/>
          </w:cols>
          <w:pgMar w:left="602" w:top="540" w:right="1440" w:bottom="1440" w:gutter="0" w:footer="0" w:header="0"/>
        </w:sectPr>
      </w:pPr>
    </w:p>
    <w:bookmarkStart w:id="180" w:name="page181"/>
    <w:bookmarkEnd w:id="180"/>
    <w:p>
      <w:pPr>
        <w:ind w:left="760" w:right="4099" w:hanging="378"/>
        <w:spacing w:after="0" w:line="277" w:lineRule="auto"/>
        <w:tabs>
          <w:tab w:leader="none" w:pos="760" w:val="left"/>
        </w:tabs>
        <w:numPr>
          <w:ilvl w:val="0"/>
          <w:numId w:val="1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Good Reason. For purposes of this Agreement, the term "Good Reason" means the occurrence (without the Employee's express written consent) during the Employment Term of any of the following acts or failures to act by the Company:</w:t>
      </w:r>
    </w:p>
    <w:p>
      <w:pPr>
        <w:spacing w:after="0" w:line="57" w:lineRule="exact"/>
        <w:rPr>
          <w:rFonts w:ascii="Courier New" w:cs="Courier New" w:eastAsia="Courier New" w:hAnsi="Courier New"/>
          <w:sz w:val="13"/>
          <w:szCs w:val="13"/>
          <w:color w:val="auto"/>
        </w:rPr>
      </w:pPr>
    </w:p>
    <w:p>
      <w:pPr>
        <w:ind w:left="1140" w:right="4099" w:hanging="375"/>
        <w:spacing w:after="0" w:line="262" w:lineRule="auto"/>
        <w:tabs>
          <w:tab w:leader="none" w:pos="1140" w:val="left"/>
        </w:tabs>
        <w:numPr>
          <w:ilvl w:val="1"/>
          <w:numId w:val="1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 adverse change in the Employee's title, the assignment to the Employee of duties materially inconsistent with the Employee's position of Chief Executive Officer, or a substantial diminution in the Employee's authority (for purposes of clarification, a change in the number of direct reports shall not be considered an adverse change);</w:t>
      </w:r>
    </w:p>
    <w:p>
      <w:pPr>
        <w:spacing w:after="0" w:line="67" w:lineRule="exact"/>
        <w:rPr>
          <w:rFonts w:ascii="Courier New" w:cs="Courier New" w:eastAsia="Courier New" w:hAnsi="Courier New"/>
          <w:sz w:val="13"/>
          <w:szCs w:val="13"/>
          <w:color w:val="auto"/>
        </w:rPr>
      </w:pPr>
    </w:p>
    <w:p>
      <w:pPr>
        <w:ind w:left="1140" w:right="4959" w:hanging="375"/>
        <w:spacing w:after="0" w:line="353" w:lineRule="auto"/>
        <w:tabs>
          <w:tab w:leader="none" w:pos="1140" w:val="left"/>
        </w:tabs>
        <w:numPr>
          <w:ilvl w:val="1"/>
          <w:numId w:val="1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material breach by the Company of any of its other obligations under this Agreement;</w:t>
      </w:r>
    </w:p>
    <w:p>
      <w:pPr>
        <w:spacing w:after="0" w:line="9" w:lineRule="exact"/>
        <w:rPr>
          <w:rFonts w:ascii="Courier New" w:cs="Courier New" w:eastAsia="Courier New" w:hAnsi="Courier New"/>
          <w:sz w:val="13"/>
          <w:szCs w:val="13"/>
          <w:color w:val="auto"/>
        </w:rPr>
      </w:pPr>
    </w:p>
    <w:p>
      <w:pPr>
        <w:ind w:left="1140" w:right="4499" w:hanging="375"/>
        <w:spacing w:after="0" w:line="296" w:lineRule="auto"/>
        <w:tabs>
          <w:tab w:leader="none" w:pos="1217" w:val="left"/>
        </w:tabs>
        <w:numPr>
          <w:ilvl w:val="1"/>
          <w:numId w:val="1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gives the Employee notice of its intent not to extend the Employment Term, any time during the one (1) year period immediately following a Change in Control;</w:t>
      </w:r>
    </w:p>
    <w:p>
      <w:pPr>
        <w:spacing w:after="0" w:line="44" w:lineRule="exact"/>
        <w:rPr>
          <w:rFonts w:ascii="Courier New" w:cs="Courier New" w:eastAsia="Courier New" w:hAnsi="Courier New"/>
          <w:sz w:val="13"/>
          <w:szCs w:val="13"/>
          <w:color w:val="auto"/>
        </w:rPr>
      </w:pPr>
    </w:p>
    <w:p>
      <w:pPr>
        <w:ind w:left="1140" w:right="4099" w:hanging="375"/>
        <w:spacing w:after="0" w:line="277" w:lineRule="auto"/>
        <w:tabs>
          <w:tab w:leader="none" w:pos="1140" w:val="left"/>
        </w:tabs>
        <w:numPr>
          <w:ilvl w:val="1"/>
          <w:numId w:val="1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following a Change in Control, the relocation of the Employee's primary place of employment to a location more than 50 miles from the Employee's primary place of employment immediately prior to the Change in Control; or</w:t>
      </w:r>
    </w:p>
    <w:p>
      <w:pPr>
        <w:spacing w:after="0" w:line="57" w:lineRule="exact"/>
        <w:rPr>
          <w:rFonts w:ascii="Courier New" w:cs="Courier New" w:eastAsia="Courier New" w:hAnsi="Courier New"/>
          <w:sz w:val="13"/>
          <w:szCs w:val="13"/>
          <w:color w:val="auto"/>
        </w:rPr>
      </w:pPr>
    </w:p>
    <w:p>
      <w:pPr>
        <w:ind w:left="1140" w:right="4559" w:hanging="375"/>
        <w:spacing w:after="0" w:line="353" w:lineRule="auto"/>
        <w:tabs>
          <w:tab w:leader="none" w:pos="1140" w:val="left"/>
        </w:tabs>
        <w:numPr>
          <w:ilvl w:val="1"/>
          <w:numId w:val="1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failure of the Company to obtain the assumption of this Agreement as contemplated in Section 21.</w:t>
      </w:r>
    </w:p>
    <w:p>
      <w:pPr>
        <w:spacing w:after="0" w:line="9" w:lineRule="exact"/>
        <w:rPr>
          <w:sz w:val="20"/>
          <w:szCs w:val="20"/>
          <w:color w:val="auto"/>
        </w:rPr>
      </w:pPr>
    </w:p>
    <w:p>
      <w:pPr>
        <w:ind w:right="4179"/>
        <w:spacing w:after="0" w:line="250" w:lineRule="auto"/>
        <w:rPr>
          <w:sz w:val="20"/>
          <w:szCs w:val="20"/>
          <w:color w:val="auto"/>
        </w:rPr>
      </w:pPr>
      <w:r>
        <w:rPr>
          <w:rFonts w:ascii="Courier New" w:cs="Courier New" w:eastAsia="Courier New" w:hAnsi="Courier New"/>
          <w:sz w:val="13"/>
          <w:szCs w:val="13"/>
          <w:color w:val="auto"/>
        </w:rPr>
        <w:t>Notwithstanding the foregoing, the Board placing the Employee on a paid leave for up to 60 days, pending the determination of whether there is a basis to terminate the Employee for Cause, shall not constitute "Good Reason." The Employee's continued employment shall not constitute consent to, or a waiver of rights with respect to, any act or failure to act constituting Good Reason hereunder; provided, however, that no such event described above shall constitute Good Reason unless the Employee has given a Notice of Termination to the Company specifying the condition or event relied upon for such termination within ninety (90) days from the Employee's actual knowledge of the occurrence of such event and, if capable of cure, the Company has failed to cure the condition or event constituting Good Reason within the thirty (30) day period following receipt of the Employee's Notice of Termination.</w:t>
      </w:r>
    </w:p>
    <w:p>
      <w:pPr>
        <w:spacing w:after="0" w:line="76"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8. Obligations of the Company upon Termination.</w:t>
      </w:r>
    </w:p>
    <w:p>
      <w:pPr>
        <w:spacing w:after="0" w:line="148" w:lineRule="exact"/>
        <w:rPr>
          <w:sz w:val="20"/>
          <w:szCs w:val="20"/>
          <w:color w:val="auto"/>
        </w:rPr>
      </w:pPr>
    </w:p>
    <w:p>
      <w:pPr>
        <w:ind w:left="760" w:right="4099" w:hanging="378"/>
        <w:spacing w:after="0" w:line="259" w:lineRule="auto"/>
        <w:tabs>
          <w:tab w:leader="none" w:pos="760" w:val="left"/>
        </w:tabs>
        <w:numPr>
          <w:ilvl w:val="0"/>
          <w:numId w:val="14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by the Company for other than Cause or Disability or Termination by the Employee for Good Reason or following a Change in Control. If the Employee's employment is terminated by the Company for any reason, other than Cause or Disability or by the Employee (x) for Good Reason or (y) for any reason during the period immediately following a Change in Control and ending on the six (6) month anniversary of a Change in Control:</w:t>
      </w:r>
    </w:p>
    <w:p>
      <w:pPr>
        <w:spacing w:after="0" w:line="67" w:lineRule="exact"/>
        <w:rPr>
          <w:rFonts w:ascii="Courier New" w:cs="Courier New" w:eastAsia="Courier New" w:hAnsi="Courier New"/>
          <w:sz w:val="13"/>
          <w:szCs w:val="13"/>
          <w:color w:val="auto"/>
        </w:rPr>
      </w:pPr>
    </w:p>
    <w:p>
      <w:pPr>
        <w:ind w:left="1140" w:right="4179" w:hanging="375"/>
        <w:spacing w:after="0" w:line="277" w:lineRule="auto"/>
        <w:tabs>
          <w:tab w:leader="none" w:pos="1140" w:val="left"/>
        </w:tabs>
        <w:numPr>
          <w:ilvl w:val="1"/>
          <w:numId w:val="14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shall pay to the Employee, (A) within five (5) business days after the Date of Termination, any earned but unpaid Annual Base Salary and any expense reimbursement payments owed to the Employee, and (B)</w:t>
      </w:r>
    </w:p>
    <w:p>
      <w:pPr>
        <w:spacing w:after="0" w:line="205"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39"/>
          </w:cols>
          <w:pgMar w:left="220" w:top="540" w:right="1440" w:bottom="1440" w:gutter="0" w:footer="0" w:header="0"/>
        </w:sectPr>
      </w:pPr>
    </w:p>
    <w:bookmarkStart w:id="181" w:name="page182"/>
    <w:bookmarkEnd w:id="181"/>
    <w:p>
      <w:pPr>
        <w:ind w:left="375" w:right="4179"/>
        <w:spacing w:after="0" w:line="331" w:lineRule="auto"/>
        <w:rPr>
          <w:sz w:val="20"/>
          <w:szCs w:val="20"/>
          <w:color w:val="auto"/>
        </w:rPr>
      </w:pPr>
      <w:r>
        <w:rPr>
          <w:rFonts w:ascii="Courier New" w:cs="Courier New" w:eastAsia="Courier New" w:hAnsi="Courier New"/>
          <w:sz w:val="12"/>
          <w:szCs w:val="12"/>
          <w:color w:val="auto"/>
        </w:rPr>
        <w:t>no later than March 15 of the year in which the Date of Termination occurs, any earned but unpaid Annual Bonus payments relating to the prior calendar year (the "Accrued Obligations");</w:t>
      </w:r>
    </w:p>
    <w:p>
      <w:pPr>
        <w:spacing w:after="0" w:line="27" w:lineRule="exact"/>
        <w:rPr>
          <w:sz w:val="20"/>
          <w:szCs w:val="20"/>
          <w:color w:val="auto"/>
        </w:rPr>
      </w:pPr>
    </w:p>
    <w:p>
      <w:pPr>
        <w:ind w:left="375" w:right="4099" w:hanging="375"/>
        <w:spacing w:after="0" w:line="268" w:lineRule="auto"/>
        <w:tabs>
          <w:tab w:leader="none" w:pos="375" w:val="left"/>
        </w:tabs>
        <w:numPr>
          <w:ilvl w:val="0"/>
          <w:numId w:val="1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pay to the Employee, within thirty (30) business days after the Date of Termination, a prorated Annual Bonus based on (A) the target Annual Bonus opportunity in the year in which the Date of Termination occurs or the prior year if no target Annual Bonus opportunity has yet been determined and</w:t>
      </w:r>
    </w:p>
    <w:p>
      <w:pPr>
        <w:spacing w:after="0" w:line="2" w:lineRule="exact"/>
        <w:rPr>
          <w:rFonts w:ascii="Courier New" w:cs="Courier New" w:eastAsia="Courier New" w:hAnsi="Courier New"/>
          <w:sz w:val="12"/>
          <w:szCs w:val="12"/>
          <w:color w:val="auto"/>
        </w:rPr>
      </w:pPr>
    </w:p>
    <w:p>
      <w:pPr>
        <w:ind w:left="695" w:hanging="311"/>
        <w:spacing w:after="0"/>
        <w:tabs>
          <w:tab w:leader="none" w:pos="695" w:val="left"/>
        </w:tabs>
        <w:numPr>
          <w:ilvl w:val="1"/>
          <w:numId w:val="1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fraction of the year the Employee was employed;</w:t>
      </w:r>
    </w:p>
    <w:p>
      <w:pPr>
        <w:spacing w:after="0" w:line="123" w:lineRule="exact"/>
        <w:rPr>
          <w:rFonts w:ascii="Courier New" w:cs="Courier New" w:eastAsia="Courier New" w:hAnsi="Courier New"/>
          <w:sz w:val="13"/>
          <w:szCs w:val="13"/>
          <w:color w:val="auto"/>
        </w:rPr>
      </w:pPr>
    </w:p>
    <w:p>
      <w:pPr>
        <w:ind w:left="375" w:right="4099" w:hanging="375"/>
        <w:spacing w:after="0" w:line="252" w:lineRule="auto"/>
        <w:tabs>
          <w:tab w:leader="none" w:pos="451" w:val="left"/>
        </w:tabs>
        <w:numPr>
          <w:ilvl w:val="0"/>
          <w:numId w:val="1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shall pay to the Employee, within thirty (30) business days after the Date of Termination, a lump-sum payment equal to 300% of the sum of (x) the Employee's Annual Base Salary in effect immediately prior to the Date of Termination (disregarding any reduction in Annual Base Salary to which the Employee did not expressly consent in writing) and (y) the highest Annual Bonus paid to the Employee by the Company within the three (3) years preceding his termination of employment or, if higher, the target Annual Bonus opportunity in the year in which the Date of Termination occurs;</w:t>
      </w:r>
    </w:p>
    <w:p>
      <w:pPr>
        <w:spacing w:after="0" w:line="75" w:lineRule="exact"/>
        <w:rPr>
          <w:rFonts w:ascii="Courier New" w:cs="Courier New" w:eastAsia="Courier New" w:hAnsi="Courier New"/>
          <w:sz w:val="13"/>
          <w:szCs w:val="13"/>
          <w:color w:val="auto"/>
        </w:rPr>
      </w:pPr>
    </w:p>
    <w:p>
      <w:pPr>
        <w:ind w:left="375" w:right="4099" w:hanging="375"/>
        <w:spacing w:after="0" w:line="277" w:lineRule="auto"/>
        <w:tabs>
          <w:tab w:leader="none" w:pos="375" w:val="left"/>
        </w:tabs>
        <w:numPr>
          <w:ilvl w:val="0"/>
          <w:numId w:val="1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stock option, restricted stock and other equity-based incentive awards granted by the Company that were outstanding but not vested as of the Date of Termination shall become immediately vested and/or payable, as the case may be; and</w:t>
      </w:r>
    </w:p>
    <w:p>
      <w:pPr>
        <w:spacing w:after="0" w:line="57" w:lineRule="exact"/>
        <w:rPr>
          <w:rFonts w:ascii="Courier New" w:cs="Courier New" w:eastAsia="Courier New" w:hAnsi="Courier New"/>
          <w:sz w:val="13"/>
          <w:szCs w:val="13"/>
          <w:color w:val="auto"/>
        </w:rPr>
      </w:pPr>
    </w:p>
    <w:p>
      <w:pPr>
        <w:ind w:left="375" w:right="4099" w:hanging="375"/>
        <w:spacing w:after="0" w:line="266" w:lineRule="auto"/>
        <w:tabs>
          <w:tab w:leader="none" w:pos="375" w:val="left"/>
        </w:tabs>
        <w:numPr>
          <w:ilvl w:val="0"/>
          <w:numId w:val="1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a three (3) year period after the Date of Termination, the Company will provide or cause to be provided to the Employee (and any covered dependents), with life and health insurance benefits (but not disability insurance benefits) substantially similar to those the Employee and any covered dependents were receiving immediately prior to the Notice of Termination at the same level of benefits and at the same dollar cost to the Employee as is available to the Company's executive officers generally, provided that the Employee's continued receipt of such benefits is possible under the general terms and provisions of the applicable plans and programs, and provided further, that such benefits would not be taxable to the Employee or subject to Section 409A of the Internal Revenue Code of 1986, as amended (the "Code"). In the event that the Employee's participation in any such plan or program is prohibited, the Company shall, at its expense, arrange to provide the Employee with benefits substantially similar to those which the Employee would otherwise have been entitled to receive under such plans and programs from which his continued participation is prohibited. If the Company arranges to provide the Employee and covered dependents with life and health insurance benefits, those benefits will be reduced to the extent comparable benefits are received by, or made available to, the Employee (at no greater cost to the Employee) by another employer during the three (3) year period following the Employee's Date of Termination. The Employee must</w:t>
      </w:r>
    </w:p>
    <w:p>
      <w:pPr>
        <w:spacing w:after="0" w:line="365" w:lineRule="exact"/>
        <w:rPr>
          <w:sz w:val="20"/>
          <w:szCs w:val="20"/>
          <w:color w:val="auto"/>
        </w:rPr>
      </w:pPr>
    </w:p>
    <w:p>
      <w:pPr>
        <w:ind w:left="2295"/>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9474"/>
          </w:cols>
          <w:pgMar w:left="985" w:top="540" w:right="1440" w:bottom="1440" w:gutter="0" w:footer="0" w:header="0"/>
        </w:sectPr>
      </w:pPr>
    </w:p>
    <w:bookmarkStart w:id="182" w:name="page183"/>
    <w:bookmarkEnd w:id="182"/>
    <w:p>
      <w:pPr>
        <w:ind w:left="758"/>
        <w:spacing w:after="0"/>
        <w:rPr>
          <w:sz w:val="20"/>
          <w:szCs w:val="20"/>
          <w:color w:val="auto"/>
        </w:rPr>
      </w:pPr>
      <w:r>
        <w:rPr>
          <w:rFonts w:ascii="Courier New" w:cs="Courier New" w:eastAsia="Courier New" w:hAnsi="Courier New"/>
          <w:sz w:val="13"/>
          <w:szCs w:val="13"/>
          <w:color w:val="auto"/>
        </w:rPr>
        <w:t>report to the Company any such benefits that he receives or that</w:t>
      </w:r>
    </w:p>
    <w:p>
      <w:pPr>
        <w:spacing w:after="0" w:line="24" w:lineRule="exact"/>
        <w:rPr>
          <w:sz w:val="20"/>
          <w:szCs w:val="20"/>
          <w:color w:val="auto"/>
        </w:rPr>
      </w:pPr>
    </w:p>
    <w:p>
      <w:pPr>
        <w:ind w:left="758"/>
        <w:spacing w:after="0"/>
        <w:rPr>
          <w:sz w:val="20"/>
          <w:szCs w:val="20"/>
          <w:color w:val="auto"/>
        </w:rPr>
      </w:pPr>
      <w:r>
        <w:rPr>
          <w:rFonts w:ascii="Courier New" w:cs="Courier New" w:eastAsia="Courier New" w:hAnsi="Courier New"/>
          <w:sz w:val="13"/>
          <w:szCs w:val="13"/>
          <w:color w:val="auto"/>
        </w:rPr>
        <w:t>are made available. In lieu of the benefits described in this</w:t>
      </w:r>
    </w:p>
    <w:p>
      <w:pPr>
        <w:ind w:left="758"/>
        <w:spacing w:after="0"/>
        <w:rPr>
          <w:sz w:val="20"/>
          <w:szCs w:val="20"/>
          <w:color w:val="auto"/>
        </w:rPr>
      </w:pPr>
      <w:r>
        <w:rPr>
          <w:rFonts w:ascii="Courier New" w:cs="Courier New" w:eastAsia="Courier New" w:hAnsi="Courier New"/>
          <w:sz w:val="13"/>
          <w:szCs w:val="13"/>
          <w:color w:val="auto"/>
        </w:rPr>
        <w:t>Section 8(a)(v), the Company, in its sole discretion, may elect</w:t>
      </w:r>
    </w:p>
    <w:p>
      <w:pPr>
        <w:ind w:left="758"/>
        <w:spacing w:after="0"/>
        <w:rPr>
          <w:sz w:val="20"/>
          <w:szCs w:val="20"/>
          <w:color w:val="auto"/>
        </w:rPr>
      </w:pPr>
      <w:r>
        <w:rPr>
          <w:rFonts w:ascii="Courier New" w:cs="Courier New" w:eastAsia="Courier New" w:hAnsi="Courier New"/>
          <w:sz w:val="13"/>
          <w:szCs w:val="13"/>
          <w:color w:val="auto"/>
        </w:rPr>
        <w:t>to pay to the Employee a lump sum cash payment equal to the</w:t>
      </w:r>
    </w:p>
    <w:p>
      <w:pPr>
        <w:ind w:left="758"/>
        <w:spacing w:after="0"/>
        <w:rPr>
          <w:sz w:val="20"/>
          <w:szCs w:val="20"/>
          <w:color w:val="auto"/>
        </w:rPr>
      </w:pPr>
      <w:r>
        <w:rPr>
          <w:rFonts w:ascii="Courier New" w:cs="Courier New" w:eastAsia="Courier New" w:hAnsi="Courier New"/>
          <w:sz w:val="13"/>
          <w:szCs w:val="13"/>
          <w:color w:val="auto"/>
        </w:rPr>
        <w:t>monthly premiums that would have been paid by the Company to</w:t>
      </w:r>
    </w:p>
    <w:p>
      <w:pPr>
        <w:ind w:left="758"/>
        <w:spacing w:after="0"/>
        <w:rPr>
          <w:sz w:val="20"/>
          <w:szCs w:val="20"/>
          <w:color w:val="auto"/>
        </w:rPr>
      </w:pPr>
      <w:r>
        <w:rPr>
          <w:rFonts w:ascii="Courier New" w:cs="Courier New" w:eastAsia="Courier New" w:hAnsi="Courier New"/>
          <w:sz w:val="13"/>
          <w:szCs w:val="13"/>
          <w:color w:val="auto"/>
        </w:rPr>
        <w:t>provide such benefits to the Employee for each month such</w:t>
      </w:r>
    </w:p>
    <w:p>
      <w:pPr>
        <w:ind w:left="758"/>
        <w:spacing w:after="0"/>
        <w:rPr>
          <w:sz w:val="20"/>
          <w:szCs w:val="20"/>
          <w:color w:val="auto"/>
        </w:rPr>
      </w:pPr>
      <w:r>
        <w:rPr>
          <w:rFonts w:ascii="Courier New" w:cs="Courier New" w:eastAsia="Courier New" w:hAnsi="Courier New"/>
          <w:sz w:val="13"/>
          <w:szCs w:val="13"/>
          <w:color w:val="auto"/>
        </w:rPr>
        <w:t>coverage is not provided under this Section 8(a)(v). Nothing in</w:t>
      </w:r>
    </w:p>
    <w:p>
      <w:pPr>
        <w:ind w:left="758"/>
        <w:spacing w:after="0"/>
        <w:rPr>
          <w:sz w:val="20"/>
          <w:szCs w:val="20"/>
          <w:color w:val="auto"/>
        </w:rPr>
      </w:pPr>
      <w:r>
        <w:rPr>
          <w:rFonts w:ascii="Courier New" w:cs="Courier New" w:eastAsia="Courier New" w:hAnsi="Courier New"/>
          <w:sz w:val="13"/>
          <w:szCs w:val="13"/>
          <w:color w:val="auto"/>
        </w:rPr>
        <w:t>this Section 8(a)(v) will extend the COBRA continuation coverage</w:t>
      </w:r>
    </w:p>
    <w:p>
      <w:pPr>
        <w:ind w:left="758"/>
        <w:spacing w:after="0"/>
        <w:rPr>
          <w:sz w:val="20"/>
          <w:szCs w:val="20"/>
          <w:color w:val="auto"/>
        </w:rPr>
      </w:pPr>
      <w:r>
        <w:rPr>
          <w:rFonts w:ascii="Courier New" w:cs="Courier New" w:eastAsia="Courier New" w:hAnsi="Courier New"/>
          <w:sz w:val="13"/>
          <w:szCs w:val="13"/>
          <w:color w:val="auto"/>
        </w:rPr>
        <w:t>period.</w:t>
      </w:r>
    </w:p>
    <w:p>
      <w:pPr>
        <w:spacing w:after="0" w:line="124" w:lineRule="exact"/>
        <w:rPr>
          <w:sz w:val="20"/>
          <w:szCs w:val="20"/>
          <w:color w:val="auto"/>
        </w:rPr>
      </w:pPr>
    </w:p>
    <w:p>
      <w:pPr>
        <w:ind w:left="378" w:right="4179" w:hanging="378"/>
        <w:spacing w:after="0" w:line="254" w:lineRule="auto"/>
        <w:tabs>
          <w:tab w:leader="none" w:pos="378" w:val="left"/>
        </w:tabs>
        <w:numPr>
          <w:ilvl w:val="0"/>
          <w:numId w:val="1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by the Company for Cause or by the Employee without Good Reason. If the Employee's employment is terminated (i) by the Company for Cause or (ii) by the Employee without Good Reason (excluding for this purpose the Employee terminating his employment without Good Reason during the six (6) month period immediately following a Change in Control in accordance with Section 8(a)), the Company's only obligation under this Agreement shall be payment of any earned but unpaid Annual Base Salary and any expense reimbursement payments owed to the Employee.</w:t>
      </w:r>
    </w:p>
    <w:p>
      <w:pPr>
        <w:spacing w:after="0" w:line="71" w:lineRule="exact"/>
        <w:rPr>
          <w:rFonts w:ascii="Courier New" w:cs="Courier New" w:eastAsia="Courier New" w:hAnsi="Courier New"/>
          <w:sz w:val="13"/>
          <w:szCs w:val="13"/>
          <w:color w:val="auto"/>
        </w:rPr>
      </w:pPr>
    </w:p>
    <w:p>
      <w:pPr>
        <w:ind w:left="378" w:right="4099" w:hanging="378"/>
        <w:spacing w:after="0" w:line="278" w:lineRule="auto"/>
        <w:tabs>
          <w:tab w:leader="none" w:pos="378" w:val="left"/>
        </w:tabs>
        <w:numPr>
          <w:ilvl w:val="0"/>
          <w:numId w:val="1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Termination due to Death or Disability. If the Employee's employment is terminated due to death or Disability, the Company shall pay to the Employee (or to the Employee's estate or personal representative in the case of the Employee's death), within thirty (30) business days after the Date of Termination, (i) any Accrued Obligations and (ii) a prorated Annual Bonus based on (A) the target Annual Bonus opportunity in the year in which the Date of Termination occurs or the prior year if no target Annual Bonus opportunity has yet been determined and (B) the fraction of the year the Employee was employed.</w:t>
      </w:r>
    </w:p>
    <w:p>
      <w:pPr>
        <w:spacing w:after="0" w:line="57" w:lineRule="exact"/>
        <w:rPr>
          <w:rFonts w:ascii="Courier New" w:cs="Courier New" w:eastAsia="Courier New" w:hAnsi="Courier New"/>
          <w:sz w:val="12"/>
          <w:szCs w:val="12"/>
          <w:color w:val="auto"/>
        </w:rPr>
      </w:pPr>
    </w:p>
    <w:p>
      <w:pPr>
        <w:jc w:val="both"/>
        <w:ind w:left="378" w:right="4259" w:hanging="378"/>
        <w:spacing w:after="0" w:line="331" w:lineRule="auto"/>
        <w:tabs>
          <w:tab w:leader="none" w:pos="378" w:val="left"/>
        </w:tabs>
        <w:numPr>
          <w:ilvl w:val="0"/>
          <w:numId w:val="1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Definition of Change in Control. For purposes of this Agreement, the term "Change in Control" shall mean that the conditions set forth in any one of the following subsections shall have been satisfied:</w:t>
      </w:r>
    </w:p>
    <w:p>
      <w:pPr>
        <w:spacing w:after="0" w:line="27" w:lineRule="exact"/>
        <w:rPr>
          <w:rFonts w:ascii="Courier New" w:cs="Courier New" w:eastAsia="Courier New" w:hAnsi="Courier New"/>
          <w:sz w:val="12"/>
          <w:szCs w:val="12"/>
          <w:color w:val="auto"/>
        </w:rPr>
      </w:pPr>
    </w:p>
    <w:p>
      <w:pPr>
        <w:ind w:left="758" w:right="4099" w:hanging="375"/>
        <w:spacing w:after="0" w:line="284" w:lineRule="auto"/>
        <w:tabs>
          <w:tab w:leader="none" w:pos="758" w:val="left"/>
        </w:tabs>
        <w:numPr>
          <w:ilvl w:val="1"/>
          <w:numId w:val="1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acquisition, directly or indirectly, by any "person" (within the meaning of Section 3(a)(9) of the Securities and Exchange Act of 1934, as amended (the "Exchange Act") and used in Sections 13(d) and 14(d) thereof) of "beneficial ownership" (within the meaning of Rule 13d-3 of the Exchange Act) of securities of the Company possessing more than 50% of the total combined voting power of all outstanding securities of the Company;</w:t>
      </w:r>
    </w:p>
    <w:p>
      <w:pPr>
        <w:spacing w:after="0" w:line="53" w:lineRule="exact"/>
        <w:rPr>
          <w:rFonts w:ascii="Courier New" w:cs="Courier New" w:eastAsia="Courier New" w:hAnsi="Courier New"/>
          <w:sz w:val="12"/>
          <w:szCs w:val="12"/>
          <w:color w:val="auto"/>
        </w:rPr>
      </w:pPr>
    </w:p>
    <w:p>
      <w:pPr>
        <w:ind w:left="758" w:right="4179" w:hanging="375"/>
        <w:spacing w:after="0" w:line="284" w:lineRule="auto"/>
        <w:tabs>
          <w:tab w:leader="none" w:pos="758" w:val="left"/>
        </w:tabs>
        <w:numPr>
          <w:ilvl w:val="1"/>
          <w:numId w:val="1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merger or consolidation in which the Company is not the surviving entity, except for a transaction in which the holders of the outstanding voting securities of the Company immediately prior to such merger or consolidation hold, in the aggregate, securities possessing more than 50% of the total combined voting power of all outstanding voting securities of the surviving entity immediately after such merger or consolidation;</w:t>
      </w:r>
    </w:p>
    <w:p>
      <w:pPr>
        <w:spacing w:after="0" w:line="53" w:lineRule="exact"/>
        <w:rPr>
          <w:rFonts w:ascii="Courier New" w:cs="Courier New" w:eastAsia="Courier New" w:hAnsi="Courier New"/>
          <w:sz w:val="12"/>
          <w:szCs w:val="12"/>
          <w:color w:val="auto"/>
        </w:rPr>
      </w:pPr>
    </w:p>
    <w:p>
      <w:pPr>
        <w:ind w:left="758" w:right="4339" w:hanging="375"/>
        <w:spacing w:after="0" w:line="296" w:lineRule="auto"/>
        <w:tabs>
          <w:tab w:leader="none" w:pos="835" w:val="left"/>
        </w:tabs>
        <w:numPr>
          <w:ilvl w:val="1"/>
          <w:numId w:val="1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reverse merger in which the Company is the surviving entity but in which securities possessing more than 50% of the total combined voting</w:t>
      </w:r>
    </w:p>
    <w:p>
      <w:pPr>
        <w:spacing w:after="0" w:line="192" w:lineRule="exact"/>
        <w:rPr>
          <w:sz w:val="20"/>
          <w:szCs w:val="20"/>
          <w:color w:val="auto"/>
        </w:rPr>
      </w:pPr>
    </w:p>
    <w:p>
      <w:pPr>
        <w:ind w:left="2678"/>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9857"/>
          </w:cols>
          <w:pgMar w:left="602" w:top="540" w:right="1440" w:bottom="1440" w:gutter="0" w:footer="0" w:header="0"/>
        </w:sectPr>
      </w:pPr>
    </w:p>
    <w:bookmarkStart w:id="183" w:name="page184"/>
    <w:bookmarkEnd w:id="183"/>
    <w:p>
      <w:pPr>
        <w:ind w:left="1140"/>
        <w:spacing w:after="0"/>
        <w:rPr>
          <w:sz w:val="20"/>
          <w:szCs w:val="20"/>
          <w:color w:val="auto"/>
        </w:rPr>
      </w:pPr>
      <w:r>
        <w:rPr>
          <w:rFonts w:ascii="Courier New" w:cs="Courier New" w:eastAsia="Courier New" w:hAnsi="Courier New"/>
          <w:sz w:val="13"/>
          <w:szCs w:val="13"/>
          <w:color w:val="auto"/>
        </w:rPr>
        <w:t>power of all outstanding voting securities of the Company are</w:t>
      </w:r>
    </w:p>
    <w:p>
      <w:pPr>
        <w:spacing w:after="0" w:line="24" w:lineRule="exact"/>
        <w:rPr>
          <w:sz w:val="20"/>
          <w:szCs w:val="20"/>
          <w:color w:val="auto"/>
        </w:rPr>
      </w:pPr>
    </w:p>
    <w:p>
      <w:pPr>
        <w:ind w:left="1140"/>
        <w:spacing w:after="0"/>
        <w:rPr>
          <w:sz w:val="20"/>
          <w:szCs w:val="20"/>
          <w:color w:val="auto"/>
        </w:rPr>
      </w:pPr>
      <w:r>
        <w:rPr>
          <w:rFonts w:ascii="Courier New" w:cs="Courier New" w:eastAsia="Courier New" w:hAnsi="Courier New"/>
          <w:sz w:val="13"/>
          <w:szCs w:val="13"/>
          <w:color w:val="auto"/>
        </w:rPr>
        <w:t>transferred to or acquired by a person or persons different from</w:t>
      </w:r>
    </w:p>
    <w:p>
      <w:pPr>
        <w:ind w:left="1140"/>
        <w:spacing w:after="0"/>
        <w:rPr>
          <w:sz w:val="20"/>
          <w:szCs w:val="20"/>
          <w:color w:val="auto"/>
        </w:rPr>
      </w:pPr>
      <w:r>
        <w:rPr>
          <w:rFonts w:ascii="Courier New" w:cs="Courier New" w:eastAsia="Courier New" w:hAnsi="Courier New"/>
          <w:sz w:val="13"/>
          <w:szCs w:val="13"/>
          <w:color w:val="auto"/>
        </w:rPr>
        <w:t>the persons holding those securities immediately prior to such</w:t>
      </w:r>
    </w:p>
    <w:p>
      <w:pPr>
        <w:ind w:left="1140"/>
        <w:spacing w:after="0"/>
        <w:rPr>
          <w:sz w:val="20"/>
          <w:szCs w:val="20"/>
          <w:color w:val="auto"/>
        </w:rPr>
      </w:pPr>
      <w:r>
        <w:rPr>
          <w:rFonts w:ascii="Courier New" w:cs="Courier New" w:eastAsia="Courier New" w:hAnsi="Courier New"/>
          <w:sz w:val="13"/>
          <w:szCs w:val="13"/>
          <w:color w:val="auto"/>
        </w:rPr>
        <w:t>merger;</w:t>
      </w:r>
    </w:p>
    <w:p>
      <w:pPr>
        <w:spacing w:after="0" w:line="124" w:lineRule="exact"/>
        <w:rPr>
          <w:sz w:val="20"/>
          <w:szCs w:val="20"/>
          <w:color w:val="auto"/>
        </w:rPr>
      </w:pPr>
    </w:p>
    <w:p>
      <w:pPr>
        <w:ind w:left="1140" w:right="4099" w:hanging="375"/>
        <w:spacing w:after="0" w:line="256" w:lineRule="auto"/>
        <w:tabs>
          <w:tab w:leader="none" w:pos="1140" w:val="left"/>
        </w:tabs>
        <w:numPr>
          <w:ilvl w:val="0"/>
          <w:numId w:val="14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during any period of two (2) consecutive years during the Employment Term or any extensions thereof, individuals, who, at the beginning of such period, constitute the Board, cease for any reason to constitute at least a majority thereof, unless the election of each director who was not a director at the beginning of such period has been approved in advance by directors representing at least two-thirds of the directors then in office who were directors at the beginning of the period;</w:t>
      </w:r>
    </w:p>
    <w:p>
      <w:pPr>
        <w:spacing w:after="0" w:line="70" w:lineRule="exact"/>
        <w:rPr>
          <w:rFonts w:ascii="Courier New" w:cs="Courier New" w:eastAsia="Courier New" w:hAnsi="Courier New"/>
          <w:sz w:val="13"/>
          <w:szCs w:val="13"/>
          <w:color w:val="auto"/>
        </w:rPr>
      </w:pPr>
    </w:p>
    <w:p>
      <w:pPr>
        <w:ind w:left="1140" w:right="4099" w:hanging="375"/>
        <w:spacing w:after="0" w:line="248" w:lineRule="auto"/>
        <w:tabs>
          <w:tab w:leader="none" w:pos="1140" w:val="left"/>
        </w:tabs>
        <w:numPr>
          <w:ilvl w:val="0"/>
          <w:numId w:val="14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sale, transfer or other disposition (in one transaction or a series of related transactions) of assets of the Company that have a total fair market value equal to or more than one-third of the total fair market value of all of the assets of the Company immediately prior to such sale, transfer or other disposition, other than a sale, transfer or other disposition to an entity (x) which immediately following such sale, transfer or other disposition owns, directly or indirectly, at least 50% of the Company's outstanding voting securities or (y) 50% or more of whose outstanding voting securities is immediately following such sale, transfer or other disposition owned, directly or indirectly, by the Company. For purposes of the foregoing clause, the sale of stock of a subsidiary of the Company (or the assets of such subsidiary) shall be treated as a sale of assets of the Company; or</w:t>
      </w:r>
    </w:p>
    <w:p>
      <w:pPr>
        <w:spacing w:after="0" w:line="76" w:lineRule="exact"/>
        <w:rPr>
          <w:rFonts w:ascii="Courier New" w:cs="Courier New" w:eastAsia="Courier New" w:hAnsi="Courier New"/>
          <w:sz w:val="13"/>
          <w:szCs w:val="13"/>
          <w:color w:val="auto"/>
        </w:rPr>
      </w:pPr>
    </w:p>
    <w:p>
      <w:pPr>
        <w:ind w:left="1140" w:right="4339" w:hanging="375"/>
        <w:spacing w:after="0" w:line="353" w:lineRule="auto"/>
        <w:tabs>
          <w:tab w:leader="none" w:pos="1140" w:val="left"/>
        </w:tabs>
        <w:numPr>
          <w:ilvl w:val="0"/>
          <w:numId w:val="14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approval by the stockholders of a plan or proposal for the liquidation or dissolution of the Company.</w:t>
      </w:r>
    </w:p>
    <w:p>
      <w:pPr>
        <w:spacing w:after="0" w:line="9" w:lineRule="exact"/>
        <w:rPr>
          <w:sz w:val="20"/>
          <w:szCs w:val="20"/>
          <w:color w:val="auto"/>
        </w:rPr>
      </w:pPr>
    </w:p>
    <w:p>
      <w:pPr>
        <w:ind w:right="4099"/>
        <w:spacing w:after="0" w:line="249" w:lineRule="auto"/>
        <w:rPr>
          <w:sz w:val="20"/>
          <w:szCs w:val="20"/>
          <w:color w:val="auto"/>
        </w:rPr>
      </w:pPr>
      <w:r>
        <w:rPr>
          <w:rFonts w:ascii="Courier New" w:cs="Courier New" w:eastAsia="Courier New" w:hAnsi="Courier New"/>
          <w:sz w:val="13"/>
          <w:szCs w:val="13"/>
          <w:color w:val="auto"/>
        </w:rPr>
        <w:t>For purposes of this Agreement, no event or transaction which is entered into, is contemplated by, or occurs as a result of the Agreement and Plan of Merger dated as of June 25, 2006 by and between Fidelity National Information Services, Inc. and Fidelity National Financial, Inc. or the Securities Exchange and Distribution Agreement, dated as of June 25, 2006 between Fidelity National Financial, Inc. and Fidelity National Title Group, Inc. shall constitute a Change in Control. In addition, no event or transaction which results in the merger or other combination of the Company or any affiliate thereof with Fidelity National Information Services, Inc. or any affiliate thereof in which the combined shareholders of both entities before such transaction own at least 80% in the aggregate of the voting power of the stock of the combined or merged company immediately after such event or transaction shall constitute a Change in Control.</w:t>
      </w:r>
    </w:p>
    <w:p>
      <w:pPr>
        <w:spacing w:after="0" w:line="78"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9. Excise Tax Gross-up Payments.</w:t>
      </w:r>
    </w:p>
    <w:p>
      <w:pPr>
        <w:spacing w:after="0" w:line="148" w:lineRule="exact"/>
        <w:rPr>
          <w:sz w:val="20"/>
          <w:szCs w:val="20"/>
          <w:color w:val="auto"/>
        </w:rPr>
      </w:pPr>
    </w:p>
    <w:p>
      <w:pPr>
        <w:ind w:left="760" w:right="4099" w:hanging="378"/>
        <w:spacing w:after="0" w:line="254" w:lineRule="auto"/>
        <w:tabs>
          <w:tab w:leader="none" w:pos="760" w:val="left"/>
        </w:tabs>
        <w:numPr>
          <w:ilvl w:val="0"/>
          <w:numId w:val="145"/>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any payments or benefits paid or provided or to be paid or provided to the Employee or for his benefit pursuant to the terms of this Agreement or otherwise in connection with, or arising out of, his employment with the Company or its subsidiaries or the termination thereof (a "Payment" and, collectively, the "Payments") would be subject to the excise tax (the "Excise Tax") imposed by Section 4999 of the Code, then, except as otherwise provided in this Section 9(a), the Employee will be entitled to receive an additional payment (a "Gross-Up</w:t>
      </w:r>
    </w:p>
    <w:p>
      <w:pPr>
        <w:spacing w:after="0" w:line="219"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39"/>
          </w:cols>
          <w:pgMar w:left="220" w:top="540" w:right="1440" w:bottom="1440" w:gutter="0" w:footer="0" w:header="0"/>
        </w:sectPr>
      </w:pPr>
    </w:p>
    <w:bookmarkStart w:id="184" w:name="page185"/>
    <w:bookmarkEnd w:id="184"/>
    <w:p>
      <w:pPr>
        <w:ind w:left="378" w:right="4099"/>
        <w:spacing w:after="0" w:line="273" w:lineRule="auto"/>
        <w:rPr>
          <w:sz w:val="20"/>
          <w:szCs w:val="20"/>
          <w:color w:val="auto"/>
        </w:rPr>
      </w:pPr>
      <w:r>
        <w:rPr>
          <w:rFonts w:ascii="Courier New" w:cs="Courier New" w:eastAsia="Courier New" w:hAnsi="Courier New"/>
          <w:sz w:val="12"/>
          <w:szCs w:val="12"/>
          <w:color w:val="auto"/>
        </w:rPr>
        <w:t>Payment") in an amount such that, after payment by the Employee of all income taxes, all employment taxes and any Excise Tax imposed upon the Gross-Up Payment (including any related interest and penalties), the Employee retains an amount of the Gross-Up Payment equal to the Excise Tax (including any related interest and penalties) imposed upon the Payments. Notwithstanding the foregoing, if the amount of the Payments does not exceed by more than 3% the amount that would be payable to the Employee if the Payments were reduced to one dollar less than what would constitute a "parachute payment" under Section 280G of the Code (the "Scaled Back Amount"), then the Payments shall be reduced, in a manner determined by the Employee, to the Scaled Back Amount, and the Employee shall not be entitled to any Gross-Up Payment.</w:t>
      </w:r>
    </w:p>
    <w:p>
      <w:pPr>
        <w:spacing w:after="0" w:line="61" w:lineRule="exact"/>
        <w:rPr>
          <w:sz w:val="20"/>
          <w:szCs w:val="20"/>
          <w:color w:val="auto"/>
        </w:rPr>
      </w:pPr>
    </w:p>
    <w:p>
      <w:pPr>
        <w:ind w:left="378" w:right="4099" w:hanging="378"/>
        <w:spacing w:after="0" w:line="264" w:lineRule="auto"/>
        <w:tabs>
          <w:tab w:leader="none" w:pos="378" w:val="left"/>
        </w:tabs>
        <w:numPr>
          <w:ilvl w:val="0"/>
          <w:numId w:val="1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 initial determination of (i) whether a Gross-Up Payment is required pursuant to this Agreement, and, if applicable, the amount of such Gross-Up Payment or (ii) whether the Payments must be reduced to the Scaled Back Amount and, if so, the amount of such reduction, will be made at the Company's expense by an accounting firm selected by the Company. The accounting firm will provide its determination, together with detailed supporting calculations and documentation, to the Company and the Employee within ten (10) business days after the date of termination of Employee's employment, or such other time as may be reasonably requested by the Company or the Employee. If the accounting firm determines that no Excise Tax is payable by the Employee with respect to a Payment or Payments, it will furnish the Employee with an opinion to that effect. If a Gross-Up Payment becomes payable, such Gross-Up Payment will be paid by the Company to the Employee within thirty (30) business days of the receipt of the accounting firm's determination. If a reduction in Payments is required, such reduction shall be effectuated within thirty (30) business days of the receipt of the accounting firm's determination. Within ten (10) business days after the accounting firm delivers its determination to the Employee, the Employee will have the right to dispute the determination. The existence of a dispute will not in any way affect the Employee's right to receive a Gross-Up Payment in accordance with the determination. If there is no dispute, the determination will be binding, final, and conclusive upon the Company and the Employee. If there is a dispute, the Company and the Employee will together select a second accounting firm, which will review the determination and the Employee's basis for the dispute and then will render its own determination, which will be binding, final, and conclusive on the Company and on the Employee for purposes of determining whether a Gross-Up Payment is required pursuant to this Section 9(b) or whether a reduction to the Scaled Back Amount is required, as the case may be. If as a result of any dispute pursuant to this Section 9(b) a Gross-Up Payment is made or additional Gross-Up Payments are made, such Gross-Up Payment(s) will be paid by the Company to the Employee within thirty (30) business days of the receipt of the second accounting firm's determination. The Company will bear all costs associated with the second accounting firm's determination, unless such determination does not result in additional Gross-Up Payments to the Employee or unless such determination does not mitigate the reduction in Payments required</w:t>
      </w:r>
    </w:p>
    <w:p>
      <w:pPr>
        <w:spacing w:after="0" w:line="200" w:lineRule="exact"/>
        <w:rPr>
          <w:sz w:val="20"/>
          <w:szCs w:val="20"/>
          <w:color w:val="auto"/>
        </w:rPr>
      </w:pPr>
    </w:p>
    <w:p>
      <w:pPr>
        <w:spacing w:after="0" w:line="312" w:lineRule="exact"/>
        <w:rPr>
          <w:sz w:val="20"/>
          <w:szCs w:val="20"/>
          <w:color w:val="auto"/>
        </w:rPr>
      </w:pPr>
    </w:p>
    <w:p>
      <w:pPr>
        <w:ind w:left="2678"/>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9857"/>
          </w:cols>
          <w:pgMar w:left="602" w:top="540" w:right="1440" w:bottom="1440" w:gutter="0" w:footer="0" w:header="0"/>
        </w:sectPr>
      </w:pPr>
    </w:p>
    <w:bookmarkStart w:id="185" w:name="page186"/>
    <w:bookmarkEnd w:id="185"/>
    <w:p>
      <w:pPr>
        <w:ind w:left="378" w:right="4099"/>
        <w:spacing w:after="0" w:line="353" w:lineRule="auto"/>
        <w:rPr>
          <w:sz w:val="20"/>
          <w:szCs w:val="20"/>
          <w:color w:val="auto"/>
        </w:rPr>
      </w:pPr>
      <w:r>
        <w:rPr>
          <w:rFonts w:ascii="Courier New" w:cs="Courier New" w:eastAsia="Courier New" w:hAnsi="Courier New"/>
          <w:sz w:val="13"/>
          <w:szCs w:val="13"/>
          <w:color w:val="auto"/>
        </w:rPr>
        <w:t>to arrive at the Scaled Back Amount, in which case all such costs will be borne by the Employee.</w:t>
      </w:r>
    </w:p>
    <w:p>
      <w:pPr>
        <w:spacing w:after="0" w:line="9" w:lineRule="exact"/>
        <w:rPr>
          <w:sz w:val="20"/>
          <w:szCs w:val="20"/>
          <w:color w:val="auto"/>
        </w:rPr>
      </w:pPr>
    </w:p>
    <w:p>
      <w:pPr>
        <w:ind w:left="378" w:right="4099" w:hanging="378"/>
        <w:spacing w:after="0" w:line="276" w:lineRule="auto"/>
        <w:tabs>
          <w:tab w:leader="none" w:pos="378" w:val="left"/>
        </w:tabs>
        <w:numPr>
          <w:ilvl w:val="0"/>
          <w:numId w:val="1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purposes of determining the amount of the Gross-Up Payment and, if applicable, the Scaled Back Amount, the Employee will be deemed to pay federal income taxes at the highest marginal rate of federal income taxation in the calendar year in which the Gross-Up Payment is to be made or the Scaled Back Amount is determined, as the case may be, and applicable state and local income taxes at the highest marginal rate of taxation in the state and locality of the Employee's residence on the date of termination of Employee's employment, net of the maximum reduction in federal income taxes that would be obtained from deduction of those state and local taxes.</w:t>
      </w:r>
    </w:p>
    <w:p>
      <w:pPr>
        <w:spacing w:after="0" w:line="58" w:lineRule="exact"/>
        <w:rPr>
          <w:rFonts w:ascii="Courier New" w:cs="Courier New" w:eastAsia="Courier New" w:hAnsi="Courier New"/>
          <w:sz w:val="12"/>
          <w:szCs w:val="12"/>
          <w:color w:val="auto"/>
        </w:rPr>
      </w:pPr>
    </w:p>
    <w:p>
      <w:pPr>
        <w:ind w:left="378" w:right="4099" w:hanging="378"/>
        <w:spacing w:after="0" w:line="244" w:lineRule="auto"/>
        <w:tabs>
          <w:tab w:leader="none" w:pos="378" w:val="left"/>
        </w:tabs>
        <w:numPr>
          <w:ilvl w:val="0"/>
          <w:numId w:val="147"/>
        </w:numPr>
        <w:rPr>
          <w:rFonts w:ascii="Courier New" w:cs="Courier New" w:eastAsia="Courier New" w:hAnsi="Courier New"/>
          <w:sz w:val="13"/>
          <w:szCs w:val="13"/>
          <w:color w:val="auto"/>
        </w:rPr>
      </w:pPr>
      <w:r>
        <w:rPr>
          <w:rFonts w:ascii="Courier New" w:cs="Courier New" w:eastAsia="Courier New" w:hAnsi="Courier New"/>
          <w:sz w:val="13"/>
          <w:szCs w:val="13"/>
          <w:color w:val="auto"/>
        </w:rPr>
        <w:t>As a result of the uncertainty in the application of Section 4999 of the Code, it is possible that Gross-Up Payments which will not have been made by the Company should have been made, the Employee's Payments will be reduced to the Scaled Back Amount when they should not have been or the Employee's Payments are reduced to a greater extent than they should have been (an "Underpayment") or Gross-Up Payments are made by the Company which should not have been made, the Employee's Payments are not reduced to the Scaled Back Amount when they should have been or they are not reduced to the extent they should have been (an "Overpayment"). If it is determined that an Underpayment has occurred, the accounting firm shall determine the amount of the Underpayment that has occurred and any such Underpayment (together with interest at the rate provided in Section 1274(b)(2)(B) of the Code) shall be promptly paid by the Company to or for the benefit of Employee. If it is determined that an Overpayment has occurred, the accounting firm shall determine the amount of the Overpayment that has occurred and any such Overpayment (together with interest at the rate provided in Section 1274(b)(2) of the Code) shall be promptly paid by the Employee (to the extent he has received a refund if the applicable Excise Tax has been paid to the Internal Revenue Service) to or for the benefit of the Company; provided, however, that if the Company determines that such repayment obligation would be or result in an unlawful extension of credit under Section 13(k) of the Exchange Act, repayment shall not be required. The Employee shall cooperate, to the extent his expenses are reimbursed by the Company, with any reasonable requests by the Company in connection with any contest or disputes with the Internal Revenue Service in connection with the Excise Tax.</w:t>
      </w:r>
    </w:p>
    <w:p>
      <w:pPr>
        <w:spacing w:after="0" w:line="83" w:lineRule="exact"/>
        <w:rPr>
          <w:rFonts w:ascii="Courier New" w:cs="Courier New" w:eastAsia="Courier New" w:hAnsi="Courier New"/>
          <w:sz w:val="13"/>
          <w:szCs w:val="13"/>
          <w:color w:val="auto"/>
        </w:rPr>
      </w:pPr>
    </w:p>
    <w:p>
      <w:pPr>
        <w:ind w:left="378" w:right="4099" w:hanging="378"/>
        <w:spacing w:after="0" w:line="251" w:lineRule="auto"/>
        <w:tabs>
          <w:tab w:leader="none" w:pos="378" w:val="left"/>
        </w:tabs>
        <w:numPr>
          <w:ilvl w:val="0"/>
          <w:numId w:val="14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Employee shall notify the Company in writing of any claim by the Internal Revenue Service that, if successful, would require a payment resulting in an Underpayment. Such notification shall be given as soon as practicable but no later than ten (10) business days after the Employee is informed in writing of such claim and shall apprise the Company of the nature of such claim and the date on which such claim is requested to be paid. The Employee shall not pay such claim prior to the expiration of the thirty (30) day period following the date on which he gives such notice to the Company (or such shorter period ending on the date that any payment of taxes with respect to such claim is due). If the Company notifies</w:t>
      </w:r>
    </w:p>
    <w:p>
      <w:pPr>
        <w:spacing w:after="0" w:line="222" w:lineRule="exact"/>
        <w:rPr>
          <w:sz w:val="20"/>
          <w:szCs w:val="20"/>
          <w:color w:val="auto"/>
        </w:rPr>
      </w:pPr>
    </w:p>
    <w:p>
      <w:pPr>
        <w:ind w:left="2678"/>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9857"/>
          </w:cols>
          <w:pgMar w:left="602" w:top="540" w:right="1440" w:bottom="1440" w:gutter="0" w:footer="0" w:header="0"/>
        </w:sectPr>
      </w:pPr>
    </w:p>
    <w:bookmarkStart w:id="186" w:name="page187"/>
    <w:bookmarkEnd w:id="186"/>
    <w:p>
      <w:pPr>
        <w:ind w:left="378" w:right="4099"/>
        <w:spacing w:after="0" w:line="353" w:lineRule="auto"/>
        <w:rPr>
          <w:sz w:val="20"/>
          <w:szCs w:val="20"/>
          <w:color w:val="auto"/>
        </w:rPr>
      </w:pPr>
      <w:r>
        <w:rPr>
          <w:rFonts w:ascii="Courier New" w:cs="Courier New" w:eastAsia="Courier New" w:hAnsi="Courier New"/>
          <w:sz w:val="13"/>
          <w:szCs w:val="13"/>
          <w:color w:val="auto"/>
        </w:rPr>
        <w:t>the Employee in writing prior to the expiration of such period that it desires to contest such claim, the Employee shall:</w:t>
      </w:r>
    </w:p>
    <w:p>
      <w:pPr>
        <w:spacing w:after="0" w:line="9" w:lineRule="exact"/>
        <w:rPr>
          <w:sz w:val="20"/>
          <w:szCs w:val="20"/>
          <w:color w:val="auto"/>
        </w:rPr>
      </w:pPr>
    </w:p>
    <w:p>
      <w:pPr>
        <w:ind w:left="758" w:right="4499" w:hanging="375"/>
        <w:spacing w:after="0" w:line="353" w:lineRule="auto"/>
        <w:tabs>
          <w:tab w:leader="none" w:pos="758" w:val="left"/>
        </w:tabs>
        <w:numPr>
          <w:ilvl w:val="0"/>
          <w:numId w:val="1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give the Company any information reasonably requested by the Company relating to such claim,</w:t>
      </w:r>
    </w:p>
    <w:p>
      <w:pPr>
        <w:spacing w:after="0" w:line="9" w:lineRule="exact"/>
        <w:rPr>
          <w:rFonts w:ascii="Courier New" w:cs="Courier New" w:eastAsia="Courier New" w:hAnsi="Courier New"/>
          <w:sz w:val="13"/>
          <w:szCs w:val="13"/>
          <w:color w:val="auto"/>
        </w:rPr>
      </w:pPr>
    </w:p>
    <w:p>
      <w:pPr>
        <w:ind w:left="758" w:right="4179" w:hanging="375"/>
        <w:spacing w:after="0" w:line="268" w:lineRule="auto"/>
        <w:tabs>
          <w:tab w:leader="none" w:pos="758" w:val="left"/>
        </w:tabs>
        <w:numPr>
          <w:ilvl w:val="0"/>
          <w:numId w:val="1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62" w:lineRule="exact"/>
        <w:rPr>
          <w:rFonts w:ascii="Courier New" w:cs="Courier New" w:eastAsia="Courier New" w:hAnsi="Courier New"/>
          <w:sz w:val="13"/>
          <w:szCs w:val="13"/>
          <w:color w:val="auto"/>
        </w:rPr>
      </w:pPr>
    </w:p>
    <w:p>
      <w:pPr>
        <w:ind w:left="758" w:right="4099" w:hanging="375"/>
        <w:spacing w:after="0" w:line="353" w:lineRule="auto"/>
        <w:tabs>
          <w:tab w:leader="none" w:pos="835" w:val="left"/>
        </w:tabs>
        <w:numPr>
          <w:ilvl w:val="0"/>
          <w:numId w:val="1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cooperate with the Company in good faith in order effectively to contest such claim, and</w:t>
      </w:r>
    </w:p>
    <w:p>
      <w:pPr>
        <w:spacing w:after="0" w:line="9" w:lineRule="exact"/>
        <w:rPr>
          <w:rFonts w:ascii="Courier New" w:cs="Courier New" w:eastAsia="Courier New" w:hAnsi="Courier New"/>
          <w:sz w:val="13"/>
          <w:szCs w:val="13"/>
          <w:color w:val="auto"/>
        </w:rPr>
      </w:pPr>
    </w:p>
    <w:p>
      <w:pPr>
        <w:ind w:left="758" w:right="4259" w:hanging="375"/>
        <w:spacing w:after="0" w:line="353" w:lineRule="auto"/>
        <w:tabs>
          <w:tab w:leader="none" w:pos="758" w:val="left"/>
        </w:tabs>
        <w:numPr>
          <w:ilvl w:val="0"/>
          <w:numId w:val="1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permit the Company to participate in any proceeding relating to such claim;</w:t>
      </w:r>
    </w:p>
    <w:p>
      <w:pPr>
        <w:spacing w:after="0" w:line="9" w:lineRule="exact"/>
        <w:rPr>
          <w:sz w:val="20"/>
          <w:szCs w:val="20"/>
          <w:color w:val="auto"/>
        </w:rPr>
      </w:pPr>
    </w:p>
    <w:p>
      <w:pPr>
        <w:ind w:left="378" w:right="4099"/>
        <w:spacing w:after="0" w:line="265" w:lineRule="auto"/>
        <w:rPr>
          <w:sz w:val="20"/>
          <w:szCs w:val="20"/>
          <w:color w:val="auto"/>
        </w:rPr>
      </w:pPr>
      <w:r>
        <w:rPr>
          <w:rFonts w:ascii="Courier New" w:cs="Courier New" w:eastAsia="Courier New" w:hAnsi="Courier New"/>
          <w:sz w:val="12"/>
          <w:szCs w:val="12"/>
          <w:color w:val="auto"/>
        </w:rPr>
        <w:t>provided, however, that the Company shall bear and pay directly all costs and expenses (including additional interest and penalties) incurred in connection with such contest and shall indemnify and hold the Employee harmless, on an after-tax basis, for any Excise Tax or income tax (including related interest and penalties) imposed as a result of such representation and payment of costs and expenses. Without limitation on the foregoing provisions of this Section 9(e),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Employee to pay the tax claimed and sue for a refund or contest the claim in any permissible manner, and the Employee agrees to prosecute such contest to a determination before any administrative tribunal, in a court of initial jurisdiction and in one or more appellate courts, as the Company shall determine; provided, however, that if the Company directs the Employee to pay such claim and sue for a refund, the Company shall advance the amount of such payment to the Employee, on an interest-free basis and shall indemnify and hold the Employee harmless, on an after-tax basis, from any Excise Tax or income tax (including related interest or penalties) imposed with respect to such advance or with respect to any imputed income with respect to such advance. The Company's control of the contest shall be limited to issues that may impact Gross-Up Payments or reduction in Payments under this Section 9, and the Employee shall be entitled to settle or contest, as the case may be, any other issue raised by the Internal Revenue Service or any other taxing authority.</w:t>
      </w:r>
    </w:p>
    <w:p>
      <w:pPr>
        <w:spacing w:after="0" w:line="226" w:lineRule="exact"/>
        <w:rPr>
          <w:sz w:val="20"/>
          <w:szCs w:val="20"/>
          <w:color w:val="auto"/>
        </w:rPr>
      </w:pPr>
    </w:p>
    <w:p>
      <w:pPr>
        <w:ind w:left="378" w:right="4179" w:hanging="378"/>
        <w:spacing w:after="0" w:line="280" w:lineRule="auto"/>
        <w:tabs>
          <w:tab w:leader="none" w:pos="378" w:val="left"/>
        </w:tabs>
        <w:numPr>
          <w:ilvl w:val="0"/>
          <w:numId w:val="1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after the receipt by the Employee of an amount advanced by the Company pursuant to Section 9(e), the Employee becomes entitled to receive any refund with respect to such claim, the Employee shall (subject to the Company's complying with the requirements of Section 9(e)) promptly pay to the Company the amount of such refund (together with any interest paid or credited thereon after taxes applicable thereto). If, after the receipt by the Employee of an amount advanced by the Company pursuant to Section 9(e), a determination is made that</w:t>
      </w:r>
    </w:p>
    <w:p>
      <w:pPr>
        <w:spacing w:after="0" w:line="206"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9857"/>
          </w:cols>
          <w:pgMar w:left="602" w:top="540" w:right="1440" w:bottom="1440" w:gutter="0" w:footer="0" w:header="0"/>
        </w:sectPr>
      </w:pPr>
    </w:p>
    <w:bookmarkStart w:id="187" w:name="page188"/>
    <w:bookmarkEnd w:id="187"/>
    <w:p>
      <w:pPr>
        <w:ind w:left="378" w:right="4179"/>
        <w:spacing w:after="0" w:line="268" w:lineRule="auto"/>
        <w:rPr>
          <w:sz w:val="20"/>
          <w:szCs w:val="20"/>
          <w:color w:val="auto"/>
        </w:rPr>
      </w:pPr>
      <w:r>
        <w:rPr>
          <w:rFonts w:ascii="Courier New" w:cs="Courier New" w:eastAsia="Courier New" w:hAnsi="Courier New"/>
          <w:sz w:val="13"/>
          <w:szCs w:val="13"/>
          <w:color w:val="auto"/>
        </w:rPr>
        <w:t>the Employee shall not be entitled to any refund with respect to such claim and the Company does not notify the Employee in writing of its intent to contest such denial of refund prior to the expiration of thirty (30) days after such determination, then such advance shall be forgiven and shall not be required to be repaid.</w:t>
      </w:r>
    </w:p>
    <w:p>
      <w:pPr>
        <w:spacing w:after="0" w:line="62" w:lineRule="exact"/>
        <w:rPr>
          <w:sz w:val="20"/>
          <w:szCs w:val="20"/>
          <w:color w:val="auto"/>
        </w:rPr>
      </w:pPr>
    </w:p>
    <w:p>
      <w:pPr>
        <w:ind w:left="-382" w:right="4339" w:firstLine="382"/>
        <w:spacing w:after="0" w:line="307" w:lineRule="auto"/>
        <w:tabs>
          <w:tab w:leader="none" w:pos="308" w:val="left"/>
        </w:tabs>
        <w:numPr>
          <w:ilvl w:val="0"/>
          <w:numId w:val="1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Non-Delegation of Employee's Rights. The obligations, rights and benefits of the Employee hereunder are personal and may not be delegated, assigned or transferred in any manner whatsoever, nor are such obligations, rights or benefits subject to involuntary alienation, assignment or transfer.</w:t>
      </w:r>
    </w:p>
    <w:p>
      <w:pPr>
        <w:spacing w:after="0" w:line="41" w:lineRule="exact"/>
        <w:rPr>
          <w:rFonts w:ascii="Courier New" w:cs="Courier New" w:eastAsia="Courier New" w:hAnsi="Courier New"/>
          <w:sz w:val="12"/>
          <w:szCs w:val="12"/>
          <w:color w:val="auto"/>
        </w:rPr>
      </w:pPr>
    </w:p>
    <w:p>
      <w:pPr>
        <w:ind w:left="-382" w:right="4099" w:firstLine="382"/>
        <w:spacing w:after="0" w:line="267" w:lineRule="auto"/>
        <w:tabs>
          <w:tab w:leader="none" w:pos="308" w:val="left"/>
        </w:tabs>
        <w:numPr>
          <w:ilvl w:val="0"/>
          <w:numId w:val="1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Confidential Information. The Employee acknowledges that in his capacity as an employee of the Company he will occupy a position of trust and confidence and he further acknowledges that he will have access to and learn substantial information about the Company and its affiliates and their operations that is confidential or not generally known in the industry including, without limitation, information that relates to purchasing, sales, customers, marketing, and the Company's and its affiliates' financial positions and financing arrangements. The Employee agrees that all such information is proprietary or confidential, or constitutes trade secrets and is the sole property of the Company and/or its affiliates, as the case may be. The Employee will keep confidential, and will not reproduce, copy or disclose to any other person or firm, any such information or any documents or information relating to the Company's or its affiliates' methods, processes, customers, accounts, analyses, systems, charts, programs, procedures, correspondence or records, or any other documents used or owned by the Company or any of its affiliates, nor will the Employee advise, discuss with or in any way assist any other person, firm or entity in obtaining or learning about any of the items described in this Section 11. Accordingly, the Employee agrees that during the Employment Term and at all times thereafter he will not disclose, or permit or encourage anyone else to disclose, any such information, nor will he utilize any such information, either alone or with others, outside the scope of his duties and responsibilities with the Company and its affiliates.</w:t>
      </w:r>
    </w:p>
    <w:p>
      <w:pPr>
        <w:spacing w:after="0" w:line="215" w:lineRule="exact"/>
        <w:rPr>
          <w:rFonts w:ascii="Courier New" w:cs="Courier New" w:eastAsia="Courier New" w:hAnsi="Courier New"/>
          <w:sz w:val="12"/>
          <w:szCs w:val="12"/>
          <w:color w:val="auto"/>
        </w:rPr>
      </w:pPr>
    </w:p>
    <w:p>
      <w:pPr>
        <w:ind w:left="-382" w:right="4099" w:firstLine="382"/>
        <w:spacing w:after="0" w:line="247" w:lineRule="auto"/>
        <w:tabs>
          <w:tab w:leader="none" w:pos="308" w:val="left"/>
        </w:tabs>
        <w:numPr>
          <w:ilvl w:val="0"/>
          <w:numId w:val="150"/>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Non-Competition During Employment Term. The Employee agrees that, during the Employment Term, he will devote such business time, attention and energies reasonably necessary to the diligent and faithful performance of the services to the Company and its affiliates, and he will not engage in any way whatsoever, directly or indirectly, in any business that is a direct competitor with the Company's or its affiliates' principal business, nor solicit customers, suppliers or employees of the Company or affiliates on behalf of, or in any other manner work for or assist any business which is a direct competitor with the Company's or its affiliates' principal business. For purposes of clarification, Fidelity National Information Services, Inc. and its affiliates shall not be considered to be competitive with the Company and its affiliates, for purposes of Section 12 and Section 13 of this Agreement. In addition, during the Employment Term, the Employee will undertake no planning for or organization of any business activity competitive with the work he performs as an employee of the Company, and the Employee will not combine or conspire with any other employee of the Company or any other person for the purpose of organizing any such competitive business activity.</w:t>
      </w:r>
    </w:p>
    <w:p>
      <w:pPr>
        <w:spacing w:after="0" w:line="77" w:lineRule="exact"/>
        <w:rPr>
          <w:rFonts w:ascii="Courier New" w:cs="Courier New" w:eastAsia="Courier New" w:hAnsi="Courier New"/>
          <w:sz w:val="13"/>
          <w:szCs w:val="13"/>
          <w:color w:val="auto"/>
        </w:rPr>
      </w:pPr>
    </w:p>
    <w:p>
      <w:pPr>
        <w:ind w:left="-382" w:right="4179" w:firstLine="382"/>
        <w:spacing w:after="0" w:line="277" w:lineRule="auto"/>
        <w:tabs>
          <w:tab w:leader="none" w:pos="308" w:val="left"/>
        </w:tabs>
        <w:numPr>
          <w:ilvl w:val="0"/>
          <w:numId w:val="150"/>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Non-Competition After Employment Term. The parties acknowledge that as an executive officer of the Company the Employee will acquire substantial knowledge and information concerning the business of the Company and its affiliates as a result of his</w:t>
      </w:r>
    </w:p>
    <w:p>
      <w:pPr>
        <w:spacing w:after="0" w:line="205"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11</w:t>
      </w:r>
    </w:p>
    <w:p>
      <w:pPr>
        <w:sectPr>
          <w:pgSz w:w="11900" w:h="16838" w:orient="portrait"/>
          <w:cols w:equalWidth="0" w:num="1">
            <w:col w:w="9857"/>
          </w:cols>
          <w:pgMar w:left="602" w:top="540" w:right="1440" w:bottom="1440" w:gutter="0" w:footer="0" w:header="0"/>
        </w:sectPr>
      </w:pPr>
    </w:p>
    <w:bookmarkStart w:id="188" w:name="page189"/>
    <w:bookmarkEnd w:id="188"/>
    <w:p>
      <w:pPr>
        <w:jc w:val="both"/>
        <w:ind w:right="4179"/>
        <w:spacing w:after="0" w:line="274" w:lineRule="auto"/>
        <w:rPr>
          <w:sz w:val="20"/>
          <w:szCs w:val="20"/>
          <w:color w:val="auto"/>
        </w:rPr>
      </w:pPr>
      <w:r>
        <w:rPr>
          <w:rFonts w:ascii="Courier New" w:cs="Courier New" w:eastAsia="Courier New" w:hAnsi="Courier New"/>
          <w:sz w:val="12"/>
          <w:szCs w:val="12"/>
          <w:color w:val="auto"/>
        </w:rPr>
        <w:t>employment. The parties further acknowledge that the scope of business in which the Company and its affiliates are engaged as of the Effective Date is national and very competitive and one in which few companies can successfully compete.</w:t>
      </w:r>
    </w:p>
    <w:p>
      <w:pPr>
        <w:spacing w:after="0" w:line="1" w:lineRule="exact"/>
        <w:rPr>
          <w:sz w:val="20"/>
          <w:szCs w:val="20"/>
          <w:color w:val="auto"/>
        </w:rPr>
      </w:pPr>
    </w:p>
    <w:p>
      <w:pPr>
        <w:ind w:right="4179"/>
        <w:spacing w:after="0" w:line="245" w:lineRule="auto"/>
        <w:rPr>
          <w:sz w:val="20"/>
          <w:szCs w:val="20"/>
          <w:color w:val="auto"/>
        </w:rPr>
      </w:pPr>
      <w:r>
        <w:rPr>
          <w:rFonts w:ascii="Courier New" w:cs="Courier New" w:eastAsia="Courier New" w:hAnsi="Courier New"/>
          <w:sz w:val="13"/>
          <w:szCs w:val="13"/>
          <w:color w:val="auto"/>
        </w:rPr>
        <w:t>Competition by an executive officer such as the Employee in that business after the Employment Term is terminated would severely injure the Company and its affiliates. Accordingly, for a period of one (1) year after the Employee's employment terminates for any reason whatsoever, except as otherwise stated herein below, the Employee agrees (a) not to become an employee, consultant, advisor, principal, partner or substantial shareholder of any firm or business that directly competes with the Company or its affiliates in their principal products and markets, and (b), on behalf of any such competitive firm or business, not to solicit any person or business that was at the time of such termination and remains a customer or prospective customer, a supplier or prospective supplier, or an employee of the Company or an affiliate. Notwithstanding any of the foregoing provisions to the contrary, the Employee shall not be subject to the restrictions set forth in this Section 13 under the following circumstances:</w:t>
      </w:r>
    </w:p>
    <w:p>
      <w:pPr>
        <w:spacing w:after="0" w:line="83" w:lineRule="exact"/>
        <w:rPr>
          <w:sz w:val="20"/>
          <w:szCs w:val="20"/>
          <w:color w:val="auto"/>
        </w:rPr>
      </w:pPr>
    </w:p>
    <w:p>
      <w:pPr>
        <w:ind w:left="760" w:right="4499" w:hanging="378"/>
        <w:spacing w:after="0" w:line="353" w:lineRule="auto"/>
        <w:tabs>
          <w:tab w:leader="none" w:pos="760" w:val="left"/>
        </w:tabs>
        <w:numPr>
          <w:ilvl w:val="0"/>
          <w:numId w:val="151"/>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Employee's employment is terminated by the Company without Cause;</w:t>
      </w:r>
    </w:p>
    <w:p>
      <w:pPr>
        <w:spacing w:after="0" w:line="9" w:lineRule="exact"/>
        <w:rPr>
          <w:rFonts w:ascii="Courier New" w:cs="Courier New" w:eastAsia="Courier New" w:hAnsi="Courier New"/>
          <w:sz w:val="13"/>
          <w:szCs w:val="13"/>
          <w:color w:val="auto"/>
        </w:rPr>
      </w:pPr>
    </w:p>
    <w:p>
      <w:pPr>
        <w:ind w:left="760" w:right="4799" w:hanging="378"/>
        <w:spacing w:after="0" w:line="353" w:lineRule="auto"/>
        <w:tabs>
          <w:tab w:leader="none" w:pos="760" w:val="left"/>
        </w:tabs>
        <w:numPr>
          <w:ilvl w:val="0"/>
          <w:numId w:val="151"/>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Employee's employment is terminated as a result of the Company's unwillingness to extend the Employment Term;</w:t>
      </w:r>
    </w:p>
    <w:p>
      <w:pPr>
        <w:spacing w:after="0" w:line="9" w:lineRule="exact"/>
        <w:rPr>
          <w:rFonts w:ascii="Courier New" w:cs="Courier New" w:eastAsia="Courier New" w:hAnsi="Courier New"/>
          <w:sz w:val="13"/>
          <w:szCs w:val="13"/>
          <w:color w:val="auto"/>
        </w:rPr>
      </w:pPr>
    </w:p>
    <w:p>
      <w:pPr>
        <w:ind w:left="760" w:hanging="378"/>
        <w:spacing w:after="0"/>
        <w:tabs>
          <w:tab w:leader="none" w:pos="760" w:val="left"/>
        </w:tabs>
        <w:numPr>
          <w:ilvl w:val="0"/>
          <w:numId w:val="151"/>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 terminates employment for Good Reason; or</w:t>
      </w:r>
    </w:p>
    <w:p>
      <w:pPr>
        <w:spacing w:after="0" w:line="147" w:lineRule="exact"/>
        <w:rPr>
          <w:rFonts w:ascii="Courier New" w:cs="Courier New" w:eastAsia="Courier New" w:hAnsi="Courier New"/>
          <w:sz w:val="13"/>
          <w:szCs w:val="13"/>
          <w:color w:val="auto"/>
        </w:rPr>
      </w:pPr>
    </w:p>
    <w:p>
      <w:pPr>
        <w:ind w:left="760" w:right="4259" w:hanging="378"/>
        <w:spacing w:after="0" w:line="296" w:lineRule="auto"/>
        <w:tabs>
          <w:tab w:leader="none" w:pos="760" w:val="left"/>
        </w:tabs>
        <w:numPr>
          <w:ilvl w:val="0"/>
          <w:numId w:val="151"/>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 terminates employment without Good Reason, any time during the six (6) month period beginning on the first day following the six (6) month anniversary of a Change in Control.</w:t>
      </w:r>
    </w:p>
    <w:p>
      <w:pPr>
        <w:spacing w:after="0" w:line="45" w:lineRule="exact"/>
        <w:rPr>
          <w:sz w:val="20"/>
          <w:szCs w:val="20"/>
          <w:color w:val="auto"/>
        </w:rPr>
      </w:pPr>
    </w:p>
    <w:p>
      <w:pPr>
        <w:ind w:right="4099" w:firstLine="382"/>
        <w:spacing w:after="0" w:line="268" w:lineRule="auto"/>
        <w:tabs>
          <w:tab w:leader="none" w:pos="690" w:val="left"/>
        </w:tabs>
        <w:numPr>
          <w:ilvl w:val="0"/>
          <w:numId w:val="1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Return of Company Documents. Upon termination of the Employment Term, Employee shall return immediately to the Company all records and documents of or pertaining to the Company or its affiliates and shall not make or retain any copy or extract of any such record or document, and other property of the Company or its affiliates.</w:t>
      </w:r>
    </w:p>
    <w:p>
      <w:pPr>
        <w:spacing w:after="0" w:line="62" w:lineRule="exact"/>
        <w:rPr>
          <w:rFonts w:ascii="Courier New" w:cs="Courier New" w:eastAsia="Courier New" w:hAnsi="Courier New"/>
          <w:sz w:val="13"/>
          <w:szCs w:val="13"/>
          <w:color w:val="auto"/>
        </w:rPr>
      </w:pPr>
    </w:p>
    <w:p>
      <w:pPr>
        <w:ind w:right="4099" w:firstLine="382"/>
        <w:spacing w:after="0" w:line="252" w:lineRule="auto"/>
        <w:tabs>
          <w:tab w:leader="none" w:pos="690" w:val="left"/>
        </w:tabs>
        <w:numPr>
          <w:ilvl w:val="0"/>
          <w:numId w:val="1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Improvements and Inventions. Any and all improvements or inventions, which the Employee may make or participate in during the Employment Term, unless wholly unrelated to the business of the Company and its affiliates and produced not in the scope of Employee's employment hereunder, shall be the sole and exclusive property of the Company. The Employee will, whenever requested by the Company, execute and deliver any and all documents which the Company shall deem appropriate in order to apply for and obtain patents for improvements or inventions or in order to assign and convey to the Company the sole and exclusive right, title and interest in and to such improvements, inventions, patents or applications.</w:t>
      </w:r>
    </w:p>
    <w:p>
      <w:pPr>
        <w:spacing w:after="0" w:line="75" w:lineRule="exact"/>
        <w:rPr>
          <w:rFonts w:ascii="Courier New" w:cs="Courier New" w:eastAsia="Courier New" w:hAnsi="Courier New"/>
          <w:sz w:val="13"/>
          <w:szCs w:val="13"/>
          <w:color w:val="auto"/>
        </w:rPr>
      </w:pPr>
    </w:p>
    <w:p>
      <w:pPr>
        <w:ind w:right="4099" w:firstLine="382"/>
        <w:spacing w:after="0" w:line="252" w:lineRule="auto"/>
        <w:tabs>
          <w:tab w:leader="none" w:pos="690" w:val="left"/>
        </w:tabs>
        <w:numPr>
          <w:ilvl w:val="0"/>
          <w:numId w:val="1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Actions. The parties agree and acknowledge that the rights conveyed by this Agreement are of a unique and special nature and that the Company will not have an adequate remedy at law in the event of a failure by the Employee to abide by its terms and conditions nor will money damages adequately compensate for such injury. It is, therefore, agreed between and hereby acknowledged by the parties that, in the event of a breach by the Employee of any of his obligations contained in this Agreement, the Company shall have the right, among other rights, to damages sustained thereby and to obtain an injunction or decree of specific performance from any court of competent jurisdiction to restrain or compel the Employee to perform as agreed</w:t>
      </w:r>
    </w:p>
    <w:p>
      <w:pPr>
        <w:spacing w:after="0" w:line="223"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10239"/>
          </w:cols>
          <w:pgMar w:left="220" w:top="540" w:right="1440" w:bottom="1440" w:gutter="0" w:footer="0" w:header="0"/>
        </w:sectPr>
      </w:pPr>
    </w:p>
    <w:bookmarkStart w:id="189" w:name="page190"/>
    <w:bookmarkEnd w:id="189"/>
    <w:p>
      <w:pPr>
        <w:ind w:right="4099"/>
        <w:spacing w:after="0" w:line="262" w:lineRule="auto"/>
        <w:rPr>
          <w:sz w:val="20"/>
          <w:szCs w:val="20"/>
          <w:color w:val="auto"/>
        </w:rPr>
      </w:pPr>
      <w:r>
        <w:rPr>
          <w:rFonts w:ascii="Courier New" w:cs="Courier New" w:eastAsia="Courier New" w:hAnsi="Courier New"/>
          <w:sz w:val="13"/>
          <w:szCs w:val="13"/>
          <w:color w:val="auto"/>
        </w:rPr>
        <w:t>herein. The Employee hereby acknowledges that obligations under Sections 11, 13, 14, 15, 16, 17 and 18 shall survive the termination of his employment and he shall be bound by their terms at all times subsequent to the termination of his employment for the periods specified therein. Nothing herein contained shall in any way limit or exclude any other right granted by law or equity to the Company.</w:t>
      </w:r>
    </w:p>
    <w:p>
      <w:pPr>
        <w:spacing w:after="0" w:line="67" w:lineRule="exact"/>
        <w:rPr>
          <w:sz w:val="20"/>
          <w:szCs w:val="20"/>
          <w:color w:val="auto"/>
        </w:rPr>
      </w:pPr>
    </w:p>
    <w:p>
      <w:pPr>
        <w:ind w:right="4099" w:firstLine="382"/>
        <w:spacing w:after="0" w:line="259" w:lineRule="auto"/>
        <w:tabs>
          <w:tab w:leader="none" w:pos="690" w:val="left"/>
        </w:tabs>
        <w:numPr>
          <w:ilvl w:val="0"/>
          <w:numId w:val="1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Release. Notwithstanding any provision herein to the contrary, the Company will require that, prior to payment of any amount or provision of any benefit under Section 8 or payment of any Gross-Up Payment pursuant to Section 9 of this Agreement (other than due to the Employee's death), the Employee shall have executed a complete release of the Company and its affiliates and related parties in such form as is reasonably required by the Company, and any waiting periods contained in such release shall have expired.</w:t>
      </w:r>
    </w:p>
    <w:p>
      <w:pPr>
        <w:spacing w:after="0" w:line="67" w:lineRule="exact"/>
        <w:rPr>
          <w:rFonts w:ascii="Courier New" w:cs="Courier New" w:eastAsia="Courier New" w:hAnsi="Courier New"/>
          <w:sz w:val="13"/>
          <w:szCs w:val="13"/>
          <w:color w:val="auto"/>
        </w:rPr>
      </w:pPr>
    </w:p>
    <w:p>
      <w:pPr>
        <w:ind w:right="4099" w:firstLine="382"/>
        <w:spacing w:after="0" w:line="284" w:lineRule="auto"/>
        <w:tabs>
          <w:tab w:leader="none" w:pos="690" w:val="left"/>
        </w:tabs>
        <w:numPr>
          <w:ilvl w:val="0"/>
          <w:numId w:val="1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 Mitigation. The Company agrees that, if the Employee's employment hereunder is terminated during the Employment Term, the Employee is not required to seek other employment or to attempt in any way to reduce any amounts payable to the Employee by the Company hereunder. Further, the amount of any payment or benefit provided for hereunder (other than pursuant to Section 8(a)(v) hereof) shall not be reduced by any compensation earned by the Employee as the result of employment by another employer, by retirement benefits or otherwise.</w:t>
      </w:r>
    </w:p>
    <w:p>
      <w:pPr>
        <w:spacing w:after="0" w:line="53" w:lineRule="exact"/>
        <w:rPr>
          <w:rFonts w:ascii="Courier New" w:cs="Courier New" w:eastAsia="Courier New" w:hAnsi="Courier New"/>
          <w:sz w:val="12"/>
          <w:szCs w:val="12"/>
          <w:color w:val="auto"/>
        </w:rPr>
      </w:pPr>
    </w:p>
    <w:p>
      <w:pPr>
        <w:ind w:right="4339" w:firstLine="382"/>
        <w:spacing w:after="0" w:line="262" w:lineRule="auto"/>
        <w:tabs>
          <w:tab w:leader="none" w:pos="690" w:val="left"/>
        </w:tabs>
        <w:numPr>
          <w:ilvl w:val="0"/>
          <w:numId w:val="1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Entire Agreement and Amendment. This Agreement embodies the entire agreement and understanding of the parties hereto in respect of the subject matter of this Agreement, and supersedes and replaces all prior agreements, understandings and commitments with respect to such subject matter. This Agreement may be amended only by a written document signed by both parties to this Agreement.</w:t>
      </w:r>
    </w:p>
    <w:p>
      <w:pPr>
        <w:spacing w:after="0" w:line="67" w:lineRule="exact"/>
        <w:rPr>
          <w:rFonts w:ascii="Courier New" w:cs="Courier New" w:eastAsia="Courier New" w:hAnsi="Courier New"/>
          <w:sz w:val="13"/>
          <w:szCs w:val="13"/>
          <w:color w:val="auto"/>
        </w:rPr>
      </w:pPr>
    </w:p>
    <w:p>
      <w:pPr>
        <w:ind w:right="4099" w:firstLine="382"/>
        <w:spacing w:after="0" w:line="262" w:lineRule="auto"/>
        <w:tabs>
          <w:tab w:leader="none" w:pos="690" w:val="left"/>
        </w:tabs>
        <w:numPr>
          <w:ilvl w:val="0"/>
          <w:numId w:val="1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Governing Law. This Agreement shall be governed by, and construed in accordance with, the laws of the State of Florida, excluding any conflicts or choice of law rule or principle that might otherwise refer construction or interpretation of this Agreement to the substantive law of another jurisdiction. Any litigation pertaining to this Agreement shall be adjudicated in courts located in Duval County, Florida.</w:t>
      </w:r>
    </w:p>
    <w:p>
      <w:pPr>
        <w:spacing w:after="0" w:line="67" w:lineRule="exact"/>
        <w:rPr>
          <w:rFonts w:ascii="Courier New" w:cs="Courier New" w:eastAsia="Courier New" w:hAnsi="Courier New"/>
          <w:sz w:val="13"/>
          <w:szCs w:val="13"/>
          <w:color w:val="auto"/>
        </w:rPr>
      </w:pPr>
    </w:p>
    <w:p>
      <w:pPr>
        <w:ind w:right="4099" w:firstLine="382"/>
        <w:spacing w:after="0" w:line="252" w:lineRule="auto"/>
        <w:tabs>
          <w:tab w:leader="none" w:pos="690" w:val="left"/>
        </w:tabs>
        <w:numPr>
          <w:ilvl w:val="0"/>
          <w:numId w:val="1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Successors. In addition to any obligations imposed by law upon any successor to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"Company" shall mean the Company as herein before defined and any such successor that expressly assumes this Agreement or otherwise becomes bound by all the terms and provisions of this Agreement by operation of law.</w:t>
      </w:r>
    </w:p>
    <w:p>
      <w:pPr>
        <w:spacing w:after="0" w:line="75" w:lineRule="exact"/>
        <w:rPr>
          <w:rFonts w:ascii="Courier New" w:cs="Courier New" w:eastAsia="Courier New" w:hAnsi="Courier New"/>
          <w:sz w:val="13"/>
          <w:szCs w:val="13"/>
          <w:color w:val="auto"/>
        </w:rPr>
      </w:pPr>
    </w:p>
    <w:p>
      <w:pPr>
        <w:ind w:right="4259" w:firstLine="382"/>
        <w:spacing w:after="0" w:line="296" w:lineRule="auto"/>
        <w:tabs>
          <w:tab w:leader="none" w:pos="690" w:val="left"/>
        </w:tabs>
        <w:numPr>
          <w:ilvl w:val="0"/>
          <w:numId w:val="1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Counterparts. This Agreement may be executed in counterparts, each of which shall be deemed an original, but all of which together shall constitute one and the same instrument.</w:t>
      </w:r>
    </w:p>
    <w:p>
      <w:pPr>
        <w:spacing w:after="0" w:line="44" w:lineRule="exact"/>
        <w:rPr>
          <w:rFonts w:ascii="Courier New" w:cs="Courier New" w:eastAsia="Courier New" w:hAnsi="Courier New"/>
          <w:sz w:val="13"/>
          <w:szCs w:val="13"/>
          <w:color w:val="auto"/>
        </w:rPr>
      </w:pPr>
    </w:p>
    <w:p>
      <w:pPr>
        <w:ind w:right="4499" w:firstLine="382"/>
        <w:spacing w:after="0" w:line="296" w:lineRule="auto"/>
        <w:tabs>
          <w:tab w:leader="none" w:pos="690" w:val="left"/>
        </w:tabs>
        <w:numPr>
          <w:ilvl w:val="0"/>
          <w:numId w:val="1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Attorneys' Fees. If any party finds it necessary to employ legal counsel or to bring an action at law or other proceedings against the other party to interpret or enforce any of</w:t>
      </w:r>
    </w:p>
    <w:p>
      <w:pPr>
        <w:spacing w:after="0" w:line="192"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13</w:t>
      </w:r>
    </w:p>
    <w:p>
      <w:pPr>
        <w:sectPr>
          <w:pgSz w:w="11900" w:h="16838" w:orient="portrait"/>
          <w:cols w:equalWidth="0" w:num="1">
            <w:col w:w="10239"/>
          </w:cols>
          <w:pgMar w:left="220" w:top="540" w:right="1440" w:bottom="1440" w:gutter="0" w:footer="0" w:header="0"/>
        </w:sectPr>
      </w:pPr>
    </w:p>
    <w:bookmarkStart w:id="190" w:name="page191"/>
    <w:bookmarkEnd w:id="190"/>
    <w:p>
      <w:pPr>
        <w:ind w:left="1" w:right="4099"/>
        <w:spacing w:after="0" w:line="273" w:lineRule="auto"/>
        <w:rPr>
          <w:sz w:val="20"/>
          <w:szCs w:val="20"/>
          <w:color w:val="auto"/>
        </w:rPr>
      </w:pPr>
      <w:r>
        <w:rPr>
          <w:rFonts w:ascii="Courier New" w:cs="Courier New" w:eastAsia="Courier New" w:hAnsi="Courier New"/>
          <w:sz w:val="12"/>
          <w:szCs w:val="12"/>
          <w:color w:val="auto"/>
        </w:rPr>
        <w:t>the terms hereof, the party prevailing in any such action or other proceeding shall be paid by the other party its reasonable legal fees, court costs, litigation expenses, all as determined by the court and not a jury; provided, however, that on or after a Change in Control, if any party finds it necessary to employ legal counsel or to bring an action at law or other proceedings against the other party to interpret or enforce any of the terms hereof, the Company shall pay (on an ongoing basis) to the Employee to the fullest extent permitted by law, all legal fees, court costs and litigation expenses reasonably incurred by the Employee or others on his behalf (such amounts collectively referred to as the "Reimbursed Amounts"); provided, further, that the Employee shall reimburse the Company for the Reimbursed Amounts if it is determined that a majority of the Employee's claims or defenses were frivolous or without merit.</w:t>
      </w:r>
    </w:p>
    <w:p>
      <w:pPr>
        <w:spacing w:after="0" w:line="61" w:lineRule="exact"/>
        <w:rPr>
          <w:sz w:val="20"/>
          <w:szCs w:val="20"/>
          <w:color w:val="auto"/>
        </w:rPr>
      </w:pPr>
    </w:p>
    <w:p>
      <w:pPr>
        <w:ind w:left="1" w:right="4099" w:firstLine="382"/>
        <w:spacing w:after="0" w:line="271" w:lineRule="auto"/>
        <w:tabs>
          <w:tab w:leader="none" w:pos="691" w:val="left"/>
        </w:tabs>
        <w:numPr>
          <w:ilvl w:val="1"/>
          <w:numId w:val="1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Severability.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the Employee in this Agreement shall each be construed as an agreement independent of any other provision in this Agreement, and the existence of any claim or cause of action of the Employee against the Company, whether predicated on this Agreement or otherwise, shall not constitute a defense to the enforcement by the Company of the covenants in this Agreement.</w:t>
      </w:r>
    </w:p>
    <w:p>
      <w:pPr>
        <w:spacing w:after="0" w:line="62" w:lineRule="exact"/>
        <w:rPr>
          <w:rFonts w:ascii="Courier New" w:cs="Courier New" w:eastAsia="Courier New" w:hAnsi="Courier New"/>
          <w:sz w:val="12"/>
          <w:szCs w:val="12"/>
          <w:color w:val="auto"/>
        </w:rPr>
      </w:pPr>
    </w:p>
    <w:p>
      <w:pPr>
        <w:ind w:left="1" w:right="4099" w:firstLine="382"/>
        <w:spacing w:after="0" w:line="281" w:lineRule="auto"/>
        <w:tabs>
          <w:tab w:leader="none" w:pos="691" w:val="left"/>
        </w:tabs>
        <w:numPr>
          <w:ilvl w:val="1"/>
          <w:numId w:val="1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Notices. Any notice, request, or instruction to be given hereunder shall be in writing and shall be deemed given when personally delivered or three</w:t>
      </w:r>
    </w:p>
    <w:p>
      <w:pPr>
        <w:jc w:val="both"/>
        <w:ind w:left="1" w:right="4099" w:hanging="1"/>
        <w:spacing w:after="0" w:line="277" w:lineRule="auto"/>
        <w:tabs>
          <w:tab w:leader="none" w:pos="308" w:val="left"/>
        </w:tabs>
        <w:numPr>
          <w:ilvl w:val="0"/>
          <w:numId w:val="155"/>
        </w:numPr>
        <w:rPr>
          <w:rFonts w:ascii="Courier New" w:cs="Courier New" w:eastAsia="Courier New" w:hAnsi="Courier New"/>
          <w:sz w:val="13"/>
          <w:szCs w:val="13"/>
          <w:color w:val="auto"/>
        </w:rPr>
      </w:pPr>
      <w:r>
        <w:rPr>
          <w:rFonts w:ascii="Courier New" w:cs="Courier New" w:eastAsia="Courier New" w:hAnsi="Courier New"/>
          <w:sz w:val="13"/>
          <w:szCs w:val="13"/>
          <w:color w:val="auto"/>
        </w:rPr>
        <w:t>days after being sent by United States Certified Mail, postage prepaid, with Return Receipt Requested, to the parties at their respective addresses set forth below:</w:t>
      </w:r>
    </w:p>
    <w:p>
      <w:pPr>
        <w:spacing w:after="0" w:line="56" w:lineRule="exact"/>
        <w:rPr>
          <w:sz w:val="20"/>
          <w:szCs w:val="20"/>
          <w:color w:val="auto"/>
        </w:rPr>
      </w:pPr>
    </w:p>
    <w:p>
      <w:pPr>
        <w:ind w:left="381"/>
        <w:spacing w:after="0"/>
        <w:rPr>
          <w:sz w:val="20"/>
          <w:szCs w:val="20"/>
          <w:color w:val="auto"/>
        </w:rPr>
      </w:pPr>
      <w:r>
        <w:rPr>
          <w:rFonts w:ascii="Courier New" w:cs="Courier New" w:eastAsia="Courier New" w:hAnsi="Courier New"/>
          <w:sz w:val="13"/>
          <w:szCs w:val="13"/>
          <w:color w:val="auto"/>
        </w:rPr>
        <w:t>To the Company:</w:t>
      </w:r>
    </w:p>
    <w:p>
      <w:pPr>
        <w:spacing w:after="0" w:line="148" w:lineRule="exact"/>
        <w:rPr>
          <w:sz w:val="20"/>
          <w:szCs w:val="20"/>
          <w:color w:val="auto"/>
        </w:rPr>
      </w:pPr>
    </w:p>
    <w:p>
      <w:pPr>
        <w:ind w:left="761"/>
        <w:spacing w:after="0"/>
        <w:rPr>
          <w:sz w:val="20"/>
          <w:szCs w:val="20"/>
          <w:color w:val="auto"/>
        </w:rPr>
      </w:pPr>
      <w:r>
        <w:rPr>
          <w:rFonts w:ascii="Courier New" w:cs="Courier New" w:eastAsia="Courier New" w:hAnsi="Courier New"/>
          <w:sz w:val="13"/>
          <w:szCs w:val="13"/>
          <w:color w:val="auto"/>
        </w:rPr>
        <w:t>Fidelity National Title Group, Inc.</w:t>
      </w:r>
    </w:p>
    <w:p>
      <w:pPr>
        <w:spacing w:after="0" w:line="24" w:lineRule="exact"/>
        <w:rPr>
          <w:sz w:val="20"/>
          <w:szCs w:val="20"/>
          <w:color w:val="auto"/>
        </w:rPr>
      </w:pPr>
    </w:p>
    <w:p>
      <w:pPr>
        <w:ind w:left="761"/>
        <w:spacing w:after="0"/>
        <w:rPr>
          <w:sz w:val="20"/>
          <w:szCs w:val="20"/>
          <w:color w:val="auto"/>
        </w:rPr>
      </w:pPr>
      <w:r>
        <w:rPr>
          <w:rFonts w:ascii="Courier New" w:cs="Courier New" w:eastAsia="Courier New" w:hAnsi="Courier New"/>
          <w:sz w:val="13"/>
          <w:szCs w:val="13"/>
          <w:color w:val="auto"/>
        </w:rPr>
        <w:t>601 Riverside Avenue</w:t>
      </w:r>
    </w:p>
    <w:p>
      <w:pPr>
        <w:ind w:left="761"/>
        <w:spacing w:after="0"/>
        <w:rPr>
          <w:sz w:val="20"/>
          <w:szCs w:val="20"/>
          <w:color w:val="auto"/>
        </w:rPr>
      </w:pPr>
      <w:r>
        <w:rPr>
          <w:rFonts w:ascii="Courier New" w:cs="Courier New" w:eastAsia="Courier New" w:hAnsi="Courier New"/>
          <w:sz w:val="13"/>
          <w:szCs w:val="13"/>
          <w:color w:val="auto"/>
        </w:rPr>
        <w:t>Jacksonville, FL 32204</w:t>
      </w:r>
    </w:p>
    <w:p>
      <w:pPr>
        <w:ind w:left="761"/>
        <w:spacing w:after="0"/>
        <w:rPr>
          <w:sz w:val="20"/>
          <w:szCs w:val="20"/>
          <w:color w:val="auto"/>
        </w:rPr>
      </w:pPr>
      <w:r>
        <w:rPr>
          <w:rFonts w:ascii="Courier New" w:cs="Courier New" w:eastAsia="Courier New" w:hAnsi="Courier New"/>
          <w:sz w:val="13"/>
          <w:szCs w:val="13"/>
          <w:color w:val="auto"/>
        </w:rPr>
        <w:t>Attention: General Counsel</w:t>
      </w:r>
    </w:p>
    <w:p>
      <w:pPr>
        <w:spacing w:after="0" w:line="124" w:lineRule="exact"/>
        <w:rPr>
          <w:sz w:val="20"/>
          <w:szCs w:val="20"/>
          <w:color w:val="auto"/>
        </w:rPr>
      </w:pPr>
    </w:p>
    <w:p>
      <w:pPr>
        <w:ind w:left="381"/>
        <w:spacing w:after="0"/>
        <w:rPr>
          <w:sz w:val="20"/>
          <w:szCs w:val="20"/>
          <w:color w:val="auto"/>
        </w:rPr>
      </w:pPr>
      <w:r>
        <w:rPr>
          <w:rFonts w:ascii="Courier New" w:cs="Courier New" w:eastAsia="Courier New" w:hAnsi="Courier New"/>
          <w:sz w:val="13"/>
          <w:szCs w:val="13"/>
          <w:color w:val="auto"/>
        </w:rPr>
        <w:t>To the Employee:</w:t>
      </w:r>
    </w:p>
    <w:p>
      <w:pPr>
        <w:spacing w:after="0" w:line="148" w:lineRule="exact"/>
        <w:rPr>
          <w:sz w:val="20"/>
          <w:szCs w:val="20"/>
          <w:color w:val="auto"/>
        </w:rPr>
      </w:pPr>
    </w:p>
    <w:p>
      <w:pPr>
        <w:ind w:left="761"/>
        <w:spacing w:after="0"/>
        <w:rPr>
          <w:sz w:val="20"/>
          <w:szCs w:val="20"/>
          <w:color w:val="auto"/>
        </w:rPr>
      </w:pPr>
      <w:r>
        <w:rPr>
          <w:rFonts w:ascii="Courier New" w:cs="Courier New" w:eastAsia="Courier New" w:hAnsi="Courier New"/>
          <w:sz w:val="13"/>
          <w:szCs w:val="13"/>
          <w:color w:val="auto"/>
        </w:rPr>
        <w:t>William P. Foley, II</w:t>
      </w:r>
    </w:p>
    <w:p>
      <w:pPr>
        <w:spacing w:after="0" w:line="24" w:lineRule="exact"/>
        <w:rPr>
          <w:sz w:val="20"/>
          <w:szCs w:val="20"/>
          <w:color w:val="auto"/>
        </w:rPr>
      </w:pPr>
    </w:p>
    <w:p>
      <w:pPr>
        <w:ind w:left="761"/>
        <w:spacing w:after="0"/>
        <w:rPr>
          <w:sz w:val="20"/>
          <w:szCs w:val="20"/>
          <w:color w:val="auto"/>
        </w:rPr>
      </w:pPr>
      <w:r>
        <w:rPr>
          <w:rFonts w:ascii="Courier New" w:cs="Courier New" w:eastAsia="Courier New" w:hAnsi="Courier New"/>
          <w:sz w:val="13"/>
          <w:szCs w:val="13"/>
          <w:color w:val="auto"/>
        </w:rPr>
        <w:t>c/o Fidelity National Title Group, Inc.</w:t>
      </w:r>
    </w:p>
    <w:p>
      <w:pPr>
        <w:ind w:left="761"/>
        <w:spacing w:after="0"/>
        <w:rPr>
          <w:sz w:val="20"/>
          <w:szCs w:val="20"/>
          <w:color w:val="auto"/>
        </w:rPr>
      </w:pPr>
      <w:r>
        <w:rPr>
          <w:rFonts w:ascii="Courier New" w:cs="Courier New" w:eastAsia="Courier New" w:hAnsi="Courier New"/>
          <w:sz w:val="13"/>
          <w:szCs w:val="13"/>
          <w:color w:val="auto"/>
        </w:rPr>
        <w:t>601 Riverside Avenue</w:t>
      </w:r>
    </w:p>
    <w:p>
      <w:pPr>
        <w:ind w:left="761"/>
        <w:spacing w:after="0"/>
        <w:rPr>
          <w:sz w:val="20"/>
          <w:szCs w:val="20"/>
          <w:color w:val="auto"/>
        </w:rPr>
      </w:pPr>
      <w:r>
        <w:rPr>
          <w:rFonts w:ascii="Courier New" w:cs="Courier New" w:eastAsia="Courier New" w:hAnsi="Courier New"/>
          <w:sz w:val="13"/>
          <w:szCs w:val="13"/>
          <w:color w:val="auto"/>
        </w:rPr>
        <w:t>Jacksonville, FL 32204</w:t>
      </w:r>
    </w:p>
    <w:p>
      <w:pPr>
        <w:spacing w:after="0" w:line="124" w:lineRule="exact"/>
        <w:rPr>
          <w:sz w:val="20"/>
          <w:szCs w:val="20"/>
          <w:color w:val="auto"/>
        </w:rPr>
      </w:pPr>
    </w:p>
    <w:p>
      <w:pPr>
        <w:ind w:left="1" w:right="4419" w:firstLine="382"/>
        <w:spacing w:after="0" w:line="296" w:lineRule="auto"/>
        <w:tabs>
          <w:tab w:leader="none" w:pos="691" w:val="left"/>
        </w:tabs>
        <w:numPr>
          <w:ilvl w:val="0"/>
          <w:numId w:val="15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Waiver of Breach. The waiver by any party of any provisions of this Agreement shall not operate or be construed as a waiver of any prior or subsequent breach by the other party.</w:t>
      </w:r>
    </w:p>
    <w:p>
      <w:pPr>
        <w:spacing w:after="0" w:line="192" w:lineRule="exact"/>
        <w:rPr>
          <w:sz w:val="20"/>
          <w:szCs w:val="20"/>
          <w:color w:val="auto"/>
        </w:rPr>
      </w:pPr>
    </w:p>
    <w:p>
      <w:pPr>
        <w:ind w:left="2981"/>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10241"/>
          </w:cols>
          <w:pgMar w:left="219" w:top="540" w:right="1440" w:bottom="1440" w:gutter="0" w:footer="0" w:header="0"/>
        </w:sectPr>
      </w:pPr>
    </w:p>
    <w:bookmarkStart w:id="191" w:name="page192"/>
    <w:bookmarkEnd w:id="191"/>
    <w:p>
      <w:pPr>
        <w:ind w:right="4099" w:firstLine="382"/>
        <w:spacing w:after="0" w:line="331" w:lineRule="auto"/>
        <w:tabs>
          <w:tab w:leader="none" w:pos="690" w:val="left"/>
        </w:tabs>
        <w:numPr>
          <w:ilvl w:val="0"/>
          <w:numId w:val="1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Tax Withholding. The Company or an affiliate may deduct from all compensation and benefits payable under this Agreement any taxes or withholdings the Company is required to deduct pursuant to state, federal or local laws.</w:t>
      </w:r>
    </w:p>
    <w:p>
      <w:pPr>
        <w:spacing w:after="0" w:line="27" w:lineRule="exact"/>
        <w:rPr>
          <w:rFonts w:ascii="Courier New" w:cs="Courier New" w:eastAsia="Courier New" w:hAnsi="Courier New"/>
          <w:sz w:val="12"/>
          <w:szCs w:val="12"/>
          <w:color w:val="auto"/>
        </w:rPr>
      </w:pPr>
    </w:p>
    <w:p>
      <w:pPr>
        <w:ind w:right="4099" w:firstLine="382"/>
        <w:spacing w:after="0" w:line="280" w:lineRule="auto"/>
        <w:tabs>
          <w:tab w:leader="none" w:pos="690" w:val="left"/>
        </w:tabs>
        <w:numPr>
          <w:ilvl w:val="0"/>
          <w:numId w:val="1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Code Section 409A. To the extent applicable, it is intended that this Agreement and any payment made hereunder shall comply with the requirements of Section 409A of the Code, and any related regulations or other guidance promulgated with respect to such Section by the U.S. Department of the Treasury or the Internal Revenue Service ("Code Section 409A"). Any provision that would cause the Agreement or any payment hereof to fail to satisfy Code Section 409A shall have no force or effect until amended to comply with Code Section 409A, which amendment may be retroactive to the extent permitted by Code Section 409A.</w:t>
      </w:r>
    </w:p>
    <w:p>
      <w:pPr>
        <w:spacing w:after="0" w:line="58" w:lineRule="exact"/>
        <w:rPr>
          <w:sz w:val="20"/>
          <w:szCs w:val="20"/>
          <w:color w:val="auto"/>
        </w:rPr>
      </w:pPr>
    </w:p>
    <w:p>
      <w:pPr>
        <w:ind w:right="4099" w:firstLine="383"/>
        <w:spacing w:after="0" w:line="353" w:lineRule="auto"/>
        <w:rPr>
          <w:sz w:val="20"/>
          <w:szCs w:val="20"/>
          <w:color w:val="auto"/>
        </w:rPr>
      </w:pPr>
      <w:r>
        <w:rPr>
          <w:rFonts w:ascii="Courier New" w:cs="Courier New" w:eastAsia="Courier New" w:hAnsi="Courier New"/>
          <w:sz w:val="13"/>
          <w:szCs w:val="13"/>
          <w:color w:val="auto"/>
        </w:rPr>
        <w:t>IN WITNESS WHEREOF the parties have executed this Agreement to be effective as of the date first set forth above.</w:t>
      </w:r>
    </w:p>
    <w:p>
      <w:pPr>
        <w:spacing w:after="0" w:line="9"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FIDELITY NATIONAL TITLE GROUP, INC.</w:t>
      </w:r>
    </w:p>
    <w:p>
      <w:pPr>
        <w:spacing w:after="0" w:line="295"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By: /s/ Alan L. Stinson</w:t>
      </w:r>
    </w:p>
    <w:p>
      <w:pPr>
        <w:spacing w:after="0" w:line="24" w:lineRule="exact"/>
        <w:rPr>
          <w:sz w:val="20"/>
          <w:szCs w:val="20"/>
          <w:color w:val="auto"/>
        </w:rPr>
      </w:pPr>
    </w:p>
    <w:p>
      <w:pPr>
        <w:ind w:left="3380"/>
        <w:spacing w:after="0"/>
        <w:rPr>
          <w:sz w:val="20"/>
          <w:szCs w:val="20"/>
          <w:color w:val="auto"/>
        </w:rPr>
      </w:pPr>
      <w:r>
        <w:rPr>
          <w:rFonts w:ascii="Courier New" w:cs="Courier New" w:eastAsia="Courier New" w:hAnsi="Courier New"/>
          <w:sz w:val="12"/>
          <w:szCs w:val="12"/>
          <w:color w:val="auto"/>
        </w:rPr>
        <w:t>------------------------------------</w:t>
      </w:r>
    </w:p>
    <w:p>
      <w:pPr>
        <w:spacing w:after="0" w:line="12"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Its: Co-chief Operating Officer</w:t>
      </w:r>
    </w:p>
    <w:p>
      <w:pPr>
        <w:spacing w:after="0" w:line="271"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WILLIAM P. FOLEY, II</w:t>
      </w:r>
    </w:p>
    <w:p>
      <w:pPr>
        <w:spacing w:after="0" w:line="295"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/s/ William P. Foley II</w:t>
      </w: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2"/>
          <w:szCs w:val="12"/>
          <w:color w:val="auto"/>
        </w:rPr>
        <w:t>----------------------------------------</w:t>
      </w:r>
    </w:p>
    <w:p>
      <w:pPr>
        <w:spacing w:after="0" w:line="282"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15</w:t>
      </w:r>
    </w:p>
    <w:p>
      <w:pPr>
        <w:sectPr>
          <w:pgSz w:w="11900" w:h="16838" w:orient="portrait"/>
          <w:cols w:equalWidth="0" w:num="1">
            <w:col w:w="10239"/>
          </w:cols>
          <w:pgMar w:left="220" w:top="540" w:right="1440" w:bottom="1440" w:gutter="0" w:footer="0" w:header="0"/>
        </w:sectPr>
      </w:pPr>
    </w:p>
    <w:bookmarkStart w:id="192" w:name="page193"/>
    <w:bookmarkEnd w:id="192"/>
    <w:p>
      <w:pPr>
        <w:jc w:val="center"/>
        <w:ind w:right="4099"/>
        <w:spacing w:after="0"/>
        <w:rPr>
          <w:sz w:val="20"/>
          <w:szCs w:val="20"/>
          <w:color w:val="auto"/>
        </w:rPr>
      </w:pPr>
      <w:r>
        <w:rPr>
          <w:rFonts w:ascii="Courier New" w:cs="Courier New" w:eastAsia="Courier New" w:hAnsi="Courier New"/>
          <w:sz w:val="13"/>
          <w:szCs w:val="13"/>
          <w:color w:val="auto"/>
        </w:rPr>
        <w:t>APPENDIX A</w:t>
      </w:r>
    </w:p>
    <w:p>
      <w:pPr>
        <w:spacing w:after="0" w:line="148"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POSITION TITLE: CHIEF EXECUTIVE OFFICER AND CHAIRMAN OF THE BOARD</w:t>
      </w:r>
    </w:p>
    <w:p>
      <w:pPr>
        <w:spacing w:after="0" w:line="148" w:lineRule="exact"/>
        <w:rPr>
          <w:sz w:val="20"/>
          <w:szCs w:val="20"/>
          <w:color w:val="auto"/>
        </w:rPr>
      </w:pPr>
    </w:p>
    <w:p>
      <w:pPr>
        <w:ind w:right="4259"/>
        <w:spacing w:after="0" w:line="353" w:lineRule="auto"/>
        <w:rPr>
          <w:sz w:val="20"/>
          <w:szCs w:val="20"/>
          <w:color w:val="auto"/>
        </w:rPr>
      </w:pPr>
      <w:r>
        <w:rPr>
          <w:rFonts w:ascii="Courier New" w:cs="Courier New" w:eastAsia="Courier New" w:hAnsi="Courier New"/>
          <w:sz w:val="13"/>
          <w:szCs w:val="13"/>
          <w:color w:val="auto"/>
        </w:rPr>
        <w:t>DUTIES AND RESPONSIBILITIES: Reporting to the Board, the Employee's duties and responsibilities include:</w:t>
      </w:r>
    </w:p>
    <w:p>
      <w:pPr>
        <w:spacing w:after="0" w:line="9" w:lineRule="exact"/>
        <w:rPr>
          <w:sz w:val="20"/>
          <w:szCs w:val="20"/>
          <w:color w:val="auto"/>
        </w:rPr>
      </w:pPr>
    </w:p>
    <w:p>
      <w:pPr>
        <w:ind w:left="760" w:hanging="378"/>
        <w:spacing w:after="0"/>
        <w:tabs>
          <w:tab w:leader="none" w:pos="760" w:val="left"/>
        </w:tabs>
        <w:numPr>
          <w:ilvl w:val="0"/>
          <w:numId w:val="1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member of the Company's Board as Chairman, if so elected;</w:t>
      </w:r>
    </w:p>
    <w:p>
      <w:pPr>
        <w:spacing w:after="0" w:line="147" w:lineRule="exact"/>
        <w:rPr>
          <w:rFonts w:ascii="Courier New" w:cs="Courier New" w:eastAsia="Courier New" w:hAnsi="Courier New"/>
          <w:sz w:val="13"/>
          <w:szCs w:val="13"/>
          <w:color w:val="auto"/>
        </w:rPr>
      </w:pPr>
    </w:p>
    <w:p>
      <w:pPr>
        <w:ind w:left="760" w:hanging="378"/>
        <w:spacing w:after="0"/>
        <w:tabs>
          <w:tab w:leader="none" w:pos="760" w:val="left"/>
        </w:tabs>
        <w:numPr>
          <w:ilvl w:val="0"/>
          <w:numId w:val="1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strategic planning and initiatives;</w:t>
      </w:r>
    </w:p>
    <w:p>
      <w:pPr>
        <w:spacing w:after="0" w:line="147" w:lineRule="exact"/>
        <w:rPr>
          <w:rFonts w:ascii="Courier New" w:cs="Courier New" w:eastAsia="Courier New" w:hAnsi="Courier New"/>
          <w:sz w:val="13"/>
          <w:szCs w:val="13"/>
          <w:color w:val="auto"/>
        </w:rPr>
      </w:pPr>
    </w:p>
    <w:p>
      <w:pPr>
        <w:ind w:left="760" w:hanging="378"/>
        <w:spacing w:after="0"/>
        <w:tabs>
          <w:tab w:leader="none" w:pos="760" w:val="left"/>
        </w:tabs>
        <w:numPr>
          <w:ilvl w:val="0"/>
          <w:numId w:val="1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mergers and acquisitions;</w:t>
      </w:r>
    </w:p>
    <w:p>
      <w:pPr>
        <w:spacing w:after="0" w:line="147" w:lineRule="exact"/>
        <w:rPr>
          <w:rFonts w:ascii="Courier New" w:cs="Courier New" w:eastAsia="Courier New" w:hAnsi="Courier New"/>
          <w:sz w:val="13"/>
          <w:szCs w:val="13"/>
          <w:color w:val="auto"/>
        </w:rPr>
      </w:pPr>
    </w:p>
    <w:p>
      <w:pPr>
        <w:ind w:left="760" w:hanging="378"/>
        <w:spacing w:after="0"/>
        <w:tabs>
          <w:tab w:leader="none" w:pos="760" w:val="left"/>
        </w:tabs>
        <w:numPr>
          <w:ilvl w:val="0"/>
          <w:numId w:val="1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business development;</w:t>
      </w:r>
    </w:p>
    <w:p>
      <w:pPr>
        <w:spacing w:after="0" w:line="147" w:lineRule="exact"/>
        <w:rPr>
          <w:rFonts w:ascii="Courier New" w:cs="Courier New" w:eastAsia="Courier New" w:hAnsi="Courier New"/>
          <w:sz w:val="13"/>
          <w:szCs w:val="13"/>
          <w:color w:val="auto"/>
        </w:rPr>
      </w:pPr>
    </w:p>
    <w:p>
      <w:pPr>
        <w:ind w:left="760" w:hanging="378"/>
        <w:spacing w:after="0"/>
        <w:tabs>
          <w:tab w:leader="none" w:pos="760" w:val="left"/>
        </w:tabs>
        <w:numPr>
          <w:ilvl w:val="0"/>
          <w:numId w:val="1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budget and long range planning advice;</w:t>
      </w:r>
    </w:p>
    <w:p>
      <w:pPr>
        <w:spacing w:after="0" w:line="147" w:lineRule="exact"/>
        <w:rPr>
          <w:rFonts w:ascii="Courier New" w:cs="Courier New" w:eastAsia="Courier New" w:hAnsi="Courier New"/>
          <w:sz w:val="13"/>
          <w:szCs w:val="13"/>
          <w:color w:val="auto"/>
        </w:rPr>
      </w:pPr>
    </w:p>
    <w:p>
      <w:pPr>
        <w:ind w:left="760" w:right="4259" w:hanging="378"/>
        <w:spacing w:after="0" w:line="353" w:lineRule="auto"/>
        <w:tabs>
          <w:tab w:leader="none" w:pos="760" w:val="left"/>
        </w:tabs>
        <w:numPr>
          <w:ilvl w:val="0"/>
          <w:numId w:val="1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presiding over meetings of the Board and shareholders, if elected as Chairman of the Board;</w:t>
      </w:r>
    </w:p>
    <w:p>
      <w:pPr>
        <w:spacing w:after="0" w:line="9" w:lineRule="exact"/>
        <w:rPr>
          <w:rFonts w:ascii="Courier New" w:cs="Courier New" w:eastAsia="Courier New" w:hAnsi="Courier New"/>
          <w:sz w:val="13"/>
          <w:szCs w:val="13"/>
          <w:color w:val="auto"/>
        </w:rPr>
      </w:pPr>
    </w:p>
    <w:p>
      <w:pPr>
        <w:ind w:left="760" w:right="4179" w:hanging="378"/>
        <w:spacing w:after="0" w:line="353" w:lineRule="auto"/>
        <w:tabs>
          <w:tab w:leader="none" w:pos="760" w:val="left"/>
        </w:tabs>
        <w:numPr>
          <w:ilvl w:val="0"/>
          <w:numId w:val="1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planning the contents and agenda of such meetings with the assistance of Company management;</w:t>
      </w:r>
    </w:p>
    <w:p>
      <w:pPr>
        <w:spacing w:after="0" w:line="9" w:lineRule="exact"/>
        <w:rPr>
          <w:rFonts w:ascii="Courier New" w:cs="Courier New" w:eastAsia="Courier New" w:hAnsi="Courier New"/>
          <w:sz w:val="13"/>
          <w:szCs w:val="13"/>
          <w:color w:val="auto"/>
        </w:rPr>
      </w:pPr>
    </w:p>
    <w:p>
      <w:pPr>
        <w:ind w:left="760" w:hanging="378"/>
        <w:spacing w:after="0"/>
        <w:tabs>
          <w:tab w:leader="none" w:pos="760" w:val="left"/>
        </w:tabs>
        <w:numPr>
          <w:ilvl w:val="0"/>
          <w:numId w:val="1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supervising the Company's communications with its shareholders;</w:t>
      </w:r>
    </w:p>
    <w:p>
      <w:pPr>
        <w:spacing w:after="0" w:line="147" w:lineRule="exact"/>
        <w:rPr>
          <w:rFonts w:ascii="Courier New" w:cs="Courier New" w:eastAsia="Courier New" w:hAnsi="Courier New"/>
          <w:sz w:val="13"/>
          <w:szCs w:val="13"/>
          <w:color w:val="auto"/>
        </w:rPr>
      </w:pPr>
    </w:p>
    <w:p>
      <w:pPr>
        <w:ind w:left="760" w:hanging="378"/>
        <w:spacing w:after="0"/>
        <w:tabs>
          <w:tab w:leader="none" w:pos="760" w:val="left"/>
        </w:tabs>
        <w:numPr>
          <w:ilvl w:val="0"/>
          <w:numId w:val="1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participating in customer relations and public relations.</w:t>
      </w:r>
    </w:p>
    <w:p>
      <w:pPr>
        <w:sectPr>
          <w:pgSz w:w="11900" w:h="16838" w:orient="portrait"/>
          <w:cols w:equalWidth="0" w:num="1">
            <w:col w:w="10239"/>
          </w:cols>
          <w:pgMar w:left="220" w:top="540" w:right="1440" w:bottom="1440" w:gutter="0" w:footer="0" w:header="0"/>
        </w:sectPr>
      </w:pPr>
    </w:p>
    <w:bookmarkStart w:id="193" w:name="page194"/>
    <w:bookmarkEnd w:id="193"/>
    <w:p>
      <w:pPr>
        <w:jc w:val="right"/>
        <w:ind w:right="4099"/>
        <w:spacing w:after="0"/>
        <w:rPr>
          <w:sz w:val="20"/>
          <w:szCs w:val="20"/>
          <w:color w:val="auto"/>
        </w:rPr>
      </w:pPr>
      <w:r>
        <w:rPr>
          <w:rFonts w:ascii="Courier New" w:cs="Courier New" w:eastAsia="Courier New" w:hAnsi="Courier New"/>
          <w:sz w:val="13"/>
          <w:szCs w:val="13"/>
          <w:color w:val="auto"/>
        </w:rPr>
        <w:t>EXHIBIT 10.13</w:t>
      </w:r>
    </w:p>
    <w:p>
      <w:pPr>
        <w:spacing w:after="0" w:line="295" w:lineRule="exact"/>
        <w:rPr>
          <w:sz w:val="20"/>
          <w:szCs w:val="20"/>
          <w:color w:val="auto"/>
        </w:rPr>
      </w:pPr>
    </w:p>
    <w:p>
      <w:pPr>
        <w:ind w:left="2300"/>
        <w:spacing w:after="0"/>
        <w:rPr>
          <w:sz w:val="20"/>
          <w:szCs w:val="20"/>
          <w:color w:val="auto"/>
        </w:rPr>
      </w:pPr>
      <w:r>
        <w:rPr>
          <w:rFonts w:ascii="Courier New" w:cs="Courier New" w:eastAsia="Courier New" w:hAnsi="Courier New"/>
          <w:sz w:val="13"/>
          <w:szCs w:val="13"/>
          <w:color w:val="auto"/>
        </w:rPr>
        <w:t>EMPLOYMENT AGREEMENT</w:t>
      </w:r>
    </w:p>
    <w:p>
      <w:pPr>
        <w:spacing w:after="0" w:line="148" w:lineRule="exact"/>
        <w:rPr>
          <w:sz w:val="20"/>
          <w:szCs w:val="20"/>
          <w:color w:val="auto"/>
        </w:rPr>
      </w:pPr>
    </w:p>
    <w:p>
      <w:pPr>
        <w:ind w:left="380"/>
        <w:spacing w:after="0"/>
        <w:rPr>
          <w:sz w:val="20"/>
          <w:szCs w:val="20"/>
          <w:color w:val="auto"/>
        </w:rPr>
      </w:pPr>
      <w:r>
        <w:rPr>
          <w:rFonts w:ascii="Courier New" w:cs="Courier New" w:eastAsia="Courier New" w:hAnsi="Courier New"/>
          <w:sz w:val="12"/>
          <w:szCs w:val="12"/>
          <w:color w:val="auto"/>
        </w:rPr>
        <w:t>THIS EMPLOYMENT AGREEMENT (the "Agreement") is effective as of October 24,</w:t>
      </w:r>
    </w:p>
    <w:p>
      <w:pPr>
        <w:spacing w:after="0" w:line="36" w:lineRule="exact"/>
        <w:rPr>
          <w:sz w:val="20"/>
          <w:szCs w:val="20"/>
          <w:color w:val="auto"/>
        </w:rPr>
      </w:pPr>
    </w:p>
    <w:p>
      <w:pPr>
        <w:ind w:right="4099"/>
        <w:spacing w:after="0" w:line="264" w:lineRule="auto"/>
        <w:rPr>
          <w:sz w:val="20"/>
          <w:szCs w:val="20"/>
          <w:color w:val="auto"/>
        </w:rPr>
      </w:pPr>
      <w:r>
        <w:rPr>
          <w:rFonts w:ascii="Courier New" w:cs="Courier New" w:eastAsia="Courier New" w:hAnsi="Courier New"/>
          <w:sz w:val="13"/>
          <w:szCs w:val="13"/>
          <w:color w:val="auto"/>
        </w:rPr>
        <w:t>2006 (the "Effective Date"), by and between FIDELITY NATIONAL TITLE GROUP, INC., a Delaware corporation (the "Company"), and ALAN L. STINSON (the "Employee"). In consideration of the mutual covenants and agreements set forth herein, the parties agree as follows:</w:t>
      </w:r>
    </w:p>
    <w:p>
      <w:pPr>
        <w:spacing w:after="0" w:line="65" w:lineRule="exact"/>
        <w:rPr>
          <w:sz w:val="20"/>
          <w:szCs w:val="20"/>
          <w:color w:val="auto"/>
        </w:rPr>
      </w:pPr>
    </w:p>
    <w:p>
      <w:pPr>
        <w:ind w:right="4099" w:firstLine="382"/>
        <w:spacing w:after="0" w:line="259" w:lineRule="auto"/>
        <w:tabs>
          <w:tab w:leader="none" w:pos="613" w:val="left"/>
        </w:tabs>
        <w:numPr>
          <w:ilvl w:val="0"/>
          <w:numId w:val="1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Employment and Duties. Subject to the terms and conditions of this Agreement, the Company employs the Employee to serve in an executive capacity as Co-Chief Operating Officer. Employee accepts such employment and agrees to undertake and discharge the duties, functions and responsibilities commensurate with the aforesaid position and such other duties and responsibilities as may be prescribed from time to time by the Chief Executive Officer or the Board of Directors of the Company (the "Board").</w:t>
      </w:r>
    </w:p>
    <w:p>
      <w:pPr>
        <w:spacing w:after="0" w:line="67" w:lineRule="exact"/>
        <w:rPr>
          <w:rFonts w:ascii="Courier New" w:cs="Courier New" w:eastAsia="Courier New" w:hAnsi="Courier New"/>
          <w:sz w:val="13"/>
          <w:szCs w:val="13"/>
          <w:color w:val="auto"/>
        </w:rPr>
      </w:pPr>
    </w:p>
    <w:p>
      <w:pPr>
        <w:ind w:right="4099" w:firstLine="382"/>
        <w:spacing w:after="0" w:line="249" w:lineRule="auto"/>
        <w:tabs>
          <w:tab w:leader="none" w:pos="613" w:val="left"/>
        </w:tabs>
        <w:numPr>
          <w:ilvl w:val="0"/>
          <w:numId w:val="1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 The term of this Agreement shall commence on the Effective Date and shall continue for a period of three (3) years ending on the third anniversary of the Effective Date or, if later, ending on the last day of any extension made pursuant to the next sentence, subject to prior termination as set forth in Section 7 (such term, including any extensions pursuant to the next sentence, the "Employment Term"). The Employment Term shall be extended automatically for one (1) additional year on the first anniversary of the Effective Date and for an additional year each anniversary thereafter unless and until either party gives written notice to the other not to extend the Employment Term before such extension would be effectuated. Notwithstanding any termination of the Employment Term or the Employee's employment, the Employee and the Company agree that Sections 7 through 9 shall remain in effect until all parties' obligations and benefits are satisfied thereunder.</w:t>
      </w:r>
    </w:p>
    <w:p>
      <w:pPr>
        <w:spacing w:after="0" w:line="77" w:lineRule="exact"/>
        <w:rPr>
          <w:rFonts w:ascii="Courier New" w:cs="Courier New" w:eastAsia="Courier New" w:hAnsi="Courier New"/>
          <w:sz w:val="13"/>
          <w:szCs w:val="13"/>
          <w:color w:val="auto"/>
        </w:rPr>
      </w:pPr>
    </w:p>
    <w:p>
      <w:pPr>
        <w:ind w:right="4099" w:firstLine="382"/>
        <w:spacing w:after="0" w:line="256" w:lineRule="auto"/>
        <w:tabs>
          <w:tab w:leader="none" w:pos="613" w:val="left"/>
        </w:tabs>
        <w:numPr>
          <w:ilvl w:val="0"/>
          <w:numId w:val="1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Salary. During the Employment Term, the Company shall pay the Employee an annual base salary, before deducting all applicable withholdings, of $300,000 per year, payable at the time and in the manner dictated by the Company's standard payroll policies. Such minimum annual base salary may be periodically reviewed and increased at the discretion of the Compensation Committee of the Board (the "Committee") to reflect, among other matters, cost of living increases and performance results (such annual base salary, including any increases pursuant to this Section 3, the "Annual Base Salary").</w:t>
      </w:r>
    </w:p>
    <w:p>
      <w:pPr>
        <w:spacing w:after="0" w:line="70" w:lineRule="exact"/>
        <w:rPr>
          <w:rFonts w:ascii="Courier New" w:cs="Courier New" w:eastAsia="Courier New" w:hAnsi="Courier New"/>
          <w:sz w:val="13"/>
          <w:szCs w:val="13"/>
          <w:color w:val="auto"/>
        </w:rPr>
      </w:pPr>
    </w:p>
    <w:p>
      <w:pPr>
        <w:ind w:right="4259" w:firstLine="382"/>
        <w:spacing w:after="0" w:line="268" w:lineRule="auto"/>
        <w:tabs>
          <w:tab w:leader="none" w:pos="613" w:val="left"/>
        </w:tabs>
        <w:numPr>
          <w:ilvl w:val="0"/>
          <w:numId w:val="1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Other Compensation and Fringe Benefits. In addition to any executive bonus, pension, deferred compensation and long-term incentive plans which the Company or an affiliate of the Company may from time to time make available to the Employee, the Employee shall be entitled to the following during the Employment Term:</w:t>
      </w:r>
    </w:p>
    <w:p>
      <w:pPr>
        <w:spacing w:after="0" w:line="62" w:lineRule="exact"/>
        <w:rPr>
          <w:sz w:val="20"/>
          <w:szCs w:val="20"/>
          <w:color w:val="auto"/>
        </w:rPr>
      </w:pPr>
    </w:p>
    <w:p>
      <w:pPr>
        <w:ind w:left="760" w:right="4559" w:hanging="378"/>
        <w:spacing w:after="0" w:line="353" w:lineRule="auto"/>
        <w:tabs>
          <w:tab w:leader="none" w:pos="760" w:val="left"/>
        </w:tabs>
        <w:numPr>
          <w:ilvl w:val="0"/>
          <w:numId w:val="16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standard Company benefits enjoyed by the Company's other top executives as a group;</w:t>
      </w:r>
    </w:p>
    <w:p>
      <w:pPr>
        <w:spacing w:after="0" w:line="9" w:lineRule="exact"/>
        <w:rPr>
          <w:rFonts w:ascii="Courier New" w:cs="Courier New" w:eastAsia="Courier New" w:hAnsi="Courier New"/>
          <w:sz w:val="13"/>
          <w:szCs w:val="13"/>
          <w:color w:val="auto"/>
        </w:rPr>
      </w:pPr>
    </w:p>
    <w:p>
      <w:pPr>
        <w:ind w:left="760" w:right="4179" w:hanging="378"/>
        <w:spacing w:after="0" w:line="277" w:lineRule="auto"/>
        <w:tabs>
          <w:tab w:leader="none" w:pos="760" w:val="left"/>
        </w:tabs>
        <w:numPr>
          <w:ilvl w:val="0"/>
          <w:numId w:val="160"/>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payment by the Company of the Employee's initiation and membership dues in all social and/or recreational clubs as deemed necessary and appropriate by the Company to maintain various business relationships on behalf of the Company;</w:t>
      </w:r>
    </w:p>
    <w:p>
      <w:pPr>
        <w:sectPr>
          <w:pgSz w:w="11900" w:h="16838" w:orient="portrait"/>
          <w:cols w:equalWidth="0" w:num="1">
            <w:col w:w="10239"/>
          </w:cols>
          <w:pgMar w:left="220" w:top="265" w:right="1440" w:bottom="1440" w:gutter="0" w:footer="0" w:header="0"/>
        </w:sectPr>
      </w:pPr>
    </w:p>
    <w:bookmarkStart w:id="194" w:name="page195"/>
    <w:bookmarkEnd w:id="194"/>
    <w:p>
      <w:pPr>
        <w:ind w:left="378" w:right="4179"/>
        <w:spacing w:after="0" w:line="390" w:lineRule="auto"/>
        <w:rPr>
          <w:sz w:val="20"/>
          <w:szCs w:val="20"/>
          <w:color w:val="auto"/>
        </w:rPr>
      </w:pPr>
      <w:r>
        <w:rPr>
          <w:rFonts w:ascii="Courier New" w:cs="Courier New" w:eastAsia="Courier New" w:hAnsi="Courier New"/>
          <w:sz w:val="12"/>
          <w:szCs w:val="12"/>
          <w:color w:val="auto"/>
        </w:rPr>
        <w:t>provided, however, that the Company shall not be obligated to pay for any of the Employee's personal purchases and expenses at such clubs;</w:t>
      </w:r>
    </w:p>
    <w:p>
      <w:pPr>
        <w:spacing w:after="0" w:line="1" w:lineRule="exact"/>
        <w:rPr>
          <w:sz w:val="20"/>
          <w:szCs w:val="20"/>
          <w:color w:val="auto"/>
        </w:rPr>
      </w:pPr>
    </w:p>
    <w:p>
      <w:pPr>
        <w:ind w:left="378" w:right="4099" w:hanging="378"/>
        <w:spacing w:after="0" w:line="296" w:lineRule="auto"/>
        <w:tabs>
          <w:tab w:leader="none" w:pos="378" w:val="left"/>
        </w:tabs>
        <w:numPr>
          <w:ilvl w:val="0"/>
          <w:numId w:val="1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medical and other insurance coverage (for the Employee and any covered dependents) provided by the Company to its other top executives as a group;</w:t>
      </w:r>
    </w:p>
    <w:p>
      <w:pPr>
        <w:spacing w:after="0" w:line="44" w:lineRule="exact"/>
        <w:rPr>
          <w:rFonts w:ascii="Courier New" w:cs="Courier New" w:eastAsia="Courier New" w:hAnsi="Courier New"/>
          <w:sz w:val="13"/>
          <w:szCs w:val="13"/>
          <w:color w:val="auto"/>
        </w:rPr>
      </w:pPr>
    </w:p>
    <w:p>
      <w:pPr>
        <w:ind w:left="378" w:right="4179" w:hanging="378"/>
        <w:spacing w:after="0" w:line="353" w:lineRule="auto"/>
        <w:tabs>
          <w:tab w:leader="none" w:pos="378" w:val="left"/>
        </w:tabs>
        <w:numPr>
          <w:ilvl w:val="0"/>
          <w:numId w:val="1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supplemental disability insurance sufficient to provide two-thirds of the Employee's pre-disability Annual Base Salary;</w:t>
      </w:r>
    </w:p>
    <w:p>
      <w:pPr>
        <w:spacing w:after="0" w:line="9" w:lineRule="exact"/>
        <w:rPr>
          <w:rFonts w:ascii="Courier New" w:cs="Courier New" w:eastAsia="Courier New" w:hAnsi="Courier New"/>
          <w:sz w:val="13"/>
          <w:szCs w:val="13"/>
          <w:color w:val="auto"/>
        </w:rPr>
      </w:pPr>
    </w:p>
    <w:p>
      <w:pPr>
        <w:ind w:left="378" w:right="4099" w:hanging="378"/>
        <w:spacing w:after="0" w:line="248" w:lineRule="auto"/>
        <w:tabs>
          <w:tab w:leader="none" w:pos="378" w:val="left"/>
        </w:tabs>
        <w:numPr>
          <w:ilvl w:val="0"/>
          <w:numId w:val="1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 annual incentive bonus opportunity under the Company's annual incentive plan ("Annual Bonus Plan") for each calendar year included in the Employment Term, with such opportunity to be earned based upon attainment of performance objectives established by the Committee ("Annual Bonus"). The Employee's "bonus factor" or "bonus target" under the Annual Bonus Plan shall be not less than 150% of the Employee's Annual Base Salary. The Employee's "bonus factor" may be periodically reviewed and increased (but not decreased without the Employee's express written consent) at the discretion of the Committee. The Annual Bonus shall be paid no later than the March 15th first following the calendar year to which the Annual Bonus relates. Unless provided otherwise herein or the Board determines otherwise, no Annual Bonus shall be paid to the Employee unless the Employee is employed by the Company, or an affiliate thereof, on the Annual Bonus payment date; and</w:t>
      </w:r>
    </w:p>
    <w:p>
      <w:pPr>
        <w:spacing w:after="0" w:line="76" w:lineRule="exact"/>
        <w:rPr>
          <w:rFonts w:ascii="Courier New" w:cs="Courier New" w:eastAsia="Courier New" w:hAnsi="Courier New"/>
          <w:sz w:val="13"/>
          <w:szCs w:val="13"/>
          <w:color w:val="auto"/>
        </w:rPr>
      </w:pPr>
    </w:p>
    <w:p>
      <w:pPr>
        <w:ind w:left="378" w:hanging="378"/>
        <w:spacing w:after="0"/>
        <w:tabs>
          <w:tab w:leader="none" w:pos="378" w:val="left"/>
        </w:tabs>
        <w:numPr>
          <w:ilvl w:val="0"/>
          <w:numId w:val="1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participation in the Company's equity incentive plans.</w:t>
      </w:r>
    </w:p>
    <w:p>
      <w:pPr>
        <w:spacing w:after="0" w:line="148" w:lineRule="exact"/>
        <w:rPr>
          <w:sz w:val="20"/>
          <w:szCs w:val="20"/>
          <w:color w:val="auto"/>
        </w:rPr>
      </w:pPr>
    </w:p>
    <w:p>
      <w:pPr>
        <w:ind w:left="-382" w:right="4179" w:firstLine="382"/>
        <w:spacing w:after="0" w:line="262" w:lineRule="auto"/>
        <w:tabs>
          <w:tab w:leader="none" w:pos="231" w:val="left"/>
        </w:tabs>
        <w:numPr>
          <w:ilvl w:val="0"/>
          <w:numId w:val="1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Vacation. For and during each calendar year within the Employment Term, the Employee shall be entitled to reasonable paid vacation periods consistent with his positions with the Company and in accordance with the Company's standard policies, or as the Board may approve. In addition, the Employee shall be entitled to such holidays consistent with the Company's standard policies or as the Board or the Committee may approve.</w:t>
      </w:r>
    </w:p>
    <w:p>
      <w:pPr>
        <w:spacing w:after="0" w:line="67" w:lineRule="exact"/>
        <w:rPr>
          <w:rFonts w:ascii="Courier New" w:cs="Courier New" w:eastAsia="Courier New" w:hAnsi="Courier New"/>
          <w:sz w:val="13"/>
          <w:szCs w:val="13"/>
          <w:color w:val="auto"/>
        </w:rPr>
      </w:pPr>
    </w:p>
    <w:p>
      <w:pPr>
        <w:ind w:left="-382" w:right="4259" w:firstLine="382"/>
        <w:spacing w:after="0" w:line="262" w:lineRule="auto"/>
        <w:tabs>
          <w:tab w:leader="none" w:pos="231" w:val="left"/>
        </w:tabs>
        <w:numPr>
          <w:ilvl w:val="0"/>
          <w:numId w:val="1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Expense Reimbursement. In addition to the compensation and benefits provided herein, the Company shall, upon receipt of appropriate documentation, reimburse the Employee each month for his reasonable travel, lodging, entertainment, promotion and other ordinary and necessary business expenses to the extent such reimbursement is permitted under the Company's expense reimbursement policy.</w:t>
      </w:r>
    </w:p>
    <w:p>
      <w:pPr>
        <w:spacing w:after="0" w:line="67" w:lineRule="exact"/>
        <w:rPr>
          <w:rFonts w:ascii="Courier New" w:cs="Courier New" w:eastAsia="Courier New" w:hAnsi="Courier New"/>
          <w:sz w:val="13"/>
          <w:szCs w:val="13"/>
          <w:color w:val="auto"/>
        </w:rPr>
      </w:pPr>
    </w:p>
    <w:p>
      <w:pPr>
        <w:ind w:left="-382" w:right="4099" w:firstLine="382"/>
        <w:spacing w:after="0" w:line="268" w:lineRule="auto"/>
        <w:tabs>
          <w:tab w:leader="none" w:pos="231" w:val="left"/>
        </w:tabs>
        <w:numPr>
          <w:ilvl w:val="0"/>
          <w:numId w:val="1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of Employment. The Company or the Employee may terminate the Employee's employment at any time and for any reason in accordance with subsection 7(a) below. The Employment Term shall be deemed to have ended on the last day of the Employee's employment. The Employment Term shall terminate automatically upon the Employee's death.</w:t>
      </w:r>
    </w:p>
    <w:p>
      <w:pPr>
        <w:spacing w:after="0" w:line="62" w:lineRule="exact"/>
        <w:rPr>
          <w:sz w:val="20"/>
          <w:szCs w:val="20"/>
          <w:color w:val="auto"/>
        </w:rPr>
      </w:pPr>
    </w:p>
    <w:p>
      <w:pPr>
        <w:ind w:left="378" w:right="4099" w:hanging="378"/>
        <w:spacing w:after="0" w:line="259" w:lineRule="auto"/>
        <w:tabs>
          <w:tab w:leader="none" w:pos="378" w:val="left"/>
        </w:tabs>
        <w:numPr>
          <w:ilvl w:val="0"/>
          <w:numId w:val="1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Notice of Termination. Any purported termination of the Employee's employment (other than by reason of death) shall be communicated by written Notice of Termination (as defined herein) from one party hereto to the other party hereto in accordance with the notice provisions contained in Section 25. For purposes of this Agreement, a "Notice of Termination" shall mean a notice that indicates the Date of Termination (as that term is defined in Section 7(b)) and,</w:t>
      </w:r>
    </w:p>
    <w:p>
      <w:pPr>
        <w:spacing w:after="0" w:line="214" w:lineRule="exact"/>
        <w:rPr>
          <w:sz w:val="20"/>
          <w:szCs w:val="20"/>
          <w:color w:val="auto"/>
        </w:rPr>
      </w:pPr>
    </w:p>
    <w:p>
      <w:pPr>
        <w:ind w:left="2678"/>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9857"/>
          </w:cols>
          <w:pgMar w:left="602" w:top="540" w:right="1440" w:bottom="1440" w:gutter="0" w:footer="0" w:header="0"/>
        </w:sectPr>
      </w:pPr>
    </w:p>
    <w:bookmarkStart w:id="195" w:name="page196"/>
    <w:bookmarkEnd w:id="195"/>
    <w:p>
      <w:pPr>
        <w:ind w:left="378" w:right="4099"/>
        <w:spacing w:after="0" w:line="254" w:lineRule="auto"/>
        <w:rPr>
          <w:sz w:val="20"/>
          <w:szCs w:val="20"/>
          <w:color w:val="auto"/>
        </w:rPr>
      </w:pPr>
      <w:r>
        <w:rPr>
          <w:rFonts w:ascii="Courier New" w:cs="Courier New" w:eastAsia="Courier New" w:hAnsi="Courier New"/>
          <w:sz w:val="13"/>
          <w:szCs w:val="13"/>
          <w:color w:val="auto"/>
        </w:rPr>
        <w:t>with respect to a termination due to Disability (as that term is defined in Section 7(e)), Cause (as that term is defined in Section 7(d)) or Good Reason (as that term is defined in Section 7(f)), sets forth in reasonable detail the facts and circumstances that are alleged to provide a basis for such termination. A Notice of Termination from the Company shall specify whether the termination is with or without Cause or due to the Employee's Disability. A Notice of Termination from the Employee shall specify whether the termination is with or without Good Reason or due to Disability.</w:t>
      </w:r>
    </w:p>
    <w:p>
      <w:pPr>
        <w:spacing w:after="0" w:line="72" w:lineRule="exact"/>
        <w:rPr>
          <w:sz w:val="20"/>
          <w:szCs w:val="20"/>
          <w:color w:val="auto"/>
        </w:rPr>
      </w:pPr>
    </w:p>
    <w:p>
      <w:pPr>
        <w:ind w:left="378" w:right="4179" w:hanging="378"/>
        <w:spacing w:after="0" w:line="262" w:lineRule="auto"/>
        <w:tabs>
          <w:tab w:leader="none" w:pos="378" w:val="left"/>
        </w:tabs>
        <w:numPr>
          <w:ilvl w:val="0"/>
          <w:numId w:val="1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Date of Termination. For purposes of this Agreement, "Date of Termination" shall mean the date specified in the Notice of Termination (but in no event shall such date be earlier than the 30th day following the date the Notice of Termination is given, unless expressly agreed to by the parties hereto) or the date of the Employee's death.</w:t>
      </w:r>
    </w:p>
    <w:p>
      <w:pPr>
        <w:spacing w:after="0" w:line="67" w:lineRule="exact"/>
        <w:rPr>
          <w:rFonts w:ascii="Courier New" w:cs="Courier New" w:eastAsia="Courier New" w:hAnsi="Courier New"/>
          <w:sz w:val="13"/>
          <w:szCs w:val="13"/>
          <w:color w:val="auto"/>
        </w:rPr>
      </w:pPr>
    </w:p>
    <w:p>
      <w:pPr>
        <w:ind w:left="378" w:right="4099" w:hanging="378"/>
        <w:spacing w:after="0" w:line="262" w:lineRule="auto"/>
        <w:tabs>
          <w:tab w:leader="none" w:pos="378" w:val="left"/>
        </w:tabs>
        <w:numPr>
          <w:ilvl w:val="0"/>
          <w:numId w:val="1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Waiver.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67" w:lineRule="exact"/>
        <w:rPr>
          <w:rFonts w:ascii="Courier New" w:cs="Courier New" w:eastAsia="Courier New" w:hAnsi="Courier New"/>
          <w:sz w:val="13"/>
          <w:szCs w:val="13"/>
          <w:color w:val="auto"/>
        </w:rPr>
      </w:pPr>
    </w:p>
    <w:p>
      <w:pPr>
        <w:ind w:left="378" w:hanging="378"/>
        <w:spacing w:after="0"/>
        <w:tabs>
          <w:tab w:leader="none" w:pos="378" w:val="left"/>
        </w:tabs>
        <w:numPr>
          <w:ilvl w:val="0"/>
          <w:numId w:val="1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Cause. For purposes of this Agreement, "Cause" means the Employee's</w:t>
      </w:r>
    </w:p>
    <w:p>
      <w:pPr>
        <w:spacing w:after="0" w:line="24" w:lineRule="exact"/>
        <w:rPr>
          <w:rFonts w:ascii="Courier New" w:cs="Courier New" w:eastAsia="Courier New" w:hAnsi="Courier New"/>
          <w:sz w:val="13"/>
          <w:szCs w:val="13"/>
          <w:color w:val="auto"/>
        </w:rPr>
      </w:pPr>
    </w:p>
    <w:p>
      <w:pPr>
        <w:ind w:left="378" w:right="4099" w:firstLine="5"/>
        <w:spacing w:after="0" w:line="265" w:lineRule="auto"/>
        <w:tabs>
          <w:tab w:leader="none" w:pos="685" w:val="left"/>
        </w:tabs>
        <w:numPr>
          <w:ilvl w:val="1"/>
          <w:numId w:val="1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persistent failure to perform duties consistent with a commercially reasonable standard of care (other than due to a physical or mental impairment or due to an action or inaction directed by the Company that would otherwise constitute Good Reason); (ii) willful neglect of duties (other than due to a physical or mental impairment or due to an action or inaction directed by the Company that would otherwise constitute Good Reason); (iii) conviction of, or pleading nolo contendere to, criminal or other illegal activities involving dishonesty; (iv) material breach of this Agreement; or (v) impeding, or failing to materially cooperate with, an investigation authorized by the Board. The Employee's termination for Cause shall be effective when and if a resolution is duly adopted by an affirmative vote of at least 3/4 of the Board (less the Employee), stating that, in the good faith opinion of the Board, the Employee is guilty of the conduct described in the Notice of Termination and such conduct constitutes Cause under this Agreement; provided, however, that the Employee shall have been given reasonable opportunity (i) to cure any act or omission that constitutes Cause if capable of cure and (ii), together with counsel, during the thirty (30) day period following the receipt by the Employee of the Notice of Termination and prior to the adoption of the Board's resolution, to be heard by the Board.</w:t>
      </w:r>
    </w:p>
    <w:p>
      <w:pPr>
        <w:spacing w:after="0" w:line="217" w:lineRule="exact"/>
        <w:rPr>
          <w:rFonts w:ascii="Courier New" w:cs="Courier New" w:eastAsia="Courier New" w:hAnsi="Courier New"/>
          <w:sz w:val="12"/>
          <w:szCs w:val="12"/>
          <w:color w:val="auto"/>
        </w:rPr>
      </w:pPr>
    </w:p>
    <w:p>
      <w:pPr>
        <w:ind w:left="378" w:right="4099" w:hanging="378"/>
        <w:spacing w:after="0" w:line="307" w:lineRule="auto"/>
        <w:tabs>
          <w:tab w:leader="none" w:pos="378" w:val="left"/>
        </w:tabs>
        <w:numPr>
          <w:ilvl w:val="0"/>
          <w:numId w:val="1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Disability. For purposes of this Agreement, the Employee shall be deemed to have a "Disability" if the Employee is entitled to long-term disability benefits under the Company's long-term disability plan or policy, as the case may be, as in effect on the Date of Termination.</w:t>
      </w:r>
    </w:p>
    <w:p>
      <w:pPr>
        <w:spacing w:after="0" w:line="189" w:lineRule="exact"/>
        <w:rPr>
          <w:sz w:val="20"/>
          <w:szCs w:val="20"/>
          <w:color w:val="auto"/>
        </w:rPr>
      </w:pPr>
    </w:p>
    <w:p>
      <w:pPr>
        <w:ind w:left="2678"/>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9857"/>
          </w:cols>
          <w:pgMar w:left="602" w:top="540" w:right="1440" w:bottom="1440" w:gutter="0" w:footer="0" w:header="0"/>
        </w:sectPr>
      </w:pPr>
    </w:p>
    <w:bookmarkStart w:id="196" w:name="page197"/>
    <w:bookmarkEnd w:id="196"/>
    <w:p>
      <w:pPr>
        <w:ind w:left="760" w:right="4099" w:hanging="378"/>
        <w:spacing w:after="0" w:line="277" w:lineRule="auto"/>
        <w:tabs>
          <w:tab w:leader="none" w:pos="760" w:val="left"/>
        </w:tabs>
        <w:numPr>
          <w:ilvl w:val="0"/>
          <w:numId w:val="1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Good Reason. For purposes of this Agreement, the term "Good Reason" means the occurrence (without the Employee's express written consent) during the Employment Term of any of the following acts or failures to act by the Company:</w:t>
      </w:r>
    </w:p>
    <w:p>
      <w:pPr>
        <w:spacing w:after="0" w:line="57" w:lineRule="exact"/>
        <w:rPr>
          <w:rFonts w:ascii="Courier New" w:cs="Courier New" w:eastAsia="Courier New" w:hAnsi="Courier New"/>
          <w:sz w:val="13"/>
          <w:szCs w:val="13"/>
          <w:color w:val="auto"/>
        </w:rPr>
      </w:pPr>
    </w:p>
    <w:p>
      <w:pPr>
        <w:ind w:left="1140" w:right="4179" w:hanging="375"/>
        <w:spacing w:after="0" w:line="277" w:lineRule="auto"/>
        <w:tabs>
          <w:tab w:leader="none" w:pos="1140" w:val="left"/>
        </w:tabs>
        <w:numPr>
          <w:ilvl w:val="1"/>
          <w:numId w:val="1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 adverse change in the Employee's title, the assignment to the Employee of duties materially inconsistent with the Employee's position of Co-Chief Operating Officer, or a substantial diminution in the Employee's authority;</w:t>
      </w:r>
    </w:p>
    <w:p>
      <w:pPr>
        <w:spacing w:after="0" w:line="57" w:lineRule="exact"/>
        <w:rPr>
          <w:rFonts w:ascii="Courier New" w:cs="Courier New" w:eastAsia="Courier New" w:hAnsi="Courier New"/>
          <w:sz w:val="13"/>
          <w:szCs w:val="13"/>
          <w:color w:val="auto"/>
        </w:rPr>
      </w:pPr>
    </w:p>
    <w:p>
      <w:pPr>
        <w:ind w:left="1140" w:right="4959" w:hanging="375"/>
        <w:spacing w:after="0" w:line="353" w:lineRule="auto"/>
        <w:tabs>
          <w:tab w:leader="none" w:pos="1140" w:val="left"/>
        </w:tabs>
        <w:numPr>
          <w:ilvl w:val="1"/>
          <w:numId w:val="1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material breach by the Company of any of its other obligations under this Agreement;</w:t>
      </w:r>
    </w:p>
    <w:p>
      <w:pPr>
        <w:spacing w:after="0" w:line="9" w:lineRule="exact"/>
        <w:rPr>
          <w:rFonts w:ascii="Courier New" w:cs="Courier New" w:eastAsia="Courier New" w:hAnsi="Courier New"/>
          <w:sz w:val="13"/>
          <w:szCs w:val="13"/>
          <w:color w:val="auto"/>
        </w:rPr>
      </w:pPr>
    </w:p>
    <w:p>
      <w:pPr>
        <w:ind w:left="1140" w:right="4499" w:hanging="375"/>
        <w:spacing w:after="0" w:line="296" w:lineRule="auto"/>
        <w:tabs>
          <w:tab w:leader="none" w:pos="1217" w:val="left"/>
        </w:tabs>
        <w:numPr>
          <w:ilvl w:val="1"/>
          <w:numId w:val="1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gives the Employee notice of its intent not to extend the Employment Term, any time during the one (1) year period immediately following a Change in Control;</w:t>
      </w:r>
    </w:p>
    <w:p>
      <w:pPr>
        <w:spacing w:after="0" w:line="44" w:lineRule="exact"/>
        <w:rPr>
          <w:rFonts w:ascii="Courier New" w:cs="Courier New" w:eastAsia="Courier New" w:hAnsi="Courier New"/>
          <w:sz w:val="13"/>
          <w:szCs w:val="13"/>
          <w:color w:val="auto"/>
        </w:rPr>
      </w:pPr>
    </w:p>
    <w:p>
      <w:pPr>
        <w:ind w:left="1140" w:right="4099" w:hanging="375"/>
        <w:spacing w:after="0" w:line="277" w:lineRule="auto"/>
        <w:tabs>
          <w:tab w:leader="none" w:pos="1140" w:val="left"/>
        </w:tabs>
        <w:numPr>
          <w:ilvl w:val="1"/>
          <w:numId w:val="1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following a Change in Control, the relocation of the Employee's primary place of employment to a location more than 50 miles from the Employee's primary place of employment immediately prior to the Change in Control; or</w:t>
      </w:r>
    </w:p>
    <w:p>
      <w:pPr>
        <w:spacing w:after="0" w:line="57" w:lineRule="exact"/>
        <w:rPr>
          <w:rFonts w:ascii="Courier New" w:cs="Courier New" w:eastAsia="Courier New" w:hAnsi="Courier New"/>
          <w:sz w:val="13"/>
          <w:szCs w:val="13"/>
          <w:color w:val="auto"/>
        </w:rPr>
      </w:pPr>
    </w:p>
    <w:p>
      <w:pPr>
        <w:ind w:left="1140" w:right="4559" w:hanging="375"/>
        <w:spacing w:after="0" w:line="353" w:lineRule="auto"/>
        <w:tabs>
          <w:tab w:leader="none" w:pos="1140" w:val="left"/>
        </w:tabs>
        <w:numPr>
          <w:ilvl w:val="1"/>
          <w:numId w:val="1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failure of the Company to obtain the assumption of this Agreement as contemplated in Section 21.</w:t>
      </w:r>
    </w:p>
    <w:p>
      <w:pPr>
        <w:spacing w:after="0" w:line="9" w:lineRule="exact"/>
        <w:rPr>
          <w:sz w:val="20"/>
          <w:szCs w:val="20"/>
          <w:color w:val="auto"/>
        </w:rPr>
      </w:pPr>
    </w:p>
    <w:p>
      <w:pPr>
        <w:ind w:right="4179"/>
        <w:spacing w:after="0" w:line="250" w:lineRule="auto"/>
        <w:rPr>
          <w:sz w:val="20"/>
          <w:szCs w:val="20"/>
          <w:color w:val="auto"/>
        </w:rPr>
      </w:pPr>
      <w:r>
        <w:rPr>
          <w:rFonts w:ascii="Courier New" w:cs="Courier New" w:eastAsia="Courier New" w:hAnsi="Courier New"/>
          <w:sz w:val="13"/>
          <w:szCs w:val="13"/>
          <w:color w:val="auto"/>
        </w:rPr>
        <w:t>Notwithstanding the foregoing, the Board placing the Employee on a paid leave for up to 60 days pending the determination of whether there is a basis to terminate the Employee for Cause, shall not constitute Good Reason. The Employee's continued employment shall not constitute consent to, or a waiver of rights with respect to, any act or failure to act constituting Good Reason hereunder; provided, however, that no such event described above shall constitute Good Reason unless the Employee has given a Notice of Termination to the Company specifying the condition or event relied upon for such termination within ninety (90) days from the Employee's actual knowledge of the occurrence of such event and, if capable of cure, the Company has failed to cure the condition or event constituting Good Reason within the thirty (30) day period following receipt of the Employee's Notice of Termination.</w:t>
      </w:r>
    </w:p>
    <w:p>
      <w:pPr>
        <w:spacing w:after="0" w:line="76" w:lineRule="exact"/>
        <w:rPr>
          <w:sz w:val="20"/>
          <w:szCs w:val="20"/>
          <w:color w:val="auto"/>
        </w:rPr>
      </w:pPr>
    </w:p>
    <w:p>
      <w:pPr>
        <w:ind w:left="760" w:hanging="378"/>
        <w:spacing w:after="0"/>
        <w:tabs>
          <w:tab w:leader="none" w:pos="760" w:val="left"/>
        </w:tabs>
        <w:numPr>
          <w:ilvl w:val="0"/>
          <w:numId w:val="166"/>
        </w:numPr>
        <w:rPr>
          <w:rFonts w:ascii="Courier New" w:cs="Courier New" w:eastAsia="Courier New" w:hAnsi="Courier New"/>
          <w:sz w:val="13"/>
          <w:szCs w:val="13"/>
          <w:color w:val="auto"/>
        </w:rPr>
      </w:pPr>
      <w:r>
        <w:rPr>
          <w:rFonts w:ascii="Courier New" w:cs="Courier New" w:eastAsia="Courier New" w:hAnsi="Courier New"/>
          <w:sz w:val="13"/>
          <w:szCs w:val="13"/>
          <w:color w:val="auto"/>
        </w:rPr>
        <w:t>Obligations of the Company upon Termination.</w:t>
      </w:r>
    </w:p>
    <w:p>
      <w:pPr>
        <w:spacing w:after="0" w:line="148" w:lineRule="exact"/>
        <w:rPr>
          <w:sz w:val="20"/>
          <w:szCs w:val="20"/>
          <w:color w:val="auto"/>
        </w:rPr>
      </w:pPr>
    </w:p>
    <w:p>
      <w:pPr>
        <w:ind w:left="760" w:right="4419" w:hanging="378"/>
        <w:spacing w:after="0" w:line="277" w:lineRule="auto"/>
        <w:tabs>
          <w:tab w:leader="none" w:pos="760" w:val="left"/>
        </w:tabs>
        <w:numPr>
          <w:ilvl w:val="0"/>
          <w:numId w:val="16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by the Company for other than Cause or Disability or Termination by the Employee for Good Reason. If the Employee's employment is terminated by the Company for any reason, other than Cause or Disability or by the Employee for Good Reason:</w:t>
      </w:r>
    </w:p>
    <w:p>
      <w:pPr>
        <w:spacing w:after="0" w:line="57" w:lineRule="exact"/>
        <w:rPr>
          <w:rFonts w:ascii="Courier New" w:cs="Courier New" w:eastAsia="Courier New" w:hAnsi="Courier New"/>
          <w:sz w:val="13"/>
          <w:szCs w:val="13"/>
          <w:color w:val="auto"/>
        </w:rPr>
      </w:pPr>
    </w:p>
    <w:p>
      <w:pPr>
        <w:ind w:left="1140" w:right="4179" w:hanging="375"/>
        <w:spacing w:after="0" w:line="259" w:lineRule="auto"/>
        <w:tabs>
          <w:tab w:leader="none" w:pos="1140" w:val="left"/>
        </w:tabs>
        <w:numPr>
          <w:ilvl w:val="1"/>
          <w:numId w:val="16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shall pay to the Employee, (A) within five (5) business days after the Date of Termination, any earned but unpaid Annual Base Salary and any expense reimbursement payments owed to the Employee, and (B) no later than March 15 of the year in which the Date of Termination occurs, any earned but unpaid Annual Bonus payments relating to the prior calendar year (the "Accrued Obligations");</w:t>
      </w:r>
    </w:p>
    <w:p>
      <w:pPr>
        <w:spacing w:after="0" w:line="214"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39"/>
          </w:cols>
          <w:pgMar w:left="220" w:top="540" w:right="1440" w:bottom="1440" w:gutter="0" w:footer="0" w:header="0"/>
        </w:sectPr>
      </w:pPr>
    </w:p>
    <w:bookmarkStart w:id="197" w:name="page198"/>
    <w:bookmarkEnd w:id="197"/>
    <w:p>
      <w:pPr>
        <w:ind w:left="375" w:right="4099" w:hanging="375"/>
        <w:spacing w:after="0" w:line="268" w:lineRule="auto"/>
        <w:tabs>
          <w:tab w:leader="none" w:pos="375" w:val="left"/>
        </w:tabs>
        <w:numPr>
          <w:ilvl w:val="0"/>
          <w:numId w:val="1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pay to the Employee, within thirty (30) business days after the Date of Termination, a prorated Annual Bonus based on (A) the target Annual Bonus opportunity in the year in which the Date of Termination occurs or the prior year if no target Annual Bonus opportunity has yet been determined and</w:t>
      </w:r>
    </w:p>
    <w:p>
      <w:pPr>
        <w:spacing w:after="0" w:line="2" w:lineRule="exact"/>
        <w:rPr>
          <w:rFonts w:ascii="Courier New" w:cs="Courier New" w:eastAsia="Courier New" w:hAnsi="Courier New"/>
          <w:sz w:val="12"/>
          <w:szCs w:val="12"/>
          <w:color w:val="auto"/>
        </w:rPr>
      </w:pPr>
    </w:p>
    <w:p>
      <w:pPr>
        <w:ind w:left="695" w:hanging="311"/>
        <w:spacing w:after="0"/>
        <w:tabs>
          <w:tab w:leader="none" w:pos="695" w:val="left"/>
        </w:tabs>
        <w:numPr>
          <w:ilvl w:val="1"/>
          <w:numId w:val="16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fraction of the year the Employee was employed;</w:t>
      </w:r>
    </w:p>
    <w:p>
      <w:pPr>
        <w:spacing w:after="0" w:line="123" w:lineRule="exact"/>
        <w:rPr>
          <w:rFonts w:ascii="Courier New" w:cs="Courier New" w:eastAsia="Courier New" w:hAnsi="Courier New"/>
          <w:sz w:val="13"/>
          <w:szCs w:val="13"/>
          <w:color w:val="auto"/>
        </w:rPr>
      </w:pPr>
    </w:p>
    <w:p>
      <w:pPr>
        <w:ind w:left="375" w:right="4099" w:hanging="375"/>
        <w:spacing w:after="0" w:line="252" w:lineRule="auto"/>
        <w:tabs>
          <w:tab w:leader="none" w:pos="451" w:val="left"/>
        </w:tabs>
        <w:numPr>
          <w:ilvl w:val="0"/>
          <w:numId w:val="16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shall pay to the Employee, within thirty (30) business days after the Date of Termination, a lump-sum payment equal to 200% of the sum of (x) the Employee's Annual Base Salary in effect immediately prior to the Date of Termination (disregarding any reduction in Annual Base Salary to which the Employee did not expressly consent in writing) and (y) the highest Annual Bonus paid to the Employee by the Company within the three (3) years preceding his termination of employment or, if higher, the target Annual Bonus opportunity in the year in which the Date of Termination occurs;</w:t>
      </w:r>
    </w:p>
    <w:p>
      <w:pPr>
        <w:spacing w:after="0" w:line="75" w:lineRule="exact"/>
        <w:rPr>
          <w:rFonts w:ascii="Courier New" w:cs="Courier New" w:eastAsia="Courier New" w:hAnsi="Courier New"/>
          <w:sz w:val="13"/>
          <w:szCs w:val="13"/>
          <w:color w:val="auto"/>
        </w:rPr>
      </w:pPr>
    </w:p>
    <w:p>
      <w:pPr>
        <w:ind w:left="375" w:right="4099" w:hanging="375"/>
        <w:spacing w:after="0" w:line="277" w:lineRule="auto"/>
        <w:tabs>
          <w:tab w:leader="none" w:pos="375" w:val="left"/>
        </w:tabs>
        <w:numPr>
          <w:ilvl w:val="0"/>
          <w:numId w:val="168"/>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stock option, restricted stock and other equity-based incentive awards granted by the Company that were outstanding but not vested as of the Date of Termination shall become immediately vested and/or payable, as the case may be; and</w:t>
      </w:r>
    </w:p>
    <w:p>
      <w:pPr>
        <w:spacing w:after="0" w:line="57" w:lineRule="exact"/>
        <w:rPr>
          <w:rFonts w:ascii="Courier New" w:cs="Courier New" w:eastAsia="Courier New" w:hAnsi="Courier New"/>
          <w:sz w:val="13"/>
          <w:szCs w:val="13"/>
          <w:color w:val="auto"/>
        </w:rPr>
      </w:pPr>
    </w:p>
    <w:p>
      <w:pPr>
        <w:ind w:left="375" w:right="4099" w:hanging="375"/>
        <w:spacing w:after="0" w:line="265" w:lineRule="auto"/>
        <w:tabs>
          <w:tab w:leader="none" w:pos="375" w:val="left"/>
        </w:tabs>
        <w:numPr>
          <w:ilvl w:val="0"/>
          <w:numId w:val="1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a three (3) year period after the Date of Termination, the Company will provide or cause to be provided to the Employee (and any covered dependents), with life and health insurance benefits (but not disability insurance benefits) substantially similar to those the Employee and any covered dependents were receiving immediately prior to the Notice of Termination at the same level of benefits and at the same dollar cost to the Employee as is available to the Company's executive officers generally, provided that the Employee's continued receipt of such benefits is possible under the general terms and provisions of the applicable plans and programs, and provided further, that such benefits would not be taxable to the Employee or subject to Section 409A of the Internal Revenue Code of 1986, as amended (the "Code"). In the event that the Employee's participation in any such plan or program is prohibited, the Company shall, at its expense, arrange to provide the Employee with benefits substantially similar to those which the Employee would otherwise have been entitled to receive under such plans and programs from which his continued participation is prohibited. If the Company arranges to provide the Employee and covered dependents with life and health insurance benefits, those benefits will be reduced to the extent comparable benefits are received by, or made available to, the Employee (at no greater cost to the Employee) by another employer during the three (3) year period following the Employee's Date of Termination. The Employee must report to the Company any such benefits that he receives or that are made available. In lieu of the benefits described in this Section 8(a)(v), the Company, in its sole discretion, may elect to pay to the Employee a lump</w:t>
      </w:r>
    </w:p>
    <w:p>
      <w:pPr>
        <w:spacing w:after="0" w:line="371" w:lineRule="exact"/>
        <w:rPr>
          <w:sz w:val="20"/>
          <w:szCs w:val="20"/>
          <w:color w:val="auto"/>
        </w:rPr>
      </w:pPr>
    </w:p>
    <w:p>
      <w:pPr>
        <w:ind w:left="2295"/>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9474"/>
          </w:cols>
          <w:pgMar w:left="985" w:top="540" w:right="1440" w:bottom="1440" w:gutter="0" w:footer="0" w:header="0"/>
        </w:sectPr>
      </w:pPr>
    </w:p>
    <w:bookmarkStart w:id="198" w:name="page199"/>
    <w:bookmarkEnd w:id="198"/>
    <w:p>
      <w:pPr>
        <w:ind w:left="758" w:right="4099"/>
        <w:spacing w:after="0" w:line="268" w:lineRule="auto"/>
        <w:rPr>
          <w:sz w:val="20"/>
          <w:szCs w:val="20"/>
          <w:color w:val="auto"/>
        </w:rPr>
      </w:pPr>
      <w:r>
        <w:rPr>
          <w:rFonts w:ascii="Courier New" w:cs="Courier New" w:eastAsia="Courier New" w:hAnsi="Courier New"/>
          <w:sz w:val="13"/>
          <w:szCs w:val="13"/>
          <w:color w:val="auto"/>
        </w:rPr>
        <w:t>sum cash payment equal to the monthly premiums that would have been paid by the Company to provide such benefits to the Employee for each month such coverage is not provided under this Section 8(a)(v). Nothing in this Section 8(a)(v) will extend the COBRA continuation coverage period.</w:t>
      </w:r>
    </w:p>
    <w:p>
      <w:pPr>
        <w:spacing w:after="0" w:line="62" w:lineRule="exact"/>
        <w:rPr>
          <w:sz w:val="20"/>
          <w:szCs w:val="20"/>
          <w:color w:val="auto"/>
        </w:rPr>
      </w:pPr>
    </w:p>
    <w:p>
      <w:pPr>
        <w:ind w:left="378" w:right="4179" w:hanging="378"/>
        <w:spacing w:after="0" w:line="262" w:lineRule="auto"/>
        <w:tabs>
          <w:tab w:leader="none" w:pos="378" w:val="left"/>
        </w:tabs>
        <w:numPr>
          <w:ilvl w:val="0"/>
          <w:numId w:val="16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by the Company for Cause or by the Employee without Good Reason. If the Employee's employment is terminated (i) by the Company for Cause or (ii) by the Employee without Good Reason, the Company's only obligation under this Agreement shall be payment of any earned but unpaid Annual Base Salary and any expense reimbursement payments owed to the Employee.</w:t>
      </w:r>
    </w:p>
    <w:p>
      <w:pPr>
        <w:spacing w:after="0" w:line="67" w:lineRule="exact"/>
        <w:rPr>
          <w:rFonts w:ascii="Courier New" w:cs="Courier New" w:eastAsia="Courier New" w:hAnsi="Courier New"/>
          <w:sz w:val="13"/>
          <w:szCs w:val="13"/>
          <w:color w:val="auto"/>
        </w:rPr>
      </w:pPr>
    </w:p>
    <w:p>
      <w:pPr>
        <w:ind w:left="378" w:right="4099" w:hanging="378"/>
        <w:spacing w:after="0" w:line="278" w:lineRule="auto"/>
        <w:tabs>
          <w:tab w:leader="none" w:pos="378" w:val="left"/>
        </w:tabs>
        <w:numPr>
          <w:ilvl w:val="0"/>
          <w:numId w:val="1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Termination due to Death or Disability. If the Employee's employment is terminated due to death or Disability, the Company shall pay to the Employee (or to the Employee's estate or personal representative in the case of the Employee's death), within thirty (30) business days after the Date of Termination, (i) any Accrued Obligations and (ii) a prorated Annual Bonus based on (A) the target Annual Bonus opportunity in the year in which the Date of Termination occurs or the prior year if no target Annual Bonus opportunity has yet been determined and (B) the fraction of the year the Employee was employed.</w:t>
      </w:r>
    </w:p>
    <w:p>
      <w:pPr>
        <w:spacing w:after="0" w:line="57" w:lineRule="exact"/>
        <w:rPr>
          <w:rFonts w:ascii="Courier New" w:cs="Courier New" w:eastAsia="Courier New" w:hAnsi="Courier New"/>
          <w:sz w:val="12"/>
          <w:szCs w:val="12"/>
          <w:color w:val="auto"/>
        </w:rPr>
      </w:pPr>
    </w:p>
    <w:p>
      <w:pPr>
        <w:jc w:val="both"/>
        <w:ind w:left="378" w:right="4259" w:hanging="378"/>
        <w:spacing w:after="0" w:line="331" w:lineRule="auto"/>
        <w:tabs>
          <w:tab w:leader="none" w:pos="378" w:val="left"/>
        </w:tabs>
        <w:numPr>
          <w:ilvl w:val="0"/>
          <w:numId w:val="1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Definition of Change in Control. For purposes of this Agreement, the term "Change in Control" shall mean that the conditions set forth in any one of the following subsections shall have been satisfied:</w:t>
      </w:r>
    </w:p>
    <w:p>
      <w:pPr>
        <w:spacing w:after="0" w:line="27" w:lineRule="exact"/>
        <w:rPr>
          <w:rFonts w:ascii="Courier New" w:cs="Courier New" w:eastAsia="Courier New" w:hAnsi="Courier New"/>
          <w:sz w:val="12"/>
          <w:szCs w:val="12"/>
          <w:color w:val="auto"/>
        </w:rPr>
      </w:pPr>
    </w:p>
    <w:p>
      <w:pPr>
        <w:ind w:left="758" w:right="4099" w:hanging="375"/>
        <w:spacing w:after="0" w:line="284" w:lineRule="auto"/>
        <w:tabs>
          <w:tab w:leader="none" w:pos="758" w:val="left"/>
        </w:tabs>
        <w:numPr>
          <w:ilvl w:val="1"/>
          <w:numId w:val="1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acquisition, directly or indirectly, by any "person" (within the meaning of Section 3(a)(9) of the Securities and Exchange Act of 1934, as amended (the "Exchange Act") and used in Sections 13(d) and 14(d) thereof) of "beneficial ownership" (within the meaning of Rule 13d-3 of the Exchange Act) of securities of the Company possessing more than 50% of the total combined voting power of all outstanding securities of the Company;</w:t>
      </w:r>
    </w:p>
    <w:p>
      <w:pPr>
        <w:spacing w:after="0" w:line="53" w:lineRule="exact"/>
        <w:rPr>
          <w:rFonts w:ascii="Courier New" w:cs="Courier New" w:eastAsia="Courier New" w:hAnsi="Courier New"/>
          <w:sz w:val="12"/>
          <w:szCs w:val="12"/>
          <w:color w:val="auto"/>
        </w:rPr>
      </w:pPr>
    </w:p>
    <w:p>
      <w:pPr>
        <w:ind w:left="758" w:right="4179" w:hanging="375"/>
        <w:spacing w:after="0" w:line="284" w:lineRule="auto"/>
        <w:tabs>
          <w:tab w:leader="none" w:pos="758" w:val="left"/>
        </w:tabs>
        <w:numPr>
          <w:ilvl w:val="1"/>
          <w:numId w:val="1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merger or consolidation in which the Company is not the surviving entity, except for a transaction in which the holders of the outstanding voting securities of the Company immediately prior to such merger or consolidation hold, in the aggregate, securities possessing more than 50% of the total combined voting power of all outstanding voting securities of the surviving entity immediately after such merger or consolidation;</w:t>
      </w:r>
    </w:p>
    <w:p>
      <w:pPr>
        <w:spacing w:after="0" w:line="53" w:lineRule="exact"/>
        <w:rPr>
          <w:rFonts w:ascii="Courier New" w:cs="Courier New" w:eastAsia="Courier New" w:hAnsi="Courier New"/>
          <w:sz w:val="12"/>
          <w:szCs w:val="12"/>
          <w:color w:val="auto"/>
        </w:rPr>
      </w:pPr>
    </w:p>
    <w:p>
      <w:pPr>
        <w:ind w:left="758" w:right="4099" w:hanging="375"/>
        <w:spacing w:after="0" w:line="262" w:lineRule="auto"/>
        <w:tabs>
          <w:tab w:leader="none" w:pos="835" w:val="left"/>
        </w:tabs>
        <w:numPr>
          <w:ilvl w:val="1"/>
          <w:numId w:val="169"/>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reverse merger in which the Company is the surviving entity but in which securities possessing more than 50% of the total combined voting power of all outstanding voting securities of the Company are transferred to or acquired by a person or persons different from the persons holding those securities immediately prior to such merger;</w:t>
      </w:r>
    </w:p>
    <w:p>
      <w:pPr>
        <w:spacing w:after="0" w:line="215" w:lineRule="exact"/>
        <w:rPr>
          <w:sz w:val="20"/>
          <w:szCs w:val="20"/>
          <w:color w:val="auto"/>
        </w:rPr>
      </w:pPr>
    </w:p>
    <w:p>
      <w:pPr>
        <w:ind w:left="2378"/>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9857"/>
          </w:cols>
          <w:pgMar w:left="602" w:top="540" w:right="1440" w:bottom="1440" w:gutter="0" w:footer="0" w:header="0"/>
        </w:sectPr>
      </w:pPr>
    </w:p>
    <w:bookmarkStart w:id="199" w:name="page200"/>
    <w:bookmarkEnd w:id="199"/>
    <w:p>
      <w:pPr>
        <w:ind w:left="1140" w:right="4099" w:hanging="375"/>
        <w:spacing w:after="0" w:line="256" w:lineRule="auto"/>
        <w:tabs>
          <w:tab w:leader="none" w:pos="1140" w:val="left"/>
        </w:tabs>
        <w:numPr>
          <w:ilvl w:val="0"/>
          <w:numId w:val="170"/>
        </w:numPr>
        <w:rPr>
          <w:rFonts w:ascii="Courier New" w:cs="Courier New" w:eastAsia="Courier New" w:hAnsi="Courier New"/>
          <w:sz w:val="13"/>
          <w:szCs w:val="13"/>
          <w:color w:val="auto"/>
        </w:rPr>
      </w:pPr>
      <w:r>
        <w:rPr>
          <w:rFonts w:ascii="Courier New" w:cs="Courier New" w:eastAsia="Courier New" w:hAnsi="Courier New"/>
          <w:sz w:val="13"/>
          <w:szCs w:val="13"/>
          <w:color w:val="auto"/>
        </w:rPr>
        <w:t>during any period of two (2) consecutive years during the Employment Term or any extensions thereof, individuals, who, at the beginning of such period, constitute the Board, cease for any reason to constitute at least a majority thereof, unless the election of each director who was not a director at the beginning of such period has been approved in advance by directors representing at least two-thirds of the directors then in office who were directors at the beginning of the period;</w:t>
      </w:r>
    </w:p>
    <w:p>
      <w:pPr>
        <w:spacing w:after="0" w:line="70" w:lineRule="exact"/>
        <w:rPr>
          <w:rFonts w:ascii="Courier New" w:cs="Courier New" w:eastAsia="Courier New" w:hAnsi="Courier New"/>
          <w:sz w:val="13"/>
          <w:szCs w:val="13"/>
          <w:color w:val="auto"/>
        </w:rPr>
      </w:pPr>
    </w:p>
    <w:p>
      <w:pPr>
        <w:ind w:left="1140" w:right="4099" w:hanging="375"/>
        <w:spacing w:after="0" w:line="248" w:lineRule="auto"/>
        <w:tabs>
          <w:tab w:leader="none" w:pos="1140" w:val="left"/>
        </w:tabs>
        <w:numPr>
          <w:ilvl w:val="0"/>
          <w:numId w:val="17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sale, transfer or other disposition (in one transaction or a series of related transactions) of assets of the Company that have a total fair market value equal to or more than one-third of the total fair market value of all of the assets of the Company immediately prior to such sale, transfer or other disposition, other than a sale, transfer or other disposition to an entity (x) which immediately following such sale, transfer or other disposition owns, directly or indirectly, at least 50% of the Company's outstanding voting securities or (y) 50% or more of whose outstanding voting securities is immediately following such sale, transfer or other disposition owned, directly or indirectly, by the Company. For purposes of the foregoing clause, the sale of stock of a subsidiary of the Company (or the assets of such subsidiary) shall be treated as a sale of assets of the Company; or</w:t>
      </w:r>
    </w:p>
    <w:p>
      <w:pPr>
        <w:spacing w:after="0" w:line="76" w:lineRule="exact"/>
        <w:rPr>
          <w:rFonts w:ascii="Courier New" w:cs="Courier New" w:eastAsia="Courier New" w:hAnsi="Courier New"/>
          <w:sz w:val="13"/>
          <w:szCs w:val="13"/>
          <w:color w:val="auto"/>
        </w:rPr>
      </w:pPr>
    </w:p>
    <w:p>
      <w:pPr>
        <w:ind w:left="1140" w:right="4339" w:hanging="375"/>
        <w:spacing w:after="0" w:line="353" w:lineRule="auto"/>
        <w:tabs>
          <w:tab w:leader="none" w:pos="1140" w:val="left"/>
        </w:tabs>
        <w:numPr>
          <w:ilvl w:val="0"/>
          <w:numId w:val="17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approval by the stockholders of a plan or proposal for the liquidation or dissolution of the Company.</w:t>
      </w:r>
    </w:p>
    <w:p>
      <w:pPr>
        <w:spacing w:after="0" w:line="9" w:lineRule="exact"/>
        <w:rPr>
          <w:sz w:val="20"/>
          <w:szCs w:val="20"/>
          <w:color w:val="auto"/>
        </w:rPr>
      </w:pPr>
    </w:p>
    <w:p>
      <w:pPr>
        <w:ind w:right="4099"/>
        <w:spacing w:after="0" w:line="249" w:lineRule="auto"/>
        <w:rPr>
          <w:sz w:val="20"/>
          <w:szCs w:val="20"/>
          <w:color w:val="auto"/>
        </w:rPr>
      </w:pPr>
      <w:r>
        <w:rPr>
          <w:rFonts w:ascii="Courier New" w:cs="Courier New" w:eastAsia="Courier New" w:hAnsi="Courier New"/>
          <w:sz w:val="13"/>
          <w:szCs w:val="13"/>
          <w:color w:val="auto"/>
        </w:rPr>
        <w:t>For purposes of this Agreement, no event or transaction which is entered into, is contemplated by, or occurs as a result of the Agreement and Plan of Merger dated as of June 25, 2006 by and between Fidelity National Information Services, Inc. and Fidelity National Financial, Inc. or the Securities Exchange and Distribution Agreement, dated as of June 25, 2006 between Fidelity National Financial, Inc. and Fidelity National Title Group, Inc. shall constitute a Change in Control. In addition, no event or transaction which results in the merger or other combination of the Company or any affiliate thereof with Fidelity National Information Services, Inc. or any affiliate thereof in which the combined shareholders of both entities before such transaction own at least 80% in the aggregate of the voting power of the stock of the combined or merged company immediately after such event or transaction shall constitute a Change in Control.</w:t>
      </w:r>
    </w:p>
    <w:p>
      <w:pPr>
        <w:spacing w:after="0" w:line="78" w:lineRule="exact"/>
        <w:rPr>
          <w:sz w:val="20"/>
          <w:szCs w:val="20"/>
          <w:color w:val="auto"/>
        </w:rPr>
      </w:pPr>
    </w:p>
    <w:p>
      <w:pPr>
        <w:ind w:left="760" w:hanging="378"/>
        <w:spacing w:after="0"/>
        <w:tabs>
          <w:tab w:leader="none" w:pos="760" w:val="left"/>
        </w:tabs>
        <w:numPr>
          <w:ilvl w:val="0"/>
          <w:numId w:val="171"/>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Excise Tax Gross-up Payments.</w:t>
      </w:r>
    </w:p>
    <w:p>
      <w:pPr>
        <w:spacing w:after="0" w:line="148" w:lineRule="exact"/>
        <w:rPr>
          <w:sz w:val="20"/>
          <w:szCs w:val="20"/>
          <w:color w:val="auto"/>
        </w:rPr>
      </w:pPr>
    </w:p>
    <w:p>
      <w:pPr>
        <w:ind w:left="760" w:right="4099" w:hanging="378"/>
        <w:spacing w:after="0" w:line="250" w:lineRule="auto"/>
        <w:tabs>
          <w:tab w:leader="none" w:pos="760" w:val="left"/>
        </w:tabs>
        <w:numPr>
          <w:ilvl w:val="0"/>
          <w:numId w:val="17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any payments or benefits paid or provided or to be paid or provided to the Employee or for his benefit pursuant to the terms of this Agreement or otherwise in connection with, or arising out of, his employment with the Company or its subsidiaries or the termination thereof (a "Payment" and, collectively, the "Payments") would be subject to the excise tax (the "Excise Tax") imposed by Section 4999 of the Code, then, except as otherwise provided in this Section 9(a), the Employee will be entitled to receive an additional payment (a "Gross-Up Payment") in an amount such that, after payment by the Employee of all income taxes, all employment taxes and any Excise Tax imposed upon the Gross-Up Payment (including any related interest and penalties), the Employee retains an</w:t>
      </w:r>
    </w:p>
    <w:p>
      <w:pPr>
        <w:spacing w:after="0" w:line="223"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39"/>
          </w:cols>
          <w:pgMar w:left="220" w:top="540" w:right="1440" w:bottom="1440" w:gutter="0" w:footer="0" w:header="0"/>
        </w:sectPr>
      </w:pPr>
    </w:p>
    <w:bookmarkStart w:id="200" w:name="page201"/>
    <w:bookmarkEnd w:id="200"/>
    <w:p>
      <w:pPr>
        <w:ind w:left="378" w:right="4179"/>
        <w:spacing w:after="0" w:line="278" w:lineRule="auto"/>
        <w:rPr>
          <w:sz w:val="20"/>
          <w:szCs w:val="20"/>
          <w:color w:val="auto"/>
        </w:rPr>
      </w:pPr>
      <w:r>
        <w:rPr>
          <w:rFonts w:ascii="Courier New" w:cs="Courier New" w:eastAsia="Courier New" w:hAnsi="Courier New"/>
          <w:sz w:val="12"/>
          <w:szCs w:val="12"/>
          <w:color w:val="auto"/>
        </w:rPr>
        <w:t>amount of the Gross-Up Payment equal to the Excise Tax (including any related interest and penalties) imposed upon the Payments. Notwithstanding the foregoing, if the amount of the Payments does not exceed by more than 3% the amount that would be payable to the Employee if the Payments were reduced to one dollar less than what would constitute a "parachute payment" under Section 280G of the Code (the "Scaled Back Amount"), then the Payments shall be reduced, in a manner determined by the Employee, to the Scaled Back Amount, and the Employee shall not be entitled to any Gross-Up Payment.</w:t>
      </w:r>
    </w:p>
    <w:p>
      <w:pPr>
        <w:spacing w:after="0" w:line="57" w:lineRule="exact"/>
        <w:rPr>
          <w:sz w:val="20"/>
          <w:szCs w:val="20"/>
          <w:color w:val="auto"/>
        </w:rPr>
      </w:pPr>
    </w:p>
    <w:p>
      <w:pPr>
        <w:ind w:left="378" w:right="4099" w:hanging="378"/>
        <w:spacing w:after="0" w:line="263" w:lineRule="auto"/>
        <w:tabs>
          <w:tab w:leader="none" w:pos="378" w:val="left"/>
        </w:tabs>
        <w:numPr>
          <w:ilvl w:val="0"/>
          <w:numId w:val="1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 initial determination of (i) whether a Gross-Up Payment is required pursuant to this Agreement, and, if applicable, the amount of such Gross-Up Payment or (ii) whether the Payments must be reduced to the Scaled Back Amount and, if so, the amount of such reduction, will be made at the Company's expense by an accounting firm selected by the Company. The accounting firm will provide its determination, together with detailed supporting calculations and documentation, to the Company and the Employee within ten (10) business days after the date of termination of Employee's employment, or such other time as may be reasonably requested by the Company or the Employee. If the accounting firm determines that no Excise Tax is payable by the Employee with respect to a Payment or Payments, it will furnish the Employee with an opinion to that effect. If a Gross-Up Payment becomes payable, such Gross-Up Payment will be paid by the Company to the Employee within thirty (30) business days of the receipt of the accounting firm's determination. If a reduction in Payments is required, such reduction shall be effectuated within thirty (30) business days of the receipt of the accounting firm's determination. Within ten (10) business days after the accounting firm delivers its determination to the Employee, the Employee will have the right to dispute the determination. The existence of a dispute will not in any way affect the Employee's right to receive a Gross-Up Payment in accordance with the determination. If there is no dispute, the determination will be binding, final, and conclusive upon the Company and the Employee. If there is a dispute, the Company and the Employee will together select a second accounting firm, which will review the determination and the Employee's basis for the dispute and then will render its own determination, which will be binding, final, and conclusive on the Company and on the Employee for purposes of determining whether a Gross-Up Payment is required pursuant to this Section 9(b) or whether a reduction to the Scaled Back Amount is required, as the case may be. If as a result of any dispute pursuant to this Section 9(b) a Gross-Up Payment is made or additional Gross-Up Payments are made, such Gross-Up Payment(s) will be paid by the Company to the Employee within thirty (30) business days of the receipt of the second accounting firm's determination. The Company will bear all costs associated with the second accounting firm's determination, unless such determination does not result in additional Gross-Up Payments to the Employee or unless such determination does not mitigate the reduction in Payments required to arrive at the Scaled Back Amount, in which case all such costs will be borne by the Employee.</w:t>
      </w:r>
    </w:p>
    <w:p>
      <w:pPr>
        <w:spacing w:after="0" w:line="200" w:lineRule="exact"/>
        <w:rPr>
          <w:sz w:val="20"/>
          <w:szCs w:val="20"/>
          <w:color w:val="auto"/>
        </w:rPr>
      </w:pPr>
    </w:p>
    <w:p>
      <w:pPr>
        <w:spacing w:after="0" w:line="330" w:lineRule="exact"/>
        <w:rPr>
          <w:sz w:val="20"/>
          <w:szCs w:val="20"/>
          <w:color w:val="auto"/>
        </w:rPr>
      </w:pPr>
    </w:p>
    <w:p>
      <w:pPr>
        <w:ind w:left="2678"/>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9857"/>
          </w:cols>
          <w:pgMar w:left="602" w:top="540" w:right="1440" w:bottom="1440" w:gutter="0" w:footer="0" w:header="0"/>
        </w:sectPr>
      </w:pPr>
    </w:p>
    <w:bookmarkStart w:id="201" w:name="page202"/>
    <w:bookmarkEnd w:id="201"/>
    <w:p>
      <w:pPr>
        <w:ind w:left="378" w:right="4099" w:hanging="378"/>
        <w:spacing w:after="0" w:line="276" w:lineRule="auto"/>
        <w:tabs>
          <w:tab w:leader="none" w:pos="378" w:val="left"/>
        </w:tabs>
        <w:numPr>
          <w:ilvl w:val="0"/>
          <w:numId w:val="1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purposes of determining the amount of the Gross-Up Payment and, if applicable, the Scaled Back Amount, the Employee will be deemed to pay federal income taxes at the highest marginal rate of federal income taxation in the calendar year in which the Gross-Up Payment is to be made or the Scaled Back Amount is determined, as the case may be, and applicable state and local income taxes at the highest marginal rate of taxation in the state and locality of the Employee's residence on the date of termination of Employee's employment, net of the maximum reduction in federal income taxes that would be obtained from deduction of those state and local taxes.</w:t>
      </w:r>
    </w:p>
    <w:p>
      <w:pPr>
        <w:spacing w:after="0" w:line="58" w:lineRule="exact"/>
        <w:rPr>
          <w:rFonts w:ascii="Courier New" w:cs="Courier New" w:eastAsia="Courier New" w:hAnsi="Courier New"/>
          <w:sz w:val="12"/>
          <w:szCs w:val="12"/>
          <w:color w:val="auto"/>
        </w:rPr>
      </w:pPr>
    </w:p>
    <w:p>
      <w:pPr>
        <w:ind w:left="378" w:right="4099" w:hanging="378"/>
        <w:spacing w:after="0" w:line="244" w:lineRule="auto"/>
        <w:tabs>
          <w:tab w:leader="none" w:pos="378" w:val="left"/>
        </w:tabs>
        <w:numPr>
          <w:ilvl w:val="0"/>
          <w:numId w:val="174"/>
        </w:numPr>
        <w:rPr>
          <w:rFonts w:ascii="Courier New" w:cs="Courier New" w:eastAsia="Courier New" w:hAnsi="Courier New"/>
          <w:sz w:val="13"/>
          <w:szCs w:val="13"/>
          <w:color w:val="auto"/>
        </w:rPr>
      </w:pPr>
      <w:r>
        <w:rPr>
          <w:rFonts w:ascii="Courier New" w:cs="Courier New" w:eastAsia="Courier New" w:hAnsi="Courier New"/>
          <w:sz w:val="13"/>
          <w:szCs w:val="13"/>
          <w:color w:val="auto"/>
        </w:rPr>
        <w:t>As a result of the uncertainty in the application of Section 4999 of the Code, it is possible that Gross-Up Payments which will not have been made by the Company should have been made, the Employee's Payments will be reduced to the Scaled Back Amount when they should not have been or the Employee's Payments are reduced to a greater extent than they should have been (an "Underpayment") or Gross-Up Payments are made by the Company which should not have been made, the Employee's Payments are not reduced to the Scaled Back Amount when they should have been or they are not reduced to the extent they should have been (an "Overpayment"). If it is determined that an Underpayment has occurred, the accounting firm shall determine the amount of the Underpayment that has occurred and any such Underpayment (together with interest at the rate provided in Section 1274(b)(2)(B) of the Code) shall be promptly paid by the Company to or for the benefit of Employee. If it is determined that an Overpayment has occurred, the accounting firm shall determine the amount of the Overpayment that has occurred and any such Overpayment (together with interest at the rate provided in Section 1274(b)(2) of the Code) shall be promptly paid by the Employee (to the extent he has received a refund if the applicable Excise Tax has been paid to the Internal Revenue Service) to or for the benefit of the Company; provided, however, that if the Company determines that such repayment obligation would be or result in an unlawful extension of credit under Section 13(k) of the Exchange Act, repayment shall not be required. The Employee shall cooperate, to the extent his expenses are reimbursed by the Company, with any reasonable requests by the Company in connection with any contest or disputes with the Internal Revenue Service in connection with the Excise Tax.</w:t>
      </w:r>
    </w:p>
    <w:p>
      <w:pPr>
        <w:spacing w:after="0" w:line="83" w:lineRule="exact"/>
        <w:rPr>
          <w:rFonts w:ascii="Courier New" w:cs="Courier New" w:eastAsia="Courier New" w:hAnsi="Courier New"/>
          <w:sz w:val="13"/>
          <w:szCs w:val="13"/>
          <w:color w:val="auto"/>
        </w:rPr>
      </w:pPr>
    </w:p>
    <w:p>
      <w:pPr>
        <w:ind w:left="378" w:right="4099" w:hanging="378"/>
        <w:spacing w:after="0" w:line="249" w:lineRule="auto"/>
        <w:tabs>
          <w:tab w:leader="none" w:pos="378" w:val="left"/>
        </w:tabs>
        <w:numPr>
          <w:ilvl w:val="0"/>
          <w:numId w:val="17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Employee shall notify the Company in writing of any claim by the Internal Revenue Service that, if successful, would require a payment resulting in an Underpayment. Such notification shall be given as soon as practicable but no later than ten (10) business days after the Employee is informed in writing of such claim and shall apprise the Company of the nature of such claim and the date on which such claim is requested to be paid. The Employee shall not pay such claim prior to the expiration of the thirty (30) day period following the date on which he gives such notice to the Company (or such shorter period ending on the date that any payment of taxes with respect to such claim is due). If the Company notifies the Employee in writing prior to the expiration of such period that it desires to contest such claim, the Employee shall:</w:t>
      </w:r>
    </w:p>
    <w:p>
      <w:pPr>
        <w:spacing w:after="0" w:line="225" w:lineRule="exact"/>
        <w:rPr>
          <w:sz w:val="20"/>
          <w:szCs w:val="20"/>
          <w:color w:val="auto"/>
        </w:rPr>
      </w:pPr>
    </w:p>
    <w:p>
      <w:pPr>
        <w:ind w:left="2678"/>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9857"/>
          </w:cols>
          <w:pgMar w:left="602" w:top="540" w:right="1440" w:bottom="1440" w:gutter="0" w:footer="0" w:header="0"/>
        </w:sectPr>
      </w:pPr>
    </w:p>
    <w:bookmarkStart w:id="202" w:name="page203"/>
    <w:bookmarkEnd w:id="202"/>
    <w:p>
      <w:pPr>
        <w:ind w:left="758" w:right="4499" w:hanging="375"/>
        <w:spacing w:after="0" w:line="353" w:lineRule="auto"/>
        <w:tabs>
          <w:tab w:leader="none" w:pos="758" w:val="left"/>
        </w:tabs>
        <w:numPr>
          <w:ilvl w:val="0"/>
          <w:numId w:val="175"/>
        </w:numPr>
        <w:rPr>
          <w:rFonts w:ascii="Courier New" w:cs="Courier New" w:eastAsia="Courier New" w:hAnsi="Courier New"/>
          <w:sz w:val="13"/>
          <w:szCs w:val="13"/>
          <w:color w:val="auto"/>
        </w:rPr>
      </w:pPr>
      <w:r>
        <w:rPr>
          <w:rFonts w:ascii="Courier New" w:cs="Courier New" w:eastAsia="Courier New" w:hAnsi="Courier New"/>
          <w:sz w:val="13"/>
          <w:szCs w:val="13"/>
          <w:color w:val="auto"/>
        </w:rPr>
        <w:t>give the Company any information reasonably requested by the Company relating to such claim,</w:t>
      </w:r>
    </w:p>
    <w:p>
      <w:pPr>
        <w:spacing w:after="0" w:line="9" w:lineRule="exact"/>
        <w:rPr>
          <w:rFonts w:ascii="Courier New" w:cs="Courier New" w:eastAsia="Courier New" w:hAnsi="Courier New"/>
          <w:sz w:val="13"/>
          <w:szCs w:val="13"/>
          <w:color w:val="auto"/>
        </w:rPr>
      </w:pPr>
    </w:p>
    <w:p>
      <w:pPr>
        <w:ind w:left="758" w:right="4179" w:hanging="375"/>
        <w:spacing w:after="0" w:line="268" w:lineRule="auto"/>
        <w:tabs>
          <w:tab w:leader="none" w:pos="758" w:val="left"/>
        </w:tabs>
        <w:numPr>
          <w:ilvl w:val="0"/>
          <w:numId w:val="17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62" w:lineRule="exact"/>
        <w:rPr>
          <w:rFonts w:ascii="Courier New" w:cs="Courier New" w:eastAsia="Courier New" w:hAnsi="Courier New"/>
          <w:sz w:val="13"/>
          <w:szCs w:val="13"/>
          <w:color w:val="auto"/>
        </w:rPr>
      </w:pPr>
    </w:p>
    <w:p>
      <w:pPr>
        <w:ind w:left="758" w:right="4099" w:hanging="375"/>
        <w:spacing w:after="0" w:line="353" w:lineRule="auto"/>
        <w:tabs>
          <w:tab w:leader="none" w:pos="835" w:val="left"/>
        </w:tabs>
        <w:numPr>
          <w:ilvl w:val="0"/>
          <w:numId w:val="175"/>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cooperate with the Company in good faith in order effectively to contest such claim, and</w:t>
      </w:r>
    </w:p>
    <w:p>
      <w:pPr>
        <w:spacing w:after="0" w:line="9" w:lineRule="exact"/>
        <w:rPr>
          <w:rFonts w:ascii="Courier New" w:cs="Courier New" w:eastAsia="Courier New" w:hAnsi="Courier New"/>
          <w:sz w:val="13"/>
          <w:szCs w:val="13"/>
          <w:color w:val="auto"/>
        </w:rPr>
      </w:pPr>
    </w:p>
    <w:p>
      <w:pPr>
        <w:ind w:left="758" w:right="4259" w:hanging="375"/>
        <w:spacing w:after="0" w:line="353" w:lineRule="auto"/>
        <w:tabs>
          <w:tab w:leader="none" w:pos="758" w:val="left"/>
        </w:tabs>
        <w:numPr>
          <w:ilvl w:val="0"/>
          <w:numId w:val="175"/>
        </w:numPr>
        <w:rPr>
          <w:rFonts w:ascii="Courier New" w:cs="Courier New" w:eastAsia="Courier New" w:hAnsi="Courier New"/>
          <w:sz w:val="13"/>
          <w:szCs w:val="13"/>
          <w:color w:val="auto"/>
        </w:rPr>
      </w:pPr>
      <w:r>
        <w:rPr>
          <w:rFonts w:ascii="Courier New" w:cs="Courier New" w:eastAsia="Courier New" w:hAnsi="Courier New"/>
          <w:sz w:val="13"/>
          <w:szCs w:val="13"/>
          <w:color w:val="auto"/>
        </w:rPr>
        <w:t>permit the Company to participate in any proceeding relating to such claim;</w:t>
      </w:r>
    </w:p>
    <w:p>
      <w:pPr>
        <w:spacing w:after="0" w:line="9" w:lineRule="exact"/>
        <w:rPr>
          <w:sz w:val="20"/>
          <w:szCs w:val="20"/>
          <w:color w:val="auto"/>
        </w:rPr>
      </w:pPr>
    </w:p>
    <w:p>
      <w:pPr>
        <w:ind w:left="378" w:right="4099"/>
        <w:spacing w:after="0" w:line="265" w:lineRule="auto"/>
        <w:rPr>
          <w:sz w:val="20"/>
          <w:szCs w:val="20"/>
          <w:color w:val="auto"/>
        </w:rPr>
      </w:pPr>
      <w:r>
        <w:rPr>
          <w:rFonts w:ascii="Courier New" w:cs="Courier New" w:eastAsia="Courier New" w:hAnsi="Courier New"/>
          <w:sz w:val="12"/>
          <w:szCs w:val="12"/>
          <w:color w:val="auto"/>
        </w:rPr>
        <w:t>provided, however, that the Company shall bear and pay directly all costs and expenses (including additional interest and penalties) incurred in connection with such contest and shall indemnify and hold the Employee harmless, on an after-tax basis, for any Excise Tax or income tax (including related interest and penalties) imposed as a result of such representation and payment of costs and expenses. Without limitation on the foregoing provisions of this Section 9(e),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Employee to pay the tax claimed and sue for a refund or contest the claim in any permissible manner, and the Employee agrees to prosecute such contest to a determination before any administrative tribunal, in a court of initial jurisdiction and in one or more appellate courts, as the Company shall determine; provided, however, that if the Company directs the Employee to pay such claim and sue for a refund, the Company shall advance the amount of such payment to the Employee, on an interest-free basis and shall indemnify and hold the Employee harmless, on an after-tax basis, from any Excise Tax or income tax (including related interest or penalties) imposed with respect to such advance or with respect to any imputed income with respect to such advance. The Company's control of the contest shall be limited to issues that may impact Gross-Up Payments or reduction in Payments under this Section 9, and the Employee shall be entitled to settle or contest, as the case may be, any other issue raised by the Internal Revenue Service or any other taxing authority.</w:t>
      </w:r>
    </w:p>
    <w:p>
      <w:pPr>
        <w:spacing w:after="0" w:line="226" w:lineRule="exact"/>
        <w:rPr>
          <w:sz w:val="20"/>
          <w:szCs w:val="20"/>
          <w:color w:val="auto"/>
        </w:rPr>
      </w:pPr>
    </w:p>
    <w:p>
      <w:pPr>
        <w:ind w:left="378" w:right="4179" w:hanging="378"/>
        <w:spacing w:after="0" w:line="251" w:lineRule="auto"/>
        <w:tabs>
          <w:tab w:leader="none" w:pos="378" w:val="left"/>
        </w:tabs>
        <w:numPr>
          <w:ilvl w:val="0"/>
          <w:numId w:val="176"/>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after the receipt by the Employee of an amount advanced by the Company pursuant to Section 9(e), the Employee becomes entitled to receive any refund with respect to such claim, the Employee shall (subject to the Company's complying with the requirements of Section 9(e)) promptly pay to the Company the amount of such refund (together with any interest paid or credited thereon after taxes applicable thereto). If, after the receipt by the Employee of an amount advanced by the Company pursuant to Section 9(e), a determination is made that the Employee shall not be entitled to any refund with respect to such claim and the Company does not notify the Employee in writing of its intent to contest such</w:t>
      </w:r>
    </w:p>
    <w:p>
      <w:pPr>
        <w:spacing w:after="0" w:line="222"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9857"/>
          </w:cols>
          <w:pgMar w:left="602" w:top="540" w:right="1440" w:bottom="1440" w:gutter="0" w:footer="0" w:header="0"/>
        </w:sectPr>
      </w:pPr>
    </w:p>
    <w:bookmarkStart w:id="203" w:name="page204"/>
    <w:bookmarkEnd w:id="203"/>
    <w:p>
      <w:pPr>
        <w:ind w:left="378" w:right="4179"/>
        <w:spacing w:after="0" w:line="296" w:lineRule="auto"/>
        <w:rPr>
          <w:sz w:val="20"/>
          <w:szCs w:val="20"/>
          <w:color w:val="auto"/>
        </w:rPr>
      </w:pPr>
      <w:r>
        <w:rPr>
          <w:rFonts w:ascii="Courier New" w:cs="Courier New" w:eastAsia="Courier New" w:hAnsi="Courier New"/>
          <w:sz w:val="13"/>
          <w:szCs w:val="13"/>
          <w:color w:val="auto"/>
        </w:rPr>
        <w:t>denial of refund prior to the expiration of thirty (30) days after such determination, then such advance shall be forgiven and shall not be required to be repaid.</w:t>
      </w:r>
    </w:p>
    <w:p>
      <w:pPr>
        <w:spacing w:after="0" w:line="45" w:lineRule="exact"/>
        <w:rPr>
          <w:sz w:val="20"/>
          <w:szCs w:val="20"/>
          <w:color w:val="auto"/>
        </w:rPr>
      </w:pPr>
    </w:p>
    <w:p>
      <w:pPr>
        <w:ind w:left="-382" w:right="4339" w:firstLine="382"/>
        <w:spacing w:after="0" w:line="307" w:lineRule="auto"/>
        <w:tabs>
          <w:tab w:leader="none" w:pos="308" w:val="left"/>
        </w:tabs>
        <w:numPr>
          <w:ilvl w:val="0"/>
          <w:numId w:val="1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Non-Delegation of Employee's Rights. The obligations, rights and benefits of the Employee hereunder are personal and may not be delegated, assigned or transferred in any manner whatsoever, nor are such obligations, rights or benefits subject to involuntary alienation, assignment or transfer.</w:t>
      </w:r>
    </w:p>
    <w:p>
      <w:pPr>
        <w:spacing w:after="0" w:line="41" w:lineRule="exact"/>
        <w:rPr>
          <w:rFonts w:ascii="Courier New" w:cs="Courier New" w:eastAsia="Courier New" w:hAnsi="Courier New"/>
          <w:sz w:val="12"/>
          <w:szCs w:val="12"/>
          <w:color w:val="auto"/>
        </w:rPr>
      </w:pPr>
    </w:p>
    <w:p>
      <w:pPr>
        <w:ind w:left="-382" w:right="4099" w:firstLine="382"/>
        <w:spacing w:after="0" w:line="267" w:lineRule="auto"/>
        <w:tabs>
          <w:tab w:leader="none" w:pos="308" w:val="left"/>
        </w:tabs>
        <w:numPr>
          <w:ilvl w:val="0"/>
          <w:numId w:val="1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Confidential Information. The Employee acknowledges that in his capacity as an employee of the Company he will occupy a position of trust and confidence and he further acknowledges that he will have access to and learn substantial information about the Company and its affiliates and their operations that is confidential or not generally known in the industry including, without limitation, information that relates to purchasing, sales, customers, marketing, and the Company's and its affiliates' financial positions and financing arrangements. The Employee agrees that all such information is proprietary or confidential, or constitutes trade secrets and is the sole property of the Company and/or its affiliates, as the case may be. The Employee will keep confidential, and will not reproduce, copy or disclose to any other person or firm, any such information or any documents or information relating to the Company's or its affiliates' methods, processes, customers, accounts, analyses, systems, charts, programs, procedures, correspondence or records, or any other documents used or owned by the Company or any of its affiliates, nor will the Employee advise, discuss with or in any way assist any other person, firm or entity in obtaining or learning about any of the items described in this Section 11. Accordingly, the Employee agrees that during the Employment Term and at all times thereafter he will not disclose, or permit or encourage anyone else to disclose, any such information, nor will he utilize any such information, either alone or with others, outside the scope of his duties and responsibilities with the Company and its affiliates.</w:t>
      </w:r>
    </w:p>
    <w:p>
      <w:pPr>
        <w:spacing w:after="0" w:line="215" w:lineRule="exact"/>
        <w:rPr>
          <w:rFonts w:ascii="Courier New" w:cs="Courier New" w:eastAsia="Courier New" w:hAnsi="Courier New"/>
          <w:sz w:val="12"/>
          <w:szCs w:val="12"/>
          <w:color w:val="auto"/>
        </w:rPr>
      </w:pPr>
    </w:p>
    <w:p>
      <w:pPr>
        <w:ind w:left="-382" w:right="4099" w:firstLine="382"/>
        <w:spacing w:after="0" w:line="247" w:lineRule="auto"/>
        <w:tabs>
          <w:tab w:leader="none" w:pos="308" w:val="left"/>
        </w:tabs>
        <w:numPr>
          <w:ilvl w:val="0"/>
          <w:numId w:val="177"/>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Non-Competition During Employment Term. The Employee agrees that, during the Employment Term, he will devote such business time, attention and energies reasonably necessary to the diligent and faithful performance of the services to the Company and its affiliates, and he will not engage in any way whatsoever, directly or indirectly, in any business that is a direct competitor with the Company's or its affiliates' principal business, nor solicit customers, suppliers or employees of the Company or affiliates on behalf of, or in any other manner work for or assist any business which is a direct competitor with the Company's or its affiliates' principal business. For purposes of clarification, Fidelity National Information Services, Inc. and its affiliates shall not be considered to be competitive with the Company and its affiliates, for purposes of Section 12 and Section 13 of this Agreement. In addition, during the Employment Term, the Employee will undertake no planning for or organization of any business activity competitive with the work he performs as an employee of the Company, and the Employee will not combine or conspire with any other employee of the Company or any other person for the purpose of organizing any such competitive business activity.</w:t>
      </w:r>
    </w:p>
    <w:p>
      <w:pPr>
        <w:spacing w:after="0" w:line="77" w:lineRule="exact"/>
        <w:rPr>
          <w:rFonts w:ascii="Courier New" w:cs="Courier New" w:eastAsia="Courier New" w:hAnsi="Courier New"/>
          <w:sz w:val="13"/>
          <w:szCs w:val="13"/>
          <w:color w:val="auto"/>
        </w:rPr>
      </w:pPr>
    </w:p>
    <w:p>
      <w:pPr>
        <w:ind w:left="-382" w:right="4179" w:firstLine="382"/>
        <w:spacing w:after="0" w:line="268" w:lineRule="auto"/>
        <w:tabs>
          <w:tab w:leader="none" w:pos="308" w:val="left"/>
        </w:tabs>
        <w:numPr>
          <w:ilvl w:val="0"/>
          <w:numId w:val="177"/>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Non-Competition After Employment Term. The parties acknowledge that as an executive officer of the Company the Employee will acquire substantial knowledge and information concerning the business of the Company and its affiliates as a result of his employment. The parties further acknowledge that the scope of business in which the Company</w:t>
      </w:r>
    </w:p>
    <w:p>
      <w:pPr>
        <w:spacing w:after="0" w:line="210"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11</w:t>
      </w:r>
    </w:p>
    <w:p>
      <w:pPr>
        <w:sectPr>
          <w:pgSz w:w="11900" w:h="16838" w:orient="portrait"/>
          <w:cols w:equalWidth="0" w:num="1">
            <w:col w:w="9857"/>
          </w:cols>
          <w:pgMar w:left="602" w:top="540" w:right="1440" w:bottom="1440" w:gutter="0" w:footer="0" w:header="0"/>
        </w:sectPr>
      </w:pPr>
    </w:p>
    <w:bookmarkStart w:id="204" w:name="page205"/>
    <w:bookmarkEnd w:id="204"/>
    <w:p>
      <w:pPr>
        <w:ind w:right="4099"/>
        <w:spacing w:after="0" w:line="247" w:lineRule="auto"/>
        <w:rPr>
          <w:sz w:val="20"/>
          <w:szCs w:val="20"/>
          <w:color w:val="auto"/>
        </w:rPr>
      </w:pPr>
      <w:r>
        <w:rPr>
          <w:rFonts w:ascii="Courier New" w:cs="Courier New" w:eastAsia="Courier New" w:hAnsi="Courier New"/>
          <w:sz w:val="13"/>
          <w:szCs w:val="13"/>
          <w:color w:val="auto"/>
        </w:rPr>
        <w:t>and its affiliates are engaged as of the Effective Date is national and very competitive and one in which few companies can successfully compete. Competition by an executive officer such as the Employee in that business after the Employment Term is terminated would severely injure the Company and its affiliates. Accordingly, for a period of one (1) year after the Employee's employment terminates for any reason whatsoever, except as otherwise stated herein below, the Employee agrees (a) not to become an employee, consultant, advisor, principal, partner or substantial shareholder of any firm or business that directly competes with the Company or its affiliates in their principal products and markets, and (b), on behalf of any such competitive firm or business, not to solicit any person or business that was at the time of such termination and remains a customer or prospective customer, a supplier or prospective supplier, or an employee of the Company or an affiliate. Notwithstanding any of the foregoing provisions to the contrary, the Employee shall not be subject to the restrictions set forth in this Section 13 under the following circumstances:</w:t>
      </w:r>
    </w:p>
    <w:p>
      <w:pPr>
        <w:spacing w:after="0" w:line="81" w:lineRule="exact"/>
        <w:rPr>
          <w:sz w:val="20"/>
          <w:szCs w:val="20"/>
          <w:color w:val="auto"/>
        </w:rPr>
      </w:pPr>
    </w:p>
    <w:p>
      <w:pPr>
        <w:ind w:left="760" w:right="4499" w:hanging="378"/>
        <w:spacing w:after="0" w:line="353" w:lineRule="auto"/>
        <w:tabs>
          <w:tab w:leader="none" w:pos="760" w:val="left"/>
        </w:tabs>
        <w:numPr>
          <w:ilvl w:val="0"/>
          <w:numId w:val="1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Employee's employment is terminated by the Company without Cause;</w:t>
      </w:r>
    </w:p>
    <w:p>
      <w:pPr>
        <w:spacing w:after="0" w:line="9" w:lineRule="exact"/>
        <w:rPr>
          <w:rFonts w:ascii="Courier New" w:cs="Courier New" w:eastAsia="Courier New" w:hAnsi="Courier New"/>
          <w:sz w:val="13"/>
          <w:szCs w:val="13"/>
          <w:color w:val="auto"/>
        </w:rPr>
      </w:pPr>
    </w:p>
    <w:p>
      <w:pPr>
        <w:ind w:left="760" w:right="4799" w:hanging="378"/>
        <w:spacing w:after="0" w:line="353" w:lineRule="auto"/>
        <w:tabs>
          <w:tab w:leader="none" w:pos="760" w:val="left"/>
        </w:tabs>
        <w:numPr>
          <w:ilvl w:val="0"/>
          <w:numId w:val="1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Employee's employment is terminated as a result of the Company's unwillingness to extend the Employment Term;</w:t>
      </w:r>
    </w:p>
    <w:p>
      <w:pPr>
        <w:spacing w:after="0" w:line="9" w:lineRule="exact"/>
        <w:rPr>
          <w:rFonts w:ascii="Courier New" w:cs="Courier New" w:eastAsia="Courier New" w:hAnsi="Courier New"/>
          <w:sz w:val="13"/>
          <w:szCs w:val="13"/>
          <w:color w:val="auto"/>
        </w:rPr>
      </w:pPr>
    </w:p>
    <w:p>
      <w:pPr>
        <w:ind w:left="760" w:hanging="378"/>
        <w:spacing w:after="0"/>
        <w:tabs>
          <w:tab w:leader="none" w:pos="760" w:val="left"/>
        </w:tabs>
        <w:numPr>
          <w:ilvl w:val="0"/>
          <w:numId w:val="1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 terminates employment for Good Reason; or</w:t>
      </w:r>
    </w:p>
    <w:p>
      <w:pPr>
        <w:spacing w:after="0" w:line="147" w:lineRule="exact"/>
        <w:rPr>
          <w:rFonts w:ascii="Courier New" w:cs="Courier New" w:eastAsia="Courier New" w:hAnsi="Courier New"/>
          <w:sz w:val="13"/>
          <w:szCs w:val="13"/>
          <w:color w:val="auto"/>
        </w:rPr>
      </w:pPr>
    </w:p>
    <w:p>
      <w:pPr>
        <w:ind w:left="760" w:right="4339" w:hanging="378"/>
        <w:spacing w:after="0" w:line="296" w:lineRule="auto"/>
        <w:tabs>
          <w:tab w:leader="none" w:pos="760" w:val="left"/>
        </w:tabs>
        <w:numPr>
          <w:ilvl w:val="0"/>
          <w:numId w:val="1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 terminates employment without Good Reason, any time during the one (1) year period immediately following a Change in Control.</w:t>
      </w:r>
    </w:p>
    <w:p>
      <w:pPr>
        <w:spacing w:after="0" w:line="45" w:lineRule="exact"/>
        <w:rPr>
          <w:sz w:val="20"/>
          <w:szCs w:val="20"/>
          <w:color w:val="auto"/>
        </w:rPr>
      </w:pPr>
    </w:p>
    <w:p>
      <w:pPr>
        <w:ind w:right="4099" w:firstLine="382"/>
        <w:spacing w:after="0" w:line="268" w:lineRule="auto"/>
        <w:tabs>
          <w:tab w:leader="none" w:pos="690" w:val="left"/>
        </w:tabs>
        <w:numPr>
          <w:ilvl w:val="0"/>
          <w:numId w:val="1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Return of Company Documents. Upon termination of the Employment Term, Employee shall return immediately to the Company all records and documents of or pertaining to the Company or its affiliates and shall not make or retain any copy or extract of any such record or document, and other property of the Company or its affiliates.</w:t>
      </w:r>
    </w:p>
    <w:p>
      <w:pPr>
        <w:spacing w:after="0" w:line="62" w:lineRule="exact"/>
        <w:rPr>
          <w:rFonts w:ascii="Courier New" w:cs="Courier New" w:eastAsia="Courier New" w:hAnsi="Courier New"/>
          <w:sz w:val="13"/>
          <w:szCs w:val="13"/>
          <w:color w:val="auto"/>
        </w:rPr>
      </w:pPr>
    </w:p>
    <w:p>
      <w:pPr>
        <w:ind w:right="4099" w:firstLine="382"/>
        <w:spacing w:after="0" w:line="252" w:lineRule="auto"/>
        <w:tabs>
          <w:tab w:leader="none" w:pos="690" w:val="left"/>
        </w:tabs>
        <w:numPr>
          <w:ilvl w:val="0"/>
          <w:numId w:val="1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Improvements and Inventions. Any and all improvements or inventions, which the Employee may make or participate in during the Employment Term, unless wholly unrelated to the business of the Company and its affiliates and produced not in the scope of Employee's employment hereunder, shall be the sole and exclusive property of the Company. The Employee will, whenever requested by the Company, execute and deliver any and all documents which the Company shall deem appropriate in order to apply for and obtain patents for improvements or inventions or in order to assign and convey to the Company the sole and exclusive right, title and interest in and to such improvements, inventions, patents or applications.</w:t>
      </w:r>
    </w:p>
    <w:p>
      <w:pPr>
        <w:spacing w:after="0" w:line="75" w:lineRule="exact"/>
        <w:rPr>
          <w:rFonts w:ascii="Courier New" w:cs="Courier New" w:eastAsia="Courier New" w:hAnsi="Courier New"/>
          <w:sz w:val="13"/>
          <w:szCs w:val="13"/>
          <w:color w:val="auto"/>
        </w:rPr>
      </w:pPr>
    </w:p>
    <w:p>
      <w:pPr>
        <w:ind w:right="4099" w:firstLine="382"/>
        <w:spacing w:after="0" w:line="274" w:lineRule="auto"/>
        <w:tabs>
          <w:tab w:leader="none" w:pos="690" w:val="left"/>
        </w:tabs>
        <w:numPr>
          <w:ilvl w:val="0"/>
          <w:numId w:val="1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Actions. The parties agree and acknowledge that the rights conveyed by this Agreement are of a unique and special nature and that the Company will not have an adequate remedy at law in the event of a failure by the Employee to abide by its terms and conditions nor will money damages adequately compensate for such injury. It is, therefore, agreed between and hereby acknowledged by the parties that, in the event of a breach by the Employee of any of his obligations contained in this Agreement, the Company shall have the right, among other rights, to damages sustained thereby and to obtain an injunction or decree of specific performance from any court of competent jurisdiction to restrain or compel the Employee to perform as agreed herein. The Employee hereby acknowledges that obligations under Sections 11, 13, 14, 15, 16,</w:t>
      </w:r>
    </w:p>
    <w:p>
      <w:pPr>
        <w:spacing w:after="0" w:line="210"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10239"/>
          </w:cols>
          <w:pgMar w:left="220" w:top="540" w:right="1440" w:bottom="1440" w:gutter="0" w:footer="0" w:header="0"/>
        </w:sectPr>
      </w:pPr>
    </w:p>
    <w:bookmarkStart w:id="205" w:name="page206"/>
    <w:bookmarkEnd w:id="205"/>
    <w:p>
      <w:pPr>
        <w:jc w:val="both"/>
        <w:ind w:right="4179"/>
        <w:spacing w:after="0" w:line="307" w:lineRule="auto"/>
        <w:rPr>
          <w:sz w:val="20"/>
          <w:szCs w:val="20"/>
          <w:color w:val="auto"/>
        </w:rPr>
      </w:pPr>
      <w:r>
        <w:rPr>
          <w:rFonts w:ascii="Courier New" w:cs="Courier New" w:eastAsia="Courier New" w:hAnsi="Courier New"/>
          <w:sz w:val="12"/>
          <w:szCs w:val="12"/>
          <w:color w:val="auto"/>
        </w:rPr>
        <w:t>17 and 18 shall survive the termination of his employment and he shall be bound by their terms at all times subsequent to the termination of his employment for the periods specified therein. Nothing herein contained shall in any way limit or exclude any other right granted by law or equity to the Company.</w:t>
      </w:r>
    </w:p>
    <w:p>
      <w:pPr>
        <w:spacing w:after="0" w:line="42" w:lineRule="exact"/>
        <w:rPr>
          <w:sz w:val="20"/>
          <w:szCs w:val="20"/>
          <w:color w:val="auto"/>
        </w:rPr>
      </w:pPr>
    </w:p>
    <w:p>
      <w:pPr>
        <w:ind w:right="4099" w:firstLine="382"/>
        <w:spacing w:after="0" w:line="259" w:lineRule="auto"/>
        <w:tabs>
          <w:tab w:leader="none" w:pos="690" w:val="left"/>
        </w:tabs>
        <w:numPr>
          <w:ilvl w:val="0"/>
          <w:numId w:val="1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Release. Notwithstanding any provision herein to the contrary, the Company will require that, prior to payment of any amount or provision of any benefit under Section 8 or payment of any Gross-Up Payment pursuant to Section 9 of this Agreement (other than due to the Employee's death), the Employee shall have executed a complete release of the Company and its affiliates and related parties in such form as is reasonably required by the Company, and any waiting periods contained in such release shall have expired.</w:t>
      </w:r>
    </w:p>
    <w:p>
      <w:pPr>
        <w:spacing w:after="0" w:line="67" w:lineRule="exact"/>
        <w:rPr>
          <w:rFonts w:ascii="Courier New" w:cs="Courier New" w:eastAsia="Courier New" w:hAnsi="Courier New"/>
          <w:sz w:val="13"/>
          <w:szCs w:val="13"/>
          <w:color w:val="auto"/>
        </w:rPr>
      </w:pPr>
    </w:p>
    <w:p>
      <w:pPr>
        <w:ind w:right="4099" w:firstLine="382"/>
        <w:spacing w:after="0" w:line="284" w:lineRule="auto"/>
        <w:tabs>
          <w:tab w:leader="none" w:pos="690" w:val="left"/>
        </w:tabs>
        <w:numPr>
          <w:ilvl w:val="0"/>
          <w:numId w:val="1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 Mitigation. The Company agrees that, if the Employee's employment hereunder is terminated during the Employment Term, the Employee is not required to seek other employment or to attempt in any way to reduce any amounts payable to the Employee by the Company hereunder. Further, the amount of any payment or benefit provided for hereunder (other than pursuant to Section 8(a)(v) hereof) shall not be reduced by any compensation earned by the Employee as the result of employment by another employer, by retirement benefits or otherwise.</w:t>
      </w:r>
    </w:p>
    <w:p>
      <w:pPr>
        <w:spacing w:after="0" w:line="53" w:lineRule="exact"/>
        <w:rPr>
          <w:rFonts w:ascii="Courier New" w:cs="Courier New" w:eastAsia="Courier New" w:hAnsi="Courier New"/>
          <w:sz w:val="12"/>
          <w:szCs w:val="12"/>
          <w:color w:val="auto"/>
        </w:rPr>
      </w:pPr>
    </w:p>
    <w:p>
      <w:pPr>
        <w:ind w:right="4339" w:firstLine="382"/>
        <w:spacing w:after="0" w:line="262" w:lineRule="auto"/>
        <w:tabs>
          <w:tab w:leader="none" w:pos="690" w:val="left"/>
        </w:tabs>
        <w:numPr>
          <w:ilvl w:val="0"/>
          <w:numId w:val="1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Entire Agreement and Amendment. This Agreement embodies the entire agreement and understanding of the parties hereto in respect of the subject matter of this Agreement, and supersedes and replaces all prior agreements, understandings and commitments with respect to such subject matter. This Agreement may be amended only by a written document signed by both parties to this Agreement.</w:t>
      </w:r>
    </w:p>
    <w:p>
      <w:pPr>
        <w:spacing w:after="0" w:line="67" w:lineRule="exact"/>
        <w:rPr>
          <w:rFonts w:ascii="Courier New" w:cs="Courier New" w:eastAsia="Courier New" w:hAnsi="Courier New"/>
          <w:sz w:val="13"/>
          <w:szCs w:val="13"/>
          <w:color w:val="auto"/>
        </w:rPr>
      </w:pPr>
    </w:p>
    <w:p>
      <w:pPr>
        <w:ind w:right="4099" w:firstLine="382"/>
        <w:spacing w:after="0" w:line="262" w:lineRule="auto"/>
        <w:tabs>
          <w:tab w:leader="none" w:pos="690" w:val="left"/>
        </w:tabs>
        <w:numPr>
          <w:ilvl w:val="0"/>
          <w:numId w:val="1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Governing Law. This Agreement shall be governed by, and construed in accordance with, the laws of the State of Florida, excluding any conflicts or choice of law rule or principle that might otherwise refer construction or interpretation of this Agreement to the substantive law of another jurisdiction. Any litigation pertaining to this Agreement shall be adjudicated in courts located in Duval County, Florida.</w:t>
      </w:r>
    </w:p>
    <w:p>
      <w:pPr>
        <w:spacing w:after="0" w:line="67" w:lineRule="exact"/>
        <w:rPr>
          <w:rFonts w:ascii="Courier New" w:cs="Courier New" w:eastAsia="Courier New" w:hAnsi="Courier New"/>
          <w:sz w:val="13"/>
          <w:szCs w:val="13"/>
          <w:color w:val="auto"/>
        </w:rPr>
      </w:pPr>
    </w:p>
    <w:p>
      <w:pPr>
        <w:ind w:right="4099" w:firstLine="382"/>
        <w:spacing w:after="0" w:line="252" w:lineRule="auto"/>
        <w:tabs>
          <w:tab w:leader="none" w:pos="690" w:val="left"/>
        </w:tabs>
        <w:numPr>
          <w:ilvl w:val="0"/>
          <w:numId w:val="1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Successors. In addition to any obligations imposed by law upon any successor to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"Company" shall mean the Company as herein before defined and any such successor that expressly assumes this Agreement or otherwise becomes bound by all the terms and provisions of this Agreement by operation of law.</w:t>
      </w:r>
    </w:p>
    <w:p>
      <w:pPr>
        <w:spacing w:after="0" w:line="75" w:lineRule="exact"/>
        <w:rPr>
          <w:rFonts w:ascii="Courier New" w:cs="Courier New" w:eastAsia="Courier New" w:hAnsi="Courier New"/>
          <w:sz w:val="13"/>
          <w:szCs w:val="13"/>
          <w:color w:val="auto"/>
        </w:rPr>
      </w:pPr>
    </w:p>
    <w:p>
      <w:pPr>
        <w:ind w:right="4259" w:firstLine="382"/>
        <w:spacing w:after="0" w:line="296" w:lineRule="auto"/>
        <w:tabs>
          <w:tab w:leader="none" w:pos="690" w:val="left"/>
        </w:tabs>
        <w:numPr>
          <w:ilvl w:val="0"/>
          <w:numId w:val="1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Counterparts. This Agreement may be executed in counterparts, each of which shall be deemed an original, but all of which together shall constitute one and the same instrument.</w:t>
      </w:r>
    </w:p>
    <w:p>
      <w:pPr>
        <w:spacing w:after="0" w:line="44" w:lineRule="exact"/>
        <w:rPr>
          <w:rFonts w:ascii="Courier New" w:cs="Courier New" w:eastAsia="Courier New" w:hAnsi="Courier New"/>
          <w:sz w:val="13"/>
          <w:szCs w:val="13"/>
          <w:color w:val="auto"/>
        </w:rPr>
      </w:pPr>
    </w:p>
    <w:p>
      <w:pPr>
        <w:ind w:right="4499" w:firstLine="382"/>
        <w:spacing w:after="0" w:line="296" w:lineRule="auto"/>
        <w:tabs>
          <w:tab w:leader="none" w:pos="690" w:val="left"/>
        </w:tabs>
        <w:numPr>
          <w:ilvl w:val="0"/>
          <w:numId w:val="1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Attorneys' Fees. If any party finds it necessary to employ legal counsel or to bring an action at law or other proceedings against the other party to interpret or enforce any of</w:t>
      </w:r>
    </w:p>
    <w:p>
      <w:pPr>
        <w:spacing w:after="0" w:line="192"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13</w:t>
      </w:r>
    </w:p>
    <w:p>
      <w:pPr>
        <w:sectPr>
          <w:pgSz w:w="11900" w:h="16838" w:orient="portrait"/>
          <w:cols w:equalWidth="0" w:num="1">
            <w:col w:w="10239"/>
          </w:cols>
          <w:pgMar w:left="220" w:top="540" w:right="1440" w:bottom="1440" w:gutter="0" w:footer="0" w:header="0"/>
        </w:sectPr>
      </w:pPr>
    </w:p>
    <w:bookmarkStart w:id="206" w:name="page207"/>
    <w:bookmarkEnd w:id="206"/>
    <w:p>
      <w:pPr>
        <w:ind w:left="1" w:right="4099"/>
        <w:spacing w:after="0" w:line="273" w:lineRule="auto"/>
        <w:rPr>
          <w:sz w:val="20"/>
          <w:szCs w:val="20"/>
          <w:color w:val="auto"/>
        </w:rPr>
      </w:pPr>
      <w:r>
        <w:rPr>
          <w:rFonts w:ascii="Courier New" w:cs="Courier New" w:eastAsia="Courier New" w:hAnsi="Courier New"/>
          <w:sz w:val="12"/>
          <w:szCs w:val="12"/>
          <w:color w:val="auto"/>
        </w:rPr>
        <w:t>the terms hereof, the party prevailing in any such action or other proceeding shall be paid by the other party its reasonable legal fees, court costs, litigation expenses, all as determined by the court and not a jury; provided, however, that on or after a Change in Control, if any party finds it necessary to employ legal counsel or to bring an action at law or other proceedings against the other party to interpret or enforce any of the terms hereof, the Company shall pay (on an ongoing basis) to the Employee to the fullest extent permitted by law, all legal fees, court costs and litigation expenses reasonably incurred by the Employee or others on his behalf (such amounts collectively referred to as the "Reimbursed Amounts"); provided, further, that the Employee shall reimburse the Company for the Reimbursed Amounts if it is determined that a majority of the Employee's claims or defenses were frivolous or without merit.</w:t>
      </w:r>
    </w:p>
    <w:p>
      <w:pPr>
        <w:spacing w:after="0" w:line="61" w:lineRule="exact"/>
        <w:rPr>
          <w:sz w:val="20"/>
          <w:szCs w:val="20"/>
          <w:color w:val="auto"/>
        </w:rPr>
      </w:pPr>
    </w:p>
    <w:p>
      <w:pPr>
        <w:ind w:left="1" w:right="4099" w:firstLine="382"/>
        <w:spacing w:after="0" w:line="271" w:lineRule="auto"/>
        <w:tabs>
          <w:tab w:leader="none" w:pos="691" w:val="left"/>
        </w:tabs>
        <w:numPr>
          <w:ilvl w:val="1"/>
          <w:numId w:val="1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Severability.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the Employee in this Agreement shall each be construed as an agreement independent of any other provision in this Agreement, and the existence of any claim or cause of action of the Employee against the Company, whether predicated on this Agreement or otherwise, shall not constitute a defense to the enforcement by the Company of the covenants in this Agreement.</w:t>
      </w:r>
    </w:p>
    <w:p>
      <w:pPr>
        <w:spacing w:after="0" w:line="62" w:lineRule="exact"/>
        <w:rPr>
          <w:rFonts w:ascii="Courier New" w:cs="Courier New" w:eastAsia="Courier New" w:hAnsi="Courier New"/>
          <w:sz w:val="12"/>
          <w:szCs w:val="12"/>
          <w:color w:val="auto"/>
        </w:rPr>
      </w:pPr>
    </w:p>
    <w:p>
      <w:pPr>
        <w:ind w:left="1" w:right="4099" w:firstLine="382"/>
        <w:spacing w:after="0" w:line="281" w:lineRule="auto"/>
        <w:tabs>
          <w:tab w:leader="none" w:pos="691" w:val="left"/>
        </w:tabs>
        <w:numPr>
          <w:ilvl w:val="1"/>
          <w:numId w:val="1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Notices. Any notice, request, or instruction to be given hereunder shall be in writing and shall be deemed given when personally delivered or three</w:t>
      </w:r>
    </w:p>
    <w:p>
      <w:pPr>
        <w:jc w:val="both"/>
        <w:ind w:left="1" w:right="4099" w:hanging="1"/>
        <w:spacing w:after="0" w:line="277" w:lineRule="auto"/>
        <w:tabs>
          <w:tab w:leader="none" w:pos="308" w:val="left"/>
        </w:tabs>
        <w:numPr>
          <w:ilvl w:val="0"/>
          <w:numId w:val="18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days after being sent by United States Certified Mail, postage prepaid, with Return Receipt Requested, to the parties at their respective addresses set forth below:</w:t>
      </w:r>
    </w:p>
    <w:p>
      <w:pPr>
        <w:spacing w:after="0" w:line="56" w:lineRule="exact"/>
        <w:rPr>
          <w:sz w:val="20"/>
          <w:szCs w:val="20"/>
          <w:color w:val="auto"/>
        </w:rPr>
      </w:pPr>
    </w:p>
    <w:p>
      <w:pPr>
        <w:ind w:left="381"/>
        <w:spacing w:after="0"/>
        <w:rPr>
          <w:sz w:val="20"/>
          <w:szCs w:val="20"/>
          <w:color w:val="auto"/>
        </w:rPr>
      </w:pPr>
      <w:r>
        <w:rPr>
          <w:rFonts w:ascii="Courier New" w:cs="Courier New" w:eastAsia="Courier New" w:hAnsi="Courier New"/>
          <w:sz w:val="13"/>
          <w:szCs w:val="13"/>
          <w:color w:val="auto"/>
        </w:rPr>
        <w:t>To the Company:</w:t>
      </w:r>
    </w:p>
    <w:p>
      <w:pPr>
        <w:spacing w:after="0" w:line="148" w:lineRule="exact"/>
        <w:rPr>
          <w:sz w:val="20"/>
          <w:szCs w:val="20"/>
          <w:color w:val="auto"/>
        </w:rPr>
      </w:pPr>
    </w:p>
    <w:p>
      <w:pPr>
        <w:ind w:left="761"/>
        <w:spacing w:after="0"/>
        <w:rPr>
          <w:sz w:val="20"/>
          <w:szCs w:val="20"/>
          <w:color w:val="auto"/>
        </w:rPr>
      </w:pPr>
      <w:r>
        <w:rPr>
          <w:rFonts w:ascii="Courier New" w:cs="Courier New" w:eastAsia="Courier New" w:hAnsi="Courier New"/>
          <w:sz w:val="13"/>
          <w:szCs w:val="13"/>
          <w:color w:val="auto"/>
        </w:rPr>
        <w:t>Fidelity National Title Group, Inc.</w:t>
      </w:r>
    </w:p>
    <w:p>
      <w:pPr>
        <w:spacing w:after="0" w:line="24" w:lineRule="exact"/>
        <w:rPr>
          <w:sz w:val="20"/>
          <w:szCs w:val="20"/>
          <w:color w:val="auto"/>
        </w:rPr>
      </w:pPr>
    </w:p>
    <w:p>
      <w:pPr>
        <w:ind w:left="761"/>
        <w:spacing w:after="0"/>
        <w:rPr>
          <w:sz w:val="20"/>
          <w:szCs w:val="20"/>
          <w:color w:val="auto"/>
        </w:rPr>
      </w:pPr>
      <w:r>
        <w:rPr>
          <w:rFonts w:ascii="Courier New" w:cs="Courier New" w:eastAsia="Courier New" w:hAnsi="Courier New"/>
          <w:sz w:val="13"/>
          <w:szCs w:val="13"/>
          <w:color w:val="auto"/>
        </w:rPr>
        <w:t>601 Riverside Avenue</w:t>
      </w:r>
    </w:p>
    <w:p>
      <w:pPr>
        <w:ind w:left="761"/>
        <w:spacing w:after="0"/>
        <w:rPr>
          <w:sz w:val="20"/>
          <w:szCs w:val="20"/>
          <w:color w:val="auto"/>
        </w:rPr>
      </w:pPr>
      <w:r>
        <w:rPr>
          <w:rFonts w:ascii="Courier New" w:cs="Courier New" w:eastAsia="Courier New" w:hAnsi="Courier New"/>
          <w:sz w:val="13"/>
          <w:szCs w:val="13"/>
          <w:color w:val="auto"/>
        </w:rPr>
        <w:t>Jacksonville, FL 32204</w:t>
      </w:r>
    </w:p>
    <w:p>
      <w:pPr>
        <w:ind w:left="761"/>
        <w:spacing w:after="0"/>
        <w:rPr>
          <w:sz w:val="20"/>
          <w:szCs w:val="20"/>
          <w:color w:val="auto"/>
        </w:rPr>
      </w:pPr>
      <w:r>
        <w:rPr>
          <w:rFonts w:ascii="Courier New" w:cs="Courier New" w:eastAsia="Courier New" w:hAnsi="Courier New"/>
          <w:sz w:val="13"/>
          <w:szCs w:val="13"/>
          <w:color w:val="auto"/>
        </w:rPr>
        <w:t>Attention: General Counsel</w:t>
      </w:r>
    </w:p>
    <w:p>
      <w:pPr>
        <w:spacing w:after="0" w:line="124" w:lineRule="exact"/>
        <w:rPr>
          <w:sz w:val="20"/>
          <w:szCs w:val="20"/>
          <w:color w:val="auto"/>
        </w:rPr>
      </w:pPr>
    </w:p>
    <w:p>
      <w:pPr>
        <w:ind w:left="381"/>
        <w:spacing w:after="0"/>
        <w:rPr>
          <w:sz w:val="20"/>
          <w:szCs w:val="20"/>
          <w:color w:val="auto"/>
        </w:rPr>
      </w:pPr>
      <w:r>
        <w:rPr>
          <w:rFonts w:ascii="Courier New" w:cs="Courier New" w:eastAsia="Courier New" w:hAnsi="Courier New"/>
          <w:sz w:val="13"/>
          <w:szCs w:val="13"/>
          <w:color w:val="auto"/>
        </w:rPr>
        <w:t>To the Employee:</w:t>
      </w:r>
    </w:p>
    <w:p>
      <w:pPr>
        <w:spacing w:after="0" w:line="148" w:lineRule="exact"/>
        <w:rPr>
          <w:sz w:val="20"/>
          <w:szCs w:val="20"/>
          <w:color w:val="auto"/>
        </w:rPr>
      </w:pPr>
    </w:p>
    <w:p>
      <w:pPr>
        <w:ind w:left="761"/>
        <w:spacing w:after="0"/>
        <w:rPr>
          <w:sz w:val="20"/>
          <w:szCs w:val="20"/>
          <w:color w:val="auto"/>
        </w:rPr>
      </w:pPr>
      <w:r>
        <w:rPr>
          <w:rFonts w:ascii="Courier New" w:cs="Courier New" w:eastAsia="Courier New" w:hAnsi="Courier New"/>
          <w:sz w:val="13"/>
          <w:szCs w:val="13"/>
          <w:color w:val="auto"/>
        </w:rPr>
        <w:t>Alan L. Stinson</w:t>
      </w:r>
    </w:p>
    <w:p>
      <w:pPr>
        <w:spacing w:after="0" w:line="24" w:lineRule="exact"/>
        <w:rPr>
          <w:sz w:val="20"/>
          <w:szCs w:val="20"/>
          <w:color w:val="auto"/>
        </w:rPr>
      </w:pPr>
    </w:p>
    <w:p>
      <w:pPr>
        <w:ind w:left="761"/>
        <w:spacing w:after="0"/>
        <w:rPr>
          <w:sz w:val="20"/>
          <w:szCs w:val="20"/>
          <w:color w:val="auto"/>
        </w:rPr>
      </w:pPr>
      <w:r>
        <w:rPr>
          <w:rFonts w:ascii="Courier New" w:cs="Courier New" w:eastAsia="Courier New" w:hAnsi="Courier New"/>
          <w:sz w:val="13"/>
          <w:szCs w:val="13"/>
          <w:color w:val="auto"/>
        </w:rPr>
        <w:t>c/o Fidelity National Title Group, Inc.</w:t>
      </w:r>
    </w:p>
    <w:p>
      <w:pPr>
        <w:ind w:left="761"/>
        <w:spacing w:after="0"/>
        <w:rPr>
          <w:sz w:val="20"/>
          <w:szCs w:val="20"/>
          <w:color w:val="auto"/>
        </w:rPr>
      </w:pPr>
      <w:r>
        <w:rPr>
          <w:rFonts w:ascii="Courier New" w:cs="Courier New" w:eastAsia="Courier New" w:hAnsi="Courier New"/>
          <w:sz w:val="13"/>
          <w:szCs w:val="13"/>
          <w:color w:val="auto"/>
        </w:rPr>
        <w:t>601 Riverside Avenue</w:t>
      </w:r>
    </w:p>
    <w:p>
      <w:pPr>
        <w:ind w:left="761"/>
        <w:spacing w:after="0"/>
        <w:rPr>
          <w:sz w:val="20"/>
          <w:szCs w:val="20"/>
          <w:color w:val="auto"/>
        </w:rPr>
      </w:pPr>
      <w:r>
        <w:rPr>
          <w:rFonts w:ascii="Courier New" w:cs="Courier New" w:eastAsia="Courier New" w:hAnsi="Courier New"/>
          <w:sz w:val="13"/>
          <w:szCs w:val="13"/>
          <w:color w:val="auto"/>
        </w:rPr>
        <w:t>Jacksonville, FL 32204</w:t>
      </w:r>
    </w:p>
    <w:p>
      <w:pPr>
        <w:spacing w:after="0" w:line="124" w:lineRule="exact"/>
        <w:rPr>
          <w:sz w:val="20"/>
          <w:szCs w:val="20"/>
          <w:color w:val="auto"/>
        </w:rPr>
      </w:pPr>
    </w:p>
    <w:p>
      <w:pPr>
        <w:ind w:left="1" w:right="4419" w:firstLine="382"/>
        <w:spacing w:after="0" w:line="296" w:lineRule="auto"/>
        <w:tabs>
          <w:tab w:leader="none" w:pos="691" w:val="left"/>
        </w:tabs>
        <w:numPr>
          <w:ilvl w:val="0"/>
          <w:numId w:val="183"/>
        </w:numPr>
        <w:rPr>
          <w:rFonts w:ascii="Courier New" w:cs="Courier New" w:eastAsia="Courier New" w:hAnsi="Courier New"/>
          <w:sz w:val="13"/>
          <w:szCs w:val="13"/>
          <w:color w:val="auto"/>
        </w:rPr>
      </w:pPr>
      <w:r>
        <w:rPr>
          <w:rFonts w:ascii="Courier New" w:cs="Courier New" w:eastAsia="Courier New" w:hAnsi="Courier New"/>
          <w:sz w:val="13"/>
          <w:szCs w:val="13"/>
          <w:color w:val="auto"/>
        </w:rPr>
        <w:t>Waiver of Breach. The waiver by any party of any provisions of this Agreement shall not operate or be construed as a waiver of any prior or subsequent breach by the other party.</w:t>
      </w:r>
    </w:p>
    <w:p>
      <w:pPr>
        <w:spacing w:after="0" w:line="192" w:lineRule="exact"/>
        <w:rPr>
          <w:sz w:val="20"/>
          <w:szCs w:val="20"/>
          <w:color w:val="auto"/>
        </w:rPr>
      </w:pPr>
    </w:p>
    <w:p>
      <w:pPr>
        <w:ind w:left="2981"/>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10241"/>
          </w:cols>
          <w:pgMar w:left="219" w:top="540" w:right="1440" w:bottom="1440" w:gutter="0" w:footer="0" w:header="0"/>
        </w:sectPr>
      </w:pPr>
    </w:p>
    <w:bookmarkStart w:id="207" w:name="page208"/>
    <w:bookmarkEnd w:id="207"/>
    <w:p>
      <w:pPr>
        <w:ind w:right="4099" w:firstLine="382"/>
        <w:spacing w:after="0" w:line="331" w:lineRule="auto"/>
        <w:tabs>
          <w:tab w:leader="none" w:pos="690" w:val="left"/>
        </w:tabs>
        <w:numPr>
          <w:ilvl w:val="0"/>
          <w:numId w:val="1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Tax Withholding. The Company or an affiliate may deduct from all compensation and benefits payable under this Agreement any taxes or withholdings the Company is required to deduct pursuant to state, federal or local laws.</w:t>
      </w:r>
    </w:p>
    <w:p>
      <w:pPr>
        <w:spacing w:after="0" w:line="27" w:lineRule="exact"/>
        <w:rPr>
          <w:rFonts w:ascii="Courier New" w:cs="Courier New" w:eastAsia="Courier New" w:hAnsi="Courier New"/>
          <w:sz w:val="12"/>
          <w:szCs w:val="12"/>
          <w:color w:val="auto"/>
        </w:rPr>
      </w:pPr>
    </w:p>
    <w:p>
      <w:pPr>
        <w:ind w:right="4099" w:firstLine="382"/>
        <w:spacing w:after="0" w:line="280" w:lineRule="auto"/>
        <w:tabs>
          <w:tab w:leader="none" w:pos="690" w:val="left"/>
        </w:tabs>
        <w:numPr>
          <w:ilvl w:val="0"/>
          <w:numId w:val="1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Code Section 409A. To the extent applicable, it is intended that this Agreement and any payment made hereunder shall comply with the requirements of Section 409A of the Code, and any related regulations or other guidance promulgated with respect to such Section by the U.S. Department of the Treasury or the Internal Revenue Service ("Code Section 409A"). Any provision that would cause the Agreement or any payment hereof to fail to satisfy Code Section 409A shall have no force or effect until amended to comply with Code Section 409A, which amendment may be retroactive to the extent permitted by Code Section 409A.</w:t>
      </w:r>
    </w:p>
    <w:p>
      <w:pPr>
        <w:spacing w:after="0" w:line="58" w:lineRule="exact"/>
        <w:rPr>
          <w:sz w:val="20"/>
          <w:szCs w:val="20"/>
          <w:color w:val="auto"/>
        </w:rPr>
      </w:pPr>
    </w:p>
    <w:p>
      <w:pPr>
        <w:ind w:right="4099" w:firstLine="383"/>
        <w:spacing w:after="0" w:line="353" w:lineRule="auto"/>
        <w:rPr>
          <w:sz w:val="20"/>
          <w:szCs w:val="20"/>
          <w:color w:val="auto"/>
        </w:rPr>
      </w:pPr>
      <w:r>
        <w:rPr>
          <w:rFonts w:ascii="Courier New" w:cs="Courier New" w:eastAsia="Courier New" w:hAnsi="Courier New"/>
          <w:sz w:val="13"/>
          <w:szCs w:val="13"/>
          <w:color w:val="auto"/>
        </w:rPr>
        <w:t>IN WITNESS WHEREOF the parties have executed this Agreement to be effective as of the date first set forth above.</w:t>
      </w:r>
    </w:p>
    <w:p>
      <w:pPr>
        <w:spacing w:after="0" w:line="9"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FIDELITY NATIONAL TITLE GROUP, INC.</w:t>
      </w:r>
    </w:p>
    <w:p>
      <w:pPr>
        <w:spacing w:after="0" w:line="295"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By: /s/ William P. Foley II</w:t>
      </w:r>
    </w:p>
    <w:p>
      <w:pPr>
        <w:spacing w:after="0" w:line="24" w:lineRule="exact"/>
        <w:rPr>
          <w:sz w:val="20"/>
          <w:szCs w:val="20"/>
          <w:color w:val="auto"/>
        </w:rPr>
      </w:pPr>
    </w:p>
    <w:p>
      <w:pPr>
        <w:ind w:left="3380"/>
        <w:spacing w:after="0"/>
        <w:rPr>
          <w:sz w:val="20"/>
          <w:szCs w:val="20"/>
          <w:color w:val="auto"/>
        </w:rPr>
      </w:pPr>
      <w:r>
        <w:rPr>
          <w:rFonts w:ascii="Courier New" w:cs="Courier New" w:eastAsia="Courier New" w:hAnsi="Courier New"/>
          <w:sz w:val="12"/>
          <w:szCs w:val="12"/>
          <w:color w:val="auto"/>
        </w:rPr>
        <w:t>------------------------------------</w:t>
      </w:r>
    </w:p>
    <w:p>
      <w:pPr>
        <w:spacing w:after="0" w:line="12"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Its: Chief Executive Officer</w:t>
      </w:r>
    </w:p>
    <w:p>
      <w:pPr>
        <w:spacing w:after="0" w:line="271"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ALAN L. STINSON</w:t>
      </w:r>
    </w:p>
    <w:p>
      <w:pPr>
        <w:spacing w:after="0" w:line="295"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/s/ Alan L. Stinson</w:t>
      </w: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2"/>
          <w:szCs w:val="12"/>
          <w:color w:val="auto"/>
        </w:rPr>
        <w:t>----------------------------------------</w:t>
      </w:r>
    </w:p>
    <w:p>
      <w:pPr>
        <w:spacing w:after="0" w:line="282" w:lineRule="exact"/>
        <w:rPr>
          <w:sz w:val="20"/>
          <w:szCs w:val="20"/>
          <w:color w:val="auto"/>
        </w:rPr>
      </w:pPr>
    </w:p>
    <w:p>
      <w:pPr>
        <w:ind w:left="2680"/>
        <w:spacing w:after="0"/>
        <w:rPr>
          <w:sz w:val="20"/>
          <w:szCs w:val="20"/>
          <w:color w:val="auto"/>
        </w:rPr>
      </w:pPr>
      <w:r>
        <w:rPr>
          <w:rFonts w:ascii="Courier New" w:cs="Courier New" w:eastAsia="Courier New" w:hAnsi="Courier New"/>
          <w:sz w:val="13"/>
          <w:szCs w:val="13"/>
          <w:color w:val="auto"/>
        </w:rPr>
        <w:t>15</w:t>
      </w:r>
    </w:p>
    <w:p>
      <w:pPr>
        <w:sectPr>
          <w:pgSz w:w="11900" w:h="16838" w:orient="portrait"/>
          <w:cols w:equalWidth="0" w:num="1">
            <w:col w:w="10239"/>
          </w:cols>
          <w:pgMar w:left="220" w:top="540" w:right="1440" w:bottom="1440" w:gutter="0" w:footer="0" w:header="0"/>
        </w:sectPr>
      </w:pPr>
    </w:p>
    <w:bookmarkStart w:id="208" w:name="page209"/>
    <w:bookmarkEnd w:id="208"/>
    <w:p>
      <w:pPr>
        <w:jc w:val="right"/>
        <w:ind w:right="4099"/>
        <w:spacing w:after="0"/>
        <w:rPr>
          <w:sz w:val="20"/>
          <w:szCs w:val="20"/>
          <w:color w:val="auto"/>
        </w:rPr>
      </w:pPr>
      <w:r>
        <w:rPr>
          <w:rFonts w:ascii="Courier New" w:cs="Courier New" w:eastAsia="Courier New" w:hAnsi="Courier New"/>
          <w:sz w:val="13"/>
          <w:szCs w:val="13"/>
          <w:color w:val="auto"/>
        </w:rPr>
        <w:t>EXHIBIT 10.14</w:t>
      </w:r>
    </w:p>
    <w:p>
      <w:pPr>
        <w:spacing w:after="0" w:line="295" w:lineRule="exact"/>
        <w:rPr>
          <w:sz w:val="20"/>
          <w:szCs w:val="20"/>
          <w:color w:val="auto"/>
        </w:rPr>
      </w:pPr>
    </w:p>
    <w:p>
      <w:pPr>
        <w:ind w:left="2300"/>
        <w:spacing w:after="0"/>
        <w:rPr>
          <w:sz w:val="20"/>
          <w:szCs w:val="20"/>
          <w:color w:val="auto"/>
        </w:rPr>
      </w:pPr>
      <w:r>
        <w:rPr>
          <w:rFonts w:ascii="Courier New" w:cs="Courier New" w:eastAsia="Courier New" w:hAnsi="Courier New"/>
          <w:sz w:val="13"/>
          <w:szCs w:val="13"/>
          <w:color w:val="auto"/>
        </w:rPr>
        <w:t>EMPLOYMENT AGREEMENT</w:t>
      </w:r>
    </w:p>
    <w:p>
      <w:pPr>
        <w:spacing w:after="0" w:line="148" w:lineRule="exact"/>
        <w:rPr>
          <w:sz w:val="20"/>
          <w:szCs w:val="20"/>
          <w:color w:val="auto"/>
        </w:rPr>
      </w:pPr>
    </w:p>
    <w:p>
      <w:pPr>
        <w:ind w:right="4099" w:firstLine="383"/>
        <w:spacing w:after="0" w:line="268" w:lineRule="auto"/>
        <w:rPr>
          <w:sz w:val="20"/>
          <w:szCs w:val="20"/>
          <w:color w:val="auto"/>
        </w:rPr>
      </w:pPr>
      <w:r>
        <w:rPr>
          <w:rFonts w:ascii="Courier New" w:cs="Courier New" w:eastAsia="Courier New" w:hAnsi="Courier New"/>
          <w:sz w:val="13"/>
          <w:szCs w:val="13"/>
          <w:color w:val="auto"/>
        </w:rPr>
        <w:t>THIS EMPLOYMENT AGREEMENT (the "Agreement") is effective as of October 24, 2006 (the "Effective Date"), by and between FIDELITY NATIONAL TITLE GROUP, INC., a Delaware corporation (the "Company"), and RAYMOND R. QUIRK (the "Employee"). In consideration of the mutual covenants and agreements set forth herein, the parties agree as follows:</w:t>
      </w:r>
    </w:p>
    <w:p>
      <w:pPr>
        <w:spacing w:after="0" w:line="62" w:lineRule="exact"/>
        <w:rPr>
          <w:sz w:val="20"/>
          <w:szCs w:val="20"/>
          <w:color w:val="auto"/>
        </w:rPr>
      </w:pPr>
    </w:p>
    <w:p>
      <w:pPr>
        <w:ind w:right="4099" w:firstLine="382"/>
        <w:spacing w:after="0" w:line="259" w:lineRule="auto"/>
        <w:tabs>
          <w:tab w:leader="none" w:pos="613" w:val="left"/>
        </w:tabs>
        <w:numPr>
          <w:ilvl w:val="0"/>
          <w:numId w:val="185"/>
        </w:numPr>
        <w:rPr>
          <w:rFonts w:ascii="Courier New" w:cs="Courier New" w:eastAsia="Courier New" w:hAnsi="Courier New"/>
          <w:sz w:val="13"/>
          <w:szCs w:val="13"/>
          <w:color w:val="auto"/>
        </w:rPr>
      </w:pPr>
      <w:r>
        <w:rPr>
          <w:rFonts w:ascii="Courier New" w:cs="Courier New" w:eastAsia="Courier New" w:hAnsi="Courier New"/>
          <w:sz w:val="13"/>
          <w:szCs w:val="13"/>
          <w:color w:val="auto"/>
        </w:rPr>
        <w:t>Employment and Duties. Subject to the terms and conditions of this Agreement, the Company employs the Employee to serve in an executive capacity as Co-Chief Operating Officer. Employee accepts such employment and agrees to undertake and discharge the duties, functions and responsibilities commensurate with the aforesaid position and such other duties and responsibilities as may be prescribed from time to time by the Chief Executive Officer or the Board of Directors of the Company (the "Board").</w:t>
      </w:r>
    </w:p>
    <w:p>
      <w:pPr>
        <w:spacing w:after="0" w:line="67" w:lineRule="exact"/>
        <w:rPr>
          <w:rFonts w:ascii="Courier New" w:cs="Courier New" w:eastAsia="Courier New" w:hAnsi="Courier New"/>
          <w:sz w:val="13"/>
          <w:szCs w:val="13"/>
          <w:color w:val="auto"/>
        </w:rPr>
      </w:pPr>
    </w:p>
    <w:p>
      <w:pPr>
        <w:ind w:right="4099" w:firstLine="382"/>
        <w:spacing w:after="0" w:line="249" w:lineRule="auto"/>
        <w:tabs>
          <w:tab w:leader="none" w:pos="613" w:val="left"/>
        </w:tabs>
        <w:numPr>
          <w:ilvl w:val="0"/>
          <w:numId w:val="18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 The term of this Agreement shall commence on the Effective Date and shall continue for a period of three years ending on the third anniversary of the Effective Date or, if later, ending on the last day of any extension made pursuant to the next sentence, subject to prior termination as set forth in Section 7 (such term, including any extensions pursuant to the next sentence, the "Employment Term"). The Employment Term shall be extended automatically for one (1) additional year on the first anniversary of the Effective Date and for an additional year each anniversary thereafter unless and until either party gives written notice to the other not to extend the Employment Term before such extension would be effectuated. Notwithstanding any termination of the Employment Term or the Employee's employment, the Employee and the Company agree that Sections 7 through 9 shall remain in effect until all parties' obligations and benefits are satisfied thereunder.</w:t>
      </w:r>
    </w:p>
    <w:p>
      <w:pPr>
        <w:spacing w:after="0" w:line="77" w:lineRule="exact"/>
        <w:rPr>
          <w:rFonts w:ascii="Courier New" w:cs="Courier New" w:eastAsia="Courier New" w:hAnsi="Courier New"/>
          <w:sz w:val="13"/>
          <w:szCs w:val="13"/>
          <w:color w:val="auto"/>
        </w:rPr>
      </w:pPr>
    </w:p>
    <w:p>
      <w:pPr>
        <w:ind w:right="4099" w:firstLine="382"/>
        <w:spacing w:after="0" w:line="256" w:lineRule="auto"/>
        <w:tabs>
          <w:tab w:leader="none" w:pos="613" w:val="left"/>
        </w:tabs>
        <w:numPr>
          <w:ilvl w:val="0"/>
          <w:numId w:val="185"/>
        </w:numPr>
        <w:rPr>
          <w:rFonts w:ascii="Courier New" w:cs="Courier New" w:eastAsia="Courier New" w:hAnsi="Courier New"/>
          <w:sz w:val="13"/>
          <w:szCs w:val="13"/>
          <w:color w:val="auto"/>
        </w:rPr>
      </w:pPr>
      <w:r>
        <w:rPr>
          <w:rFonts w:ascii="Courier New" w:cs="Courier New" w:eastAsia="Courier New" w:hAnsi="Courier New"/>
          <w:sz w:val="13"/>
          <w:szCs w:val="13"/>
          <w:color w:val="auto"/>
        </w:rPr>
        <w:t>Salary. During the Employment Term, the Company shall pay the Employee an annual base salary, before deducting all applicable withholdings, of $700,000 per year, payable at the time and in the manner dictated by the Company's standard payroll policies. Such minimum annual base salary may be periodically reviewed and increased at the discretion of the Compensation Committee of the Board (the "Committee") to reflect, among other matters, cost of living increases and performance results (such annual base salary, including any increases pursuant to this Section 3, the "Annual Base Salary").</w:t>
      </w:r>
    </w:p>
    <w:p>
      <w:pPr>
        <w:spacing w:after="0" w:line="70" w:lineRule="exact"/>
        <w:rPr>
          <w:rFonts w:ascii="Courier New" w:cs="Courier New" w:eastAsia="Courier New" w:hAnsi="Courier New"/>
          <w:sz w:val="13"/>
          <w:szCs w:val="13"/>
          <w:color w:val="auto"/>
        </w:rPr>
      </w:pPr>
    </w:p>
    <w:p>
      <w:pPr>
        <w:ind w:right="4259" w:firstLine="382"/>
        <w:spacing w:after="0" w:line="268" w:lineRule="auto"/>
        <w:tabs>
          <w:tab w:leader="none" w:pos="613" w:val="left"/>
        </w:tabs>
        <w:numPr>
          <w:ilvl w:val="0"/>
          <w:numId w:val="185"/>
        </w:numPr>
        <w:rPr>
          <w:rFonts w:ascii="Courier New" w:cs="Courier New" w:eastAsia="Courier New" w:hAnsi="Courier New"/>
          <w:sz w:val="13"/>
          <w:szCs w:val="13"/>
          <w:color w:val="auto"/>
        </w:rPr>
      </w:pPr>
      <w:r>
        <w:rPr>
          <w:rFonts w:ascii="Courier New" w:cs="Courier New" w:eastAsia="Courier New" w:hAnsi="Courier New"/>
          <w:sz w:val="13"/>
          <w:szCs w:val="13"/>
          <w:color w:val="auto"/>
        </w:rPr>
        <w:t>Other Compensation and Fringe Benefits. In addition to any executive bonus, pension, deferred compensation and long-term incentive plans which the Company or an affiliate of the Company may from time to time make available to the Employee, the Employee shall be entitled to the following during the Employment Term:</w:t>
      </w:r>
    </w:p>
    <w:p>
      <w:pPr>
        <w:spacing w:after="0" w:line="62" w:lineRule="exact"/>
        <w:rPr>
          <w:sz w:val="20"/>
          <w:szCs w:val="20"/>
          <w:color w:val="auto"/>
        </w:rPr>
      </w:pPr>
    </w:p>
    <w:p>
      <w:pPr>
        <w:ind w:left="760" w:right="4559" w:hanging="378"/>
        <w:spacing w:after="0" w:line="353" w:lineRule="auto"/>
        <w:tabs>
          <w:tab w:leader="none" w:pos="760" w:val="left"/>
        </w:tabs>
        <w:numPr>
          <w:ilvl w:val="0"/>
          <w:numId w:val="18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standard Company benefits enjoyed by the Company's other top executives as a group;</w:t>
      </w:r>
    </w:p>
    <w:p>
      <w:pPr>
        <w:spacing w:after="0" w:line="9" w:lineRule="exact"/>
        <w:rPr>
          <w:rFonts w:ascii="Courier New" w:cs="Courier New" w:eastAsia="Courier New" w:hAnsi="Courier New"/>
          <w:sz w:val="13"/>
          <w:szCs w:val="13"/>
          <w:color w:val="auto"/>
        </w:rPr>
      </w:pPr>
    </w:p>
    <w:p>
      <w:pPr>
        <w:ind w:left="760" w:right="4179" w:hanging="378"/>
        <w:spacing w:after="0" w:line="277" w:lineRule="auto"/>
        <w:tabs>
          <w:tab w:leader="none" w:pos="760" w:val="left"/>
        </w:tabs>
        <w:numPr>
          <w:ilvl w:val="0"/>
          <w:numId w:val="186"/>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payment by the Company of the Employee's initiation and membership dues in all social and/or recreational clubs as deemed necessary and appropriate by the Company to maintain various business relationships on behalf of the Company;</w:t>
      </w:r>
    </w:p>
    <w:p>
      <w:pPr>
        <w:sectPr>
          <w:pgSz w:w="11900" w:h="16838" w:orient="portrait"/>
          <w:cols w:equalWidth="0" w:num="1">
            <w:col w:w="10239"/>
          </w:cols>
          <w:pgMar w:left="220" w:top="265" w:right="1440" w:bottom="1440" w:gutter="0" w:footer="0" w:header="0"/>
        </w:sectPr>
      </w:pPr>
    </w:p>
    <w:bookmarkStart w:id="209" w:name="page210"/>
    <w:bookmarkEnd w:id="209"/>
    <w:p>
      <w:pPr>
        <w:ind w:left="378" w:right="4179"/>
        <w:spacing w:after="0" w:line="390" w:lineRule="auto"/>
        <w:rPr>
          <w:sz w:val="20"/>
          <w:szCs w:val="20"/>
          <w:color w:val="auto"/>
        </w:rPr>
      </w:pPr>
      <w:r>
        <w:rPr>
          <w:rFonts w:ascii="Courier New" w:cs="Courier New" w:eastAsia="Courier New" w:hAnsi="Courier New"/>
          <w:sz w:val="12"/>
          <w:szCs w:val="12"/>
          <w:color w:val="auto"/>
        </w:rPr>
        <w:t>provided, however, that the Company shall not be obligated to pay for any of the Employee's personal purchases and expenses at such clubs;</w:t>
      </w:r>
    </w:p>
    <w:p>
      <w:pPr>
        <w:spacing w:after="0" w:line="1" w:lineRule="exact"/>
        <w:rPr>
          <w:sz w:val="20"/>
          <w:szCs w:val="20"/>
          <w:color w:val="auto"/>
        </w:rPr>
      </w:pPr>
    </w:p>
    <w:p>
      <w:pPr>
        <w:ind w:left="378" w:right="4099" w:hanging="378"/>
        <w:spacing w:after="0" w:line="296" w:lineRule="auto"/>
        <w:tabs>
          <w:tab w:leader="none" w:pos="378" w:val="left"/>
        </w:tabs>
        <w:numPr>
          <w:ilvl w:val="0"/>
          <w:numId w:val="187"/>
        </w:numPr>
        <w:rPr>
          <w:rFonts w:ascii="Courier New" w:cs="Courier New" w:eastAsia="Courier New" w:hAnsi="Courier New"/>
          <w:sz w:val="13"/>
          <w:szCs w:val="13"/>
          <w:color w:val="auto"/>
        </w:rPr>
      </w:pPr>
      <w:r>
        <w:rPr>
          <w:rFonts w:ascii="Courier New" w:cs="Courier New" w:eastAsia="Courier New" w:hAnsi="Courier New"/>
          <w:sz w:val="13"/>
          <w:szCs w:val="13"/>
          <w:color w:val="auto"/>
        </w:rPr>
        <w:t>medical and other insurance coverage (for the Employee and any covered dependents) provided by the Company to its other top executives as a group;</w:t>
      </w:r>
    </w:p>
    <w:p>
      <w:pPr>
        <w:spacing w:after="0" w:line="44" w:lineRule="exact"/>
        <w:rPr>
          <w:rFonts w:ascii="Courier New" w:cs="Courier New" w:eastAsia="Courier New" w:hAnsi="Courier New"/>
          <w:sz w:val="13"/>
          <w:szCs w:val="13"/>
          <w:color w:val="auto"/>
        </w:rPr>
      </w:pPr>
    </w:p>
    <w:p>
      <w:pPr>
        <w:ind w:left="378" w:right="4179" w:hanging="378"/>
        <w:spacing w:after="0" w:line="353" w:lineRule="auto"/>
        <w:tabs>
          <w:tab w:leader="none" w:pos="378" w:val="left"/>
        </w:tabs>
        <w:numPr>
          <w:ilvl w:val="0"/>
          <w:numId w:val="187"/>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supplemental disability insurance sufficient to provide two-thirds of the Employee's pre-disability Annual Base Salary;</w:t>
      </w:r>
    </w:p>
    <w:p>
      <w:pPr>
        <w:spacing w:after="0" w:line="9" w:lineRule="exact"/>
        <w:rPr>
          <w:rFonts w:ascii="Courier New" w:cs="Courier New" w:eastAsia="Courier New" w:hAnsi="Courier New"/>
          <w:sz w:val="13"/>
          <w:szCs w:val="13"/>
          <w:color w:val="auto"/>
        </w:rPr>
      </w:pPr>
    </w:p>
    <w:p>
      <w:pPr>
        <w:ind w:left="378" w:right="4099" w:hanging="378"/>
        <w:spacing w:after="0" w:line="271" w:lineRule="auto"/>
        <w:tabs>
          <w:tab w:leader="none" w:pos="378" w:val="left"/>
        </w:tabs>
        <w:numPr>
          <w:ilvl w:val="0"/>
          <w:numId w:val="18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 annual incentive bonus opportunity under the Company's annual incentive plan ("Annual Bonus Plan") for each calendar year included in the Employment Term, with such opportunity to be earned based upon attainment of performance objectives established by the Committee ("Annual Bonus"). The Employee's "bonus factor" under the Annual Bonus Plan shall be not less than 150% of the Employee's Annual Base Salary. The Employee's "bonus factor" may be periodically reviewed and increased (but not decreased without the Employee's express written consent) at the discretion of the Committee. The Annual Bonus shall be paid no later than the March 15th first following the calendar year to which the Annual Bonus relates. Unless provided otherwise herein or the Board determines otherwise, no Annual Bonus shall be paid to the Employee unless the Employee is employed by the Company, or an affiliate thereof, on the Annual Bonus payment date; and</w:t>
      </w:r>
    </w:p>
    <w:p>
      <w:pPr>
        <w:spacing w:after="0" w:line="62" w:lineRule="exact"/>
        <w:rPr>
          <w:rFonts w:ascii="Courier New" w:cs="Courier New" w:eastAsia="Courier New" w:hAnsi="Courier New"/>
          <w:sz w:val="12"/>
          <w:szCs w:val="12"/>
          <w:color w:val="auto"/>
        </w:rPr>
      </w:pPr>
    </w:p>
    <w:p>
      <w:pPr>
        <w:ind w:left="378" w:hanging="378"/>
        <w:spacing w:after="0"/>
        <w:tabs>
          <w:tab w:leader="none" w:pos="378" w:val="left"/>
        </w:tabs>
        <w:numPr>
          <w:ilvl w:val="0"/>
          <w:numId w:val="187"/>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participation in the Company's equity incentive plans.</w:t>
      </w:r>
    </w:p>
    <w:p>
      <w:pPr>
        <w:spacing w:after="0" w:line="148" w:lineRule="exact"/>
        <w:rPr>
          <w:sz w:val="20"/>
          <w:szCs w:val="20"/>
          <w:color w:val="auto"/>
        </w:rPr>
      </w:pPr>
    </w:p>
    <w:p>
      <w:pPr>
        <w:ind w:left="-382" w:right="4179" w:firstLine="382"/>
        <w:spacing w:after="0" w:line="262" w:lineRule="auto"/>
        <w:tabs>
          <w:tab w:leader="none" w:pos="231" w:val="left"/>
        </w:tabs>
        <w:numPr>
          <w:ilvl w:val="0"/>
          <w:numId w:val="188"/>
        </w:numPr>
        <w:rPr>
          <w:rFonts w:ascii="Courier New" w:cs="Courier New" w:eastAsia="Courier New" w:hAnsi="Courier New"/>
          <w:sz w:val="13"/>
          <w:szCs w:val="13"/>
          <w:color w:val="auto"/>
        </w:rPr>
      </w:pPr>
      <w:r>
        <w:rPr>
          <w:rFonts w:ascii="Courier New" w:cs="Courier New" w:eastAsia="Courier New" w:hAnsi="Courier New"/>
          <w:sz w:val="13"/>
          <w:szCs w:val="13"/>
          <w:color w:val="auto"/>
        </w:rPr>
        <w:t>Vacation. For and during each calendar year within the Employment Term, the Employee shall be entitled to reasonable paid vacation periods consistent with his positions with the Company and in accordance with the Company's standard policies, or as the Board may approve. In addition, the Employee shall be entitled to such holidays consistent with the Company's standard policies or as the Board or the Committee may approve.</w:t>
      </w:r>
    </w:p>
    <w:p>
      <w:pPr>
        <w:spacing w:after="0" w:line="67" w:lineRule="exact"/>
        <w:rPr>
          <w:rFonts w:ascii="Courier New" w:cs="Courier New" w:eastAsia="Courier New" w:hAnsi="Courier New"/>
          <w:sz w:val="13"/>
          <w:szCs w:val="13"/>
          <w:color w:val="auto"/>
        </w:rPr>
      </w:pPr>
    </w:p>
    <w:p>
      <w:pPr>
        <w:ind w:left="-382" w:right="4259" w:firstLine="382"/>
        <w:spacing w:after="0" w:line="262" w:lineRule="auto"/>
        <w:tabs>
          <w:tab w:leader="none" w:pos="231" w:val="left"/>
        </w:tabs>
        <w:numPr>
          <w:ilvl w:val="0"/>
          <w:numId w:val="188"/>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Expense Reimbursement. In addition to the compensation and benefits provided herein, the Company shall, upon receipt of appropriate documentation, reimburse the Employee each month for his reasonable travel, lodging, entertainment, promotion and other ordinary and necessary business expenses to the extent such reimbursement is permitted under the Company's expense reimbursement policy.</w:t>
      </w:r>
    </w:p>
    <w:p>
      <w:pPr>
        <w:spacing w:after="0" w:line="67" w:lineRule="exact"/>
        <w:rPr>
          <w:rFonts w:ascii="Courier New" w:cs="Courier New" w:eastAsia="Courier New" w:hAnsi="Courier New"/>
          <w:sz w:val="13"/>
          <w:szCs w:val="13"/>
          <w:color w:val="auto"/>
        </w:rPr>
      </w:pPr>
    </w:p>
    <w:p>
      <w:pPr>
        <w:ind w:left="-382" w:right="4099" w:firstLine="382"/>
        <w:spacing w:after="0" w:line="268" w:lineRule="auto"/>
        <w:tabs>
          <w:tab w:leader="none" w:pos="231" w:val="left"/>
        </w:tabs>
        <w:numPr>
          <w:ilvl w:val="0"/>
          <w:numId w:val="18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of Employment. The Company or the Employee may terminate the Employee's employment at any time and for any reason in accordance with subsection 7(a) below. The Employment Term shall be deemed to have ended on the last day of the Employee's employment. The Employment Term shall terminate automatically upon the Employee's death.</w:t>
      </w:r>
    </w:p>
    <w:p>
      <w:pPr>
        <w:spacing w:after="0" w:line="62" w:lineRule="exact"/>
        <w:rPr>
          <w:sz w:val="20"/>
          <w:szCs w:val="20"/>
          <w:color w:val="auto"/>
        </w:rPr>
      </w:pPr>
    </w:p>
    <w:p>
      <w:pPr>
        <w:ind w:left="378" w:right="4099" w:hanging="378"/>
        <w:spacing w:after="0" w:line="259" w:lineRule="auto"/>
        <w:tabs>
          <w:tab w:leader="none" w:pos="378" w:val="left"/>
        </w:tabs>
        <w:numPr>
          <w:ilvl w:val="0"/>
          <w:numId w:val="189"/>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Notice of Termination. Any purported termination of the Employee's employment (other than by reason of death) shall be communicated by written Notice of Termination (as defined herein) from one party hereto to the other party hereto in accordance with the notice provisions contained in Section 25. For purposes of this Agreement, a "Notice of Termination" shall mean a notice that indicates the Date of Termination (as that term is defined in Section 7(b)) and,</w:t>
      </w:r>
    </w:p>
    <w:p>
      <w:pPr>
        <w:spacing w:after="0" w:line="214" w:lineRule="exact"/>
        <w:rPr>
          <w:sz w:val="20"/>
          <w:szCs w:val="20"/>
          <w:color w:val="auto"/>
        </w:rPr>
      </w:pPr>
    </w:p>
    <w:p>
      <w:pPr>
        <w:ind w:left="2678"/>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9857"/>
          </w:cols>
          <w:pgMar w:left="602" w:top="540" w:right="1440" w:bottom="1440" w:gutter="0" w:footer="0" w:header="0"/>
        </w:sectPr>
      </w:pPr>
    </w:p>
    <w:bookmarkStart w:id="210" w:name="page211"/>
    <w:bookmarkEnd w:id="210"/>
    <w:p>
      <w:pPr>
        <w:ind w:left="378" w:right="4099"/>
        <w:spacing w:after="0" w:line="254" w:lineRule="auto"/>
        <w:rPr>
          <w:sz w:val="20"/>
          <w:szCs w:val="20"/>
          <w:color w:val="auto"/>
        </w:rPr>
      </w:pPr>
      <w:r>
        <w:rPr>
          <w:rFonts w:ascii="Courier New" w:cs="Courier New" w:eastAsia="Courier New" w:hAnsi="Courier New"/>
          <w:sz w:val="13"/>
          <w:szCs w:val="13"/>
          <w:color w:val="auto"/>
        </w:rPr>
        <w:t>with respect to a termination due to Disability (as that term is defined in Section 7(e)), Cause (as that term is defined in Section 7(d)) or Good Reason (as that term is defined in Section 7(f)), sets forth in reasonable detail the facts and circumstances that are alleged to provide a basis for such termination. A Notice of Termination from the Company shall specify whether the termination is with or without Cause or due to the Employee's Disability. A Notice of Termination from the Employee shall specify whether the termination is with or without Good Reason or due to Disability.</w:t>
      </w:r>
    </w:p>
    <w:p>
      <w:pPr>
        <w:spacing w:after="0" w:line="72" w:lineRule="exact"/>
        <w:rPr>
          <w:sz w:val="20"/>
          <w:szCs w:val="20"/>
          <w:color w:val="auto"/>
        </w:rPr>
      </w:pPr>
    </w:p>
    <w:p>
      <w:pPr>
        <w:ind w:left="378" w:right="4179" w:hanging="378"/>
        <w:spacing w:after="0" w:line="262" w:lineRule="auto"/>
        <w:tabs>
          <w:tab w:leader="none" w:pos="378" w:val="left"/>
        </w:tabs>
        <w:numPr>
          <w:ilvl w:val="0"/>
          <w:numId w:val="190"/>
        </w:numPr>
        <w:rPr>
          <w:rFonts w:ascii="Courier New" w:cs="Courier New" w:eastAsia="Courier New" w:hAnsi="Courier New"/>
          <w:sz w:val="13"/>
          <w:szCs w:val="13"/>
          <w:color w:val="auto"/>
        </w:rPr>
      </w:pPr>
      <w:r>
        <w:rPr>
          <w:rFonts w:ascii="Courier New" w:cs="Courier New" w:eastAsia="Courier New" w:hAnsi="Courier New"/>
          <w:sz w:val="13"/>
          <w:szCs w:val="13"/>
          <w:color w:val="auto"/>
        </w:rPr>
        <w:t>Date of Termination. For purposes of this Agreement, "Date of Termination" shall mean the date specified in the Notice of Termination (but in no event shall such date be earlier than the 30th day following the date the Notice of Termination is given, unless expressly agreed to by the parties hereto) or the date of the Employee's death.</w:t>
      </w:r>
    </w:p>
    <w:p>
      <w:pPr>
        <w:spacing w:after="0" w:line="67" w:lineRule="exact"/>
        <w:rPr>
          <w:rFonts w:ascii="Courier New" w:cs="Courier New" w:eastAsia="Courier New" w:hAnsi="Courier New"/>
          <w:sz w:val="13"/>
          <w:szCs w:val="13"/>
          <w:color w:val="auto"/>
        </w:rPr>
      </w:pPr>
    </w:p>
    <w:p>
      <w:pPr>
        <w:ind w:left="378" w:right="4099" w:hanging="378"/>
        <w:spacing w:after="0" w:line="262" w:lineRule="auto"/>
        <w:tabs>
          <w:tab w:leader="none" w:pos="378" w:val="left"/>
        </w:tabs>
        <w:numPr>
          <w:ilvl w:val="0"/>
          <w:numId w:val="190"/>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Waiver.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67" w:lineRule="exact"/>
        <w:rPr>
          <w:rFonts w:ascii="Courier New" w:cs="Courier New" w:eastAsia="Courier New" w:hAnsi="Courier New"/>
          <w:sz w:val="13"/>
          <w:szCs w:val="13"/>
          <w:color w:val="auto"/>
        </w:rPr>
      </w:pPr>
    </w:p>
    <w:p>
      <w:pPr>
        <w:ind w:left="378" w:hanging="378"/>
        <w:spacing w:after="0"/>
        <w:tabs>
          <w:tab w:leader="none" w:pos="378" w:val="left"/>
        </w:tabs>
        <w:numPr>
          <w:ilvl w:val="0"/>
          <w:numId w:val="190"/>
        </w:numPr>
        <w:rPr>
          <w:rFonts w:ascii="Courier New" w:cs="Courier New" w:eastAsia="Courier New" w:hAnsi="Courier New"/>
          <w:sz w:val="13"/>
          <w:szCs w:val="13"/>
          <w:color w:val="auto"/>
        </w:rPr>
      </w:pPr>
      <w:r>
        <w:rPr>
          <w:rFonts w:ascii="Courier New" w:cs="Courier New" w:eastAsia="Courier New" w:hAnsi="Courier New"/>
          <w:sz w:val="13"/>
          <w:szCs w:val="13"/>
          <w:color w:val="auto"/>
        </w:rPr>
        <w:t>Cause. For purposes of this Agreement, "Cause" means the Employee's</w:t>
      </w:r>
    </w:p>
    <w:p>
      <w:pPr>
        <w:spacing w:after="0" w:line="24" w:lineRule="exact"/>
        <w:rPr>
          <w:rFonts w:ascii="Courier New" w:cs="Courier New" w:eastAsia="Courier New" w:hAnsi="Courier New"/>
          <w:sz w:val="13"/>
          <w:szCs w:val="13"/>
          <w:color w:val="auto"/>
        </w:rPr>
      </w:pPr>
    </w:p>
    <w:p>
      <w:pPr>
        <w:ind w:left="378" w:right="4099" w:firstLine="5"/>
        <w:spacing w:after="0" w:line="265" w:lineRule="auto"/>
        <w:tabs>
          <w:tab w:leader="none" w:pos="685" w:val="left"/>
        </w:tabs>
        <w:numPr>
          <w:ilvl w:val="1"/>
          <w:numId w:val="1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persistent failure to perform duties consistent with a commercially reasonable standard of care (other than due to a physical or mental impairment or due to an action or inaction directed by the Company that would otherwise constitute Good Reason); (ii) willful neglect of duties (other than due to a physical or mental impairment or due to an action or inaction directed by the Company that would otherwise constitute Good Reason); (iii) conviction of, or pleading nolo contendere to, criminal or other illegal activities involving dishonesty; (iv) material breach of this Agreement; or (v) impeding, or failing to materially cooperate with, an investigation authorized by the Board. The Employee's termination for Cause shall be effective when and if a resolution is duly adopted by an affirmative vote of at least 3/4 of the Board (less the Employee), stating that, in the good faith opinion of the Board, the Employee is guilty of the conduct described in the Notice of Termination and such conduct constitutes Cause under this Agreement; provided, however, that the Employee shall have been given reasonable opportunity (i) to cure any act or omission that constitutes Cause if capable of cure and (ii), together with counsel, during the thirty (30) day period following the receipt by the Employee of the Notice of Termination and prior to the adoption of the Board's resolution, to be heard by the Board.</w:t>
      </w:r>
    </w:p>
    <w:p>
      <w:pPr>
        <w:spacing w:after="0" w:line="217" w:lineRule="exact"/>
        <w:rPr>
          <w:rFonts w:ascii="Courier New" w:cs="Courier New" w:eastAsia="Courier New" w:hAnsi="Courier New"/>
          <w:sz w:val="12"/>
          <w:szCs w:val="12"/>
          <w:color w:val="auto"/>
        </w:rPr>
      </w:pPr>
    </w:p>
    <w:p>
      <w:pPr>
        <w:ind w:left="378" w:right="4099" w:hanging="378"/>
        <w:spacing w:after="0" w:line="307" w:lineRule="auto"/>
        <w:tabs>
          <w:tab w:leader="none" w:pos="378" w:val="left"/>
        </w:tabs>
        <w:numPr>
          <w:ilvl w:val="0"/>
          <w:numId w:val="1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Disability. For purposes of this Agreement, the Employee shall be deemed to have a "Disability" if the Employee is entitled to long-term disability benefits under the Company's long-term disability plan or policy, as the case may be, as in effect on the Date of Termination.</w:t>
      </w:r>
    </w:p>
    <w:p>
      <w:pPr>
        <w:spacing w:after="0" w:line="189" w:lineRule="exact"/>
        <w:rPr>
          <w:sz w:val="20"/>
          <w:szCs w:val="20"/>
          <w:color w:val="auto"/>
        </w:rPr>
      </w:pPr>
    </w:p>
    <w:p>
      <w:pPr>
        <w:ind w:left="2678"/>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9857"/>
          </w:cols>
          <w:pgMar w:left="602" w:top="540" w:right="1440" w:bottom="1440" w:gutter="0" w:footer="0" w:header="0"/>
        </w:sectPr>
      </w:pPr>
    </w:p>
    <w:bookmarkStart w:id="211" w:name="page212"/>
    <w:bookmarkEnd w:id="211"/>
    <w:p>
      <w:pPr>
        <w:ind w:left="761" w:right="4099" w:hanging="378"/>
        <w:spacing w:after="0" w:line="277" w:lineRule="auto"/>
        <w:tabs>
          <w:tab w:leader="none" w:pos="761" w:val="left"/>
        </w:tabs>
        <w:numPr>
          <w:ilvl w:val="0"/>
          <w:numId w:val="191"/>
        </w:numPr>
        <w:rPr>
          <w:rFonts w:ascii="Courier New" w:cs="Courier New" w:eastAsia="Courier New" w:hAnsi="Courier New"/>
          <w:sz w:val="13"/>
          <w:szCs w:val="13"/>
          <w:color w:val="auto"/>
        </w:rPr>
      </w:pPr>
      <w:r>
        <w:rPr>
          <w:rFonts w:ascii="Courier New" w:cs="Courier New" w:eastAsia="Courier New" w:hAnsi="Courier New"/>
          <w:sz w:val="13"/>
          <w:szCs w:val="13"/>
          <w:color w:val="auto"/>
        </w:rPr>
        <w:t>Good Reason. For purposes of this Agreement, the term "Good Reason" means the occurrence (without the Employee's express written consent) during the Employment Term of any of the following acts or failures to act by the Company:</w:t>
      </w:r>
    </w:p>
    <w:p>
      <w:pPr>
        <w:spacing w:after="0" w:line="57" w:lineRule="exact"/>
        <w:rPr>
          <w:rFonts w:ascii="Courier New" w:cs="Courier New" w:eastAsia="Courier New" w:hAnsi="Courier New"/>
          <w:sz w:val="13"/>
          <w:szCs w:val="13"/>
          <w:color w:val="auto"/>
        </w:rPr>
      </w:pPr>
    </w:p>
    <w:p>
      <w:pPr>
        <w:ind w:left="1141" w:right="4179" w:hanging="375"/>
        <w:spacing w:after="0" w:line="277" w:lineRule="auto"/>
        <w:tabs>
          <w:tab w:leader="none" w:pos="1141" w:val="left"/>
        </w:tabs>
        <w:numPr>
          <w:ilvl w:val="1"/>
          <w:numId w:val="19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 adverse change in the Employee's title, the assignment to the Employee of duties materially inconsistent with the Employee's position of Co-Chief Operating Officer, or a substantial diminution in the Employee's authority;</w:t>
      </w:r>
    </w:p>
    <w:p>
      <w:pPr>
        <w:spacing w:after="0" w:line="57" w:lineRule="exact"/>
        <w:rPr>
          <w:rFonts w:ascii="Courier New" w:cs="Courier New" w:eastAsia="Courier New" w:hAnsi="Courier New"/>
          <w:sz w:val="13"/>
          <w:szCs w:val="13"/>
          <w:color w:val="auto"/>
        </w:rPr>
      </w:pPr>
    </w:p>
    <w:p>
      <w:pPr>
        <w:ind w:left="1141" w:right="4959" w:hanging="375"/>
        <w:spacing w:after="0" w:line="353" w:lineRule="auto"/>
        <w:tabs>
          <w:tab w:leader="none" w:pos="1141" w:val="left"/>
        </w:tabs>
        <w:numPr>
          <w:ilvl w:val="1"/>
          <w:numId w:val="19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material breach by the Company of any of its other obligations under this Agreement;</w:t>
      </w:r>
    </w:p>
    <w:p>
      <w:pPr>
        <w:spacing w:after="0" w:line="9" w:lineRule="exact"/>
        <w:rPr>
          <w:rFonts w:ascii="Courier New" w:cs="Courier New" w:eastAsia="Courier New" w:hAnsi="Courier New"/>
          <w:sz w:val="13"/>
          <w:szCs w:val="13"/>
          <w:color w:val="auto"/>
        </w:rPr>
      </w:pPr>
    </w:p>
    <w:p>
      <w:pPr>
        <w:ind w:left="1141" w:right="4499" w:hanging="375"/>
        <w:spacing w:after="0" w:line="296" w:lineRule="auto"/>
        <w:tabs>
          <w:tab w:leader="none" w:pos="1218" w:val="left"/>
        </w:tabs>
        <w:numPr>
          <w:ilvl w:val="1"/>
          <w:numId w:val="19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gives the Employee notice of its intent not to extend the Employment Term, any time during the one (1) year period immediately following a Change in Control;</w:t>
      </w:r>
    </w:p>
    <w:p>
      <w:pPr>
        <w:spacing w:after="0" w:line="44" w:lineRule="exact"/>
        <w:rPr>
          <w:rFonts w:ascii="Courier New" w:cs="Courier New" w:eastAsia="Courier New" w:hAnsi="Courier New"/>
          <w:sz w:val="13"/>
          <w:szCs w:val="13"/>
          <w:color w:val="auto"/>
        </w:rPr>
      </w:pPr>
    </w:p>
    <w:p>
      <w:pPr>
        <w:ind w:left="1141" w:right="4099" w:hanging="375"/>
        <w:spacing w:after="0" w:line="277" w:lineRule="auto"/>
        <w:tabs>
          <w:tab w:leader="none" w:pos="1141" w:val="left"/>
        </w:tabs>
        <w:numPr>
          <w:ilvl w:val="1"/>
          <w:numId w:val="191"/>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following a Change in Control, the relocation of the Employee's primary place of employment to a location more than 50 miles from the Employee's primary place of employment immediately prior to the Change in Control; or</w:t>
      </w:r>
    </w:p>
    <w:p>
      <w:pPr>
        <w:spacing w:after="0" w:line="57" w:lineRule="exact"/>
        <w:rPr>
          <w:rFonts w:ascii="Courier New" w:cs="Courier New" w:eastAsia="Courier New" w:hAnsi="Courier New"/>
          <w:sz w:val="13"/>
          <w:szCs w:val="13"/>
          <w:color w:val="auto"/>
        </w:rPr>
      </w:pPr>
    </w:p>
    <w:p>
      <w:pPr>
        <w:ind w:left="1141" w:right="4559" w:hanging="375"/>
        <w:spacing w:after="0" w:line="353" w:lineRule="auto"/>
        <w:tabs>
          <w:tab w:leader="none" w:pos="1141" w:val="left"/>
        </w:tabs>
        <w:numPr>
          <w:ilvl w:val="1"/>
          <w:numId w:val="19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failure of the Company to obtain the assumption of this Agreement as contemplated in Section 21.</w:t>
      </w:r>
    </w:p>
    <w:p>
      <w:pPr>
        <w:spacing w:after="0" w:line="9" w:lineRule="exact"/>
        <w:rPr>
          <w:sz w:val="20"/>
          <w:szCs w:val="20"/>
          <w:color w:val="auto"/>
        </w:rPr>
      </w:pPr>
    </w:p>
    <w:p>
      <w:pPr>
        <w:ind w:left="1" w:right="4099"/>
        <w:spacing w:after="0" w:line="265" w:lineRule="auto"/>
        <w:rPr>
          <w:sz w:val="20"/>
          <w:szCs w:val="20"/>
          <w:color w:val="auto"/>
        </w:rPr>
      </w:pPr>
      <w:r>
        <w:rPr>
          <w:rFonts w:ascii="Courier New" w:cs="Courier New" w:eastAsia="Courier New" w:hAnsi="Courier New"/>
          <w:sz w:val="12"/>
          <w:szCs w:val="12"/>
          <w:color w:val="auto"/>
        </w:rPr>
        <w:t>Notwithstanding the foregoing, the Board placing the Employee on paid leave for up to 60 days pending the determination of whether there is a basis to terminate the Employee for Cause, shall not constitute Good Reason. The Employee's continued employment shall not constitute consent to, or a waiver of rights with respect to, any act or failure to act constituting Good Reason hereunder; provided, however, that no such event described above shall constitute Good Reason unless the Employee has given a Notice of Termination to the Company specifying the condition or event relied upon for such termination within ninety</w:t>
      </w:r>
    </w:p>
    <w:p>
      <w:pPr>
        <w:spacing w:after="0" w:line="3" w:lineRule="exact"/>
        <w:rPr>
          <w:sz w:val="20"/>
          <w:szCs w:val="20"/>
          <w:color w:val="auto"/>
        </w:rPr>
      </w:pPr>
    </w:p>
    <w:p>
      <w:pPr>
        <w:jc w:val="both"/>
        <w:ind w:left="1" w:right="4179" w:hanging="1"/>
        <w:spacing w:after="0" w:line="264" w:lineRule="auto"/>
        <w:tabs>
          <w:tab w:leader="none" w:pos="385" w:val="left"/>
        </w:tabs>
        <w:numPr>
          <w:ilvl w:val="0"/>
          <w:numId w:val="19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days from the Employee's actual knowledge of the occurrence of such event and, if capable of cure, the Company has failed to cure the condition or event constituting Good Reason within the thirty (30) day period following receipt of the Employee's Notice of Termination.</w:t>
      </w:r>
    </w:p>
    <w:p>
      <w:pPr>
        <w:spacing w:after="0" w:line="65" w:lineRule="exact"/>
        <w:rPr>
          <w:sz w:val="20"/>
          <w:szCs w:val="20"/>
          <w:color w:val="auto"/>
        </w:rPr>
      </w:pPr>
    </w:p>
    <w:p>
      <w:pPr>
        <w:ind w:left="381"/>
        <w:spacing w:after="0"/>
        <w:rPr>
          <w:sz w:val="20"/>
          <w:szCs w:val="20"/>
          <w:color w:val="auto"/>
        </w:rPr>
      </w:pPr>
      <w:r>
        <w:rPr>
          <w:rFonts w:ascii="Courier New" w:cs="Courier New" w:eastAsia="Courier New" w:hAnsi="Courier New"/>
          <w:sz w:val="13"/>
          <w:szCs w:val="13"/>
          <w:color w:val="auto"/>
        </w:rPr>
        <w:t>8. Obligations of the Company upon Termination.</w:t>
      </w:r>
    </w:p>
    <w:p>
      <w:pPr>
        <w:spacing w:after="0" w:line="148" w:lineRule="exact"/>
        <w:rPr>
          <w:sz w:val="20"/>
          <w:szCs w:val="20"/>
          <w:color w:val="auto"/>
        </w:rPr>
      </w:pPr>
    </w:p>
    <w:p>
      <w:pPr>
        <w:ind w:left="761" w:right="4419" w:hanging="378"/>
        <w:spacing w:after="0" w:line="277" w:lineRule="auto"/>
        <w:tabs>
          <w:tab w:leader="none" w:pos="761" w:val="left"/>
        </w:tabs>
        <w:numPr>
          <w:ilvl w:val="0"/>
          <w:numId w:val="19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by the Company for other than Cause or Disability or Termination by the Employee for Good Reason. If the Employee's employment is terminated by the Company for any reason, other than Cause or Disability or by the Employee for Good Reason:</w:t>
      </w:r>
    </w:p>
    <w:p>
      <w:pPr>
        <w:spacing w:after="0" w:line="57" w:lineRule="exact"/>
        <w:rPr>
          <w:rFonts w:ascii="Courier New" w:cs="Courier New" w:eastAsia="Courier New" w:hAnsi="Courier New"/>
          <w:sz w:val="13"/>
          <w:szCs w:val="13"/>
          <w:color w:val="auto"/>
        </w:rPr>
      </w:pPr>
    </w:p>
    <w:p>
      <w:pPr>
        <w:ind w:left="1141" w:right="4179" w:hanging="375"/>
        <w:spacing w:after="0" w:line="259" w:lineRule="auto"/>
        <w:tabs>
          <w:tab w:leader="none" w:pos="1141" w:val="left"/>
        </w:tabs>
        <w:numPr>
          <w:ilvl w:val="1"/>
          <w:numId w:val="19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shall pay to the Employee, (A) within five (5) business days after the Date of Termination, any earned but unpaid Annual Base Salary and any expense reimbursement payments owed to the Employee, and (B) no later than March 15 of the year in which the Date of Termination occurs, any earned but unpaid Annual Bonus payments relating to the prior calendar year (the "Accrued Obligations");</w:t>
      </w:r>
    </w:p>
    <w:p>
      <w:pPr>
        <w:spacing w:after="0" w:line="214" w:lineRule="exact"/>
        <w:rPr>
          <w:sz w:val="20"/>
          <w:szCs w:val="20"/>
          <w:color w:val="auto"/>
        </w:rPr>
      </w:pPr>
    </w:p>
    <w:p>
      <w:pPr>
        <w:ind w:left="3061"/>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41"/>
          </w:cols>
          <w:pgMar w:left="219" w:top="540" w:right="1440" w:bottom="1440" w:gutter="0" w:footer="0" w:header="0"/>
        </w:sectPr>
      </w:pPr>
    </w:p>
    <w:bookmarkStart w:id="212" w:name="page213"/>
    <w:bookmarkEnd w:id="212"/>
    <w:p>
      <w:pPr>
        <w:ind w:left="375" w:right="4099" w:hanging="375"/>
        <w:spacing w:after="0" w:line="268" w:lineRule="auto"/>
        <w:tabs>
          <w:tab w:leader="none" w:pos="375" w:val="left"/>
        </w:tabs>
        <w:numPr>
          <w:ilvl w:val="0"/>
          <w:numId w:val="1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pay to the Employee, within thirty (30) business days after the Date of Termination, a prorated Annual Bonus based on (A) the target Annual Bonus opportunity in the year in which the Date of Termination occurs or the prior year if no target Annual Bonus opportunity has yet been determined and</w:t>
      </w:r>
    </w:p>
    <w:p>
      <w:pPr>
        <w:spacing w:after="0" w:line="2" w:lineRule="exact"/>
        <w:rPr>
          <w:rFonts w:ascii="Courier New" w:cs="Courier New" w:eastAsia="Courier New" w:hAnsi="Courier New"/>
          <w:sz w:val="12"/>
          <w:szCs w:val="12"/>
          <w:color w:val="auto"/>
        </w:rPr>
      </w:pPr>
    </w:p>
    <w:p>
      <w:pPr>
        <w:ind w:left="695" w:hanging="311"/>
        <w:spacing w:after="0"/>
        <w:tabs>
          <w:tab w:leader="none" w:pos="695" w:val="left"/>
        </w:tabs>
        <w:numPr>
          <w:ilvl w:val="1"/>
          <w:numId w:val="19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fraction of the year the Employee was employed;</w:t>
      </w:r>
    </w:p>
    <w:p>
      <w:pPr>
        <w:spacing w:after="0" w:line="123" w:lineRule="exact"/>
        <w:rPr>
          <w:rFonts w:ascii="Courier New" w:cs="Courier New" w:eastAsia="Courier New" w:hAnsi="Courier New"/>
          <w:sz w:val="13"/>
          <w:szCs w:val="13"/>
          <w:color w:val="auto"/>
        </w:rPr>
      </w:pPr>
    </w:p>
    <w:p>
      <w:pPr>
        <w:ind w:left="375" w:right="4099" w:hanging="375"/>
        <w:spacing w:after="0" w:line="252" w:lineRule="auto"/>
        <w:tabs>
          <w:tab w:leader="none" w:pos="451" w:val="left"/>
        </w:tabs>
        <w:numPr>
          <w:ilvl w:val="0"/>
          <w:numId w:val="19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 shall pay to the Employee, within thirty (30) business days after the Date of Termination, a lump-sum payment equal to 200% of the sum of (x) the Employee's Annual Base Salary in effect immediately prior to the Date of Termination (disregarding any reduction in Annual Base Salary to which the Employee did not expressly consent in writing) and (y) the highest Annual Bonus paid to the Employee by the Company within the three (3) years preceding his termination of employment or, if higher, the target Annual Bonus opportunity in the year in which the Date of Termination occurs;</w:t>
      </w:r>
    </w:p>
    <w:p>
      <w:pPr>
        <w:spacing w:after="0" w:line="75" w:lineRule="exact"/>
        <w:rPr>
          <w:rFonts w:ascii="Courier New" w:cs="Courier New" w:eastAsia="Courier New" w:hAnsi="Courier New"/>
          <w:sz w:val="13"/>
          <w:szCs w:val="13"/>
          <w:color w:val="auto"/>
        </w:rPr>
      </w:pPr>
    </w:p>
    <w:p>
      <w:pPr>
        <w:ind w:left="375" w:right="4099" w:hanging="375"/>
        <w:spacing w:after="0" w:line="277" w:lineRule="auto"/>
        <w:tabs>
          <w:tab w:leader="none" w:pos="375" w:val="left"/>
        </w:tabs>
        <w:numPr>
          <w:ilvl w:val="0"/>
          <w:numId w:val="194"/>
        </w:numPr>
        <w:rPr>
          <w:rFonts w:ascii="Courier New" w:cs="Courier New" w:eastAsia="Courier New" w:hAnsi="Courier New"/>
          <w:sz w:val="13"/>
          <w:szCs w:val="13"/>
          <w:color w:val="auto"/>
        </w:rPr>
      </w:pPr>
      <w:r>
        <w:rPr>
          <w:rFonts w:ascii="Courier New" w:cs="Courier New" w:eastAsia="Courier New" w:hAnsi="Courier New"/>
          <w:sz w:val="13"/>
          <w:szCs w:val="13"/>
          <w:color w:val="auto"/>
        </w:rPr>
        <w:t>all stock option, restricted stock and other equity-based incentive awards granted by the Company that were outstanding but not vested as of the Date of Termination shall become immediately vested and/or payable, as the case may be; and</w:t>
      </w:r>
    </w:p>
    <w:p>
      <w:pPr>
        <w:spacing w:after="0" w:line="57" w:lineRule="exact"/>
        <w:rPr>
          <w:rFonts w:ascii="Courier New" w:cs="Courier New" w:eastAsia="Courier New" w:hAnsi="Courier New"/>
          <w:sz w:val="13"/>
          <w:szCs w:val="13"/>
          <w:color w:val="auto"/>
        </w:rPr>
      </w:pPr>
    </w:p>
    <w:p>
      <w:pPr>
        <w:ind w:left="375" w:right="4099" w:hanging="375"/>
        <w:spacing w:after="0" w:line="265" w:lineRule="auto"/>
        <w:tabs>
          <w:tab w:leader="none" w:pos="375" w:val="left"/>
        </w:tabs>
        <w:numPr>
          <w:ilvl w:val="0"/>
          <w:numId w:val="1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a three (3) year period after the Date of Termination, the Company will provide or cause to be provided to the Employee (and any covered dependents), with life and health insurance benefits (but not disability insurance benefits) substantially similar to those the Employee and any covered dependents were receiving immediately prior to the Notice of Termination at the same level of benefits and at the same dollar cost to the Employee as is available to the Company's executive officers generally, provided that the Employee's continued receipt of such benefits is possible under the general terms and provisions of the applicable plans and programs, and provided further, that such benefits would not be taxable to the Employee or subject to Section 409A of the Internal Revenue Code of 1986, as amended (the "Code"). In the event that the Employee's participation in any such plan or program is prohibited, the Company shall, at its expense, arrange to provide the Employee with benefits substantially similar to those which the Employee would otherwise have been entitled to receive under such plans and programs from which his continued participation is prohibited. If the Company arranges to provide the Employee and covered dependents with life and health insurance benefits, those benefits will be reduced to the extent comparable benefits are received by, or made available to, the Employee (at no greater cost to the Employee) by another employer during the three (3) year period following the Employee's Date of Termination. The Employee must report to the Company any such benefits that he receives or that are made available. In lieu of the benefits described in this Section 8(a)(v), the Company, in its sole discretion, may elect to pay to the Employee a lump</w:t>
      </w:r>
    </w:p>
    <w:p>
      <w:pPr>
        <w:spacing w:after="0" w:line="371" w:lineRule="exact"/>
        <w:rPr>
          <w:sz w:val="20"/>
          <w:szCs w:val="20"/>
          <w:color w:val="auto"/>
        </w:rPr>
      </w:pPr>
    </w:p>
    <w:p>
      <w:pPr>
        <w:ind w:left="2295"/>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9474"/>
          </w:cols>
          <w:pgMar w:left="985" w:top="540" w:right="1440" w:bottom="1440" w:gutter="0" w:footer="0" w:header="0"/>
        </w:sectPr>
      </w:pPr>
    </w:p>
    <w:bookmarkStart w:id="213" w:name="page214"/>
    <w:bookmarkEnd w:id="213"/>
    <w:p>
      <w:pPr>
        <w:ind w:left="758" w:right="4099"/>
        <w:spacing w:after="0" w:line="268" w:lineRule="auto"/>
        <w:rPr>
          <w:sz w:val="20"/>
          <w:szCs w:val="20"/>
          <w:color w:val="auto"/>
        </w:rPr>
      </w:pPr>
      <w:r>
        <w:rPr>
          <w:rFonts w:ascii="Courier New" w:cs="Courier New" w:eastAsia="Courier New" w:hAnsi="Courier New"/>
          <w:sz w:val="13"/>
          <w:szCs w:val="13"/>
          <w:color w:val="auto"/>
        </w:rPr>
        <w:t>sum cash payment equal to the monthly premiums that would have been paid by the Company to provide such benefits to the Employee for each month such coverage is not provided under this Section 8(a)(v). Nothing in this Section 8(a)(v) will extend the COBRA continuation coverage period.</w:t>
      </w:r>
    </w:p>
    <w:p>
      <w:pPr>
        <w:spacing w:after="0" w:line="62" w:lineRule="exact"/>
        <w:rPr>
          <w:sz w:val="20"/>
          <w:szCs w:val="20"/>
          <w:color w:val="auto"/>
        </w:rPr>
      </w:pPr>
    </w:p>
    <w:p>
      <w:pPr>
        <w:ind w:left="378" w:right="4179" w:hanging="378"/>
        <w:spacing w:after="0" w:line="262" w:lineRule="auto"/>
        <w:tabs>
          <w:tab w:leader="none" w:pos="378" w:val="left"/>
        </w:tabs>
        <w:numPr>
          <w:ilvl w:val="0"/>
          <w:numId w:val="1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Termination by the Company for Cause or by the Employee without Good Reason. If the Employee's employment is terminated (i) by the Company for Cause or (ii) by the Employee without Good Reason, the Company's only obligation under this Agreement shall be payment of any earned but unpaid Annual Base Salary and any expense reimbursement payments owed to the Employee.</w:t>
      </w:r>
    </w:p>
    <w:p>
      <w:pPr>
        <w:spacing w:after="0" w:line="67" w:lineRule="exact"/>
        <w:rPr>
          <w:rFonts w:ascii="Courier New" w:cs="Courier New" w:eastAsia="Courier New" w:hAnsi="Courier New"/>
          <w:sz w:val="13"/>
          <w:szCs w:val="13"/>
          <w:color w:val="auto"/>
        </w:rPr>
      </w:pPr>
    </w:p>
    <w:p>
      <w:pPr>
        <w:ind w:left="378" w:right="4099" w:hanging="378"/>
        <w:spacing w:after="0" w:line="278" w:lineRule="auto"/>
        <w:tabs>
          <w:tab w:leader="none" w:pos="378" w:val="left"/>
        </w:tabs>
        <w:numPr>
          <w:ilvl w:val="0"/>
          <w:numId w:val="1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Termination due to Death or Disability. If the Employee's employment is terminated due to death or Disability, the Company shall pay to the Employee (or to the Employee's estate or personal representative in the case of the Employee's death), within thirty (30) business days after the Date of Termination, (i) any Accrued Obligations and (ii) a prorated Annual Bonus based on (A) the target Annual Bonus opportunity in the year in which the Date of Termination occurs or the prior year if no target Annual Bonus opportunity has yet been determined and (B) the fraction of the year the Employee was employed.</w:t>
      </w:r>
    </w:p>
    <w:p>
      <w:pPr>
        <w:spacing w:after="0" w:line="57" w:lineRule="exact"/>
        <w:rPr>
          <w:rFonts w:ascii="Courier New" w:cs="Courier New" w:eastAsia="Courier New" w:hAnsi="Courier New"/>
          <w:sz w:val="12"/>
          <w:szCs w:val="12"/>
          <w:color w:val="auto"/>
        </w:rPr>
      </w:pPr>
    </w:p>
    <w:p>
      <w:pPr>
        <w:jc w:val="both"/>
        <w:ind w:left="378" w:right="4259" w:hanging="378"/>
        <w:spacing w:after="0" w:line="331" w:lineRule="auto"/>
        <w:tabs>
          <w:tab w:leader="none" w:pos="378" w:val="left"/>
        </w:tabs>
        <w:numPr>
          <w:ilvl w:val="0"/>
          <w:numId w:val="1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Definition of Change in Control. For purposes of this Agreement, the term "Change in Control" shall mean that the conditions set forth in any one of the following subsections shall have been satisfied:</w:t>
      </w:r>
    </w:p>
    <w:p>
      <w:pPr>
        <w:spacing w:after="0" w:line="27" w:lineRule="exact"/>
        <w:rPr>
          <w:rFonts w:ascii="Courier New" w:cs="Courier New" w:eastAsia="Courier New" w:hAnsi="Courier New"/>
          <w:sz w:val="12"/>
          <w:szCs w:val="12"/>
          <w:color w:val="auto"/>
        </w:rPr>
      </w:pPr>
    </w:p>
    <w:p>
      <w:pPr>
        <w:ind w:left="758" w:right="4099" w:hanging="375"/>
        <w:spacing w:after="0" w:line="256" w:lineRule="auto"/>
        <w:tabs>
          <w:tab w:leader="none" w:pos="758" w:val="left"/>
        </w:tabs>
        <w:numPr>
          <w:ilvl w:val="1"/>
          <w:numId w:val="1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acquisition, directly or indirectly, by any "person" (within the meaning of Section 3(a)(9) of the Securities and Exchange Act of 1934, as amended (the "Exchange Act") and used in Sections 13(d) and 14(d) thereof) of "beneficial ownership" (within the meaning of Rule 13d-3 of the Exchange Act) of securities of the Company possessing more than fifty percent (50%) of the total combined voting power of all outstanding securities of the Company;</w:t>
      </w:r>
    </w:p>
    <w:p>
      <w:pPr>
        <w:spacing w:after="0" w:line="70" w:lineRule="exact"/>
        <w:rPr>
          <w:rFonts w:ascii="Courier New" w:cs="Courier New" w:eastAsia="Courier New" w:hAnsi="Courier New"/>
          <w:sz w:val="13"/>
          <w:szCs w:val="13"/>
          <w:color w:val="auto"/>
        </w:rPr>
      </w:pPr>
    </w:p>
    <w:p>
      <w:pPr>
        <w:ind w:left="758" w:right="4099" w:hanging="375"/>
        <w:spacing w:after="0" w:line="284" w:lineRule="auto"/>
        <w:tabs>
          <w:tab w:leader="none" w:pos="758" w:val="left"/>
        </w:tabs>
        <w:numPr>
          <w:ilvl w:val="1"/>
          <w:numId w:val="1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merger or consolidation in which the Company is not the surviving entity, except for a transaction in which the holders of the outstanding voting securities of the Company immediately prior to such merger or consolidation hold, in the aggregate, securities possessing more than fifty percent (50%) of the total combined voting power of all outstanding voting securities of the surviving entity immediately after such merger or consolidation;</w:t>
      </w:r>
    </w:p>
    <w:p>
      <w:pPr>
        <w:spacing w:after="0" w:line="53" w:lineRule="exact"/>
        <w:rPr>
          <w:rFonts w:ascii="Courier New" w:cs="Courier New" w:eastAsia="Courier New" w:hAnsi="Courier New"/>
          <w:sz w:val="12"/>
          <w:szCs w:val="12"/>
          <w:color w:val="auto"/>
        </w:rPr>
      </w:pPr>
    </w:p>
    <w:p>
      <w:pPr>
        <w:ind w:left="758" w:right="4179" w:hanging="375"/>
        <w:spacing w:after="0" w:line="268" w:lineRule="auto"/>
        <w:tabs>
          <w:tab w:leader="none" w:pos="835" w:val="left"/>
        </w:tabs>
        <w:numPr>
          <w:ilvl w:val="1"/>
          <w:numId w:val="1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reverse merger in which the Company is the surviving entity but in which securities possessing more than fifty percent (50%) of the total combined voting power of all outstanding voting securities of the Company are transferred to or acquired by a person or persons different</w:t>
      </w:r>
    </w:p>
    <w:p>
      <w:pPr>
        <w:spacing w:after="0" w:line="210" w:lineRule="exact"/>
        <w:rPr>
          <w:sz w:val="20"/>
          <w:szCs w:val="20"/>
          <w:color w:val="auto"/>
        </w:rPr>
      </w:pPr>
    </w:p>
    <w:p>
      <w:pPr>
        <w:ind w:left="2678"/>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9857"/>
          </w:cols>
          <w:pgMar w:left="602" w:top="540" w:right="1440" w:bottom="1440" w:gutter="0" w:footer="0" w:header="0"/>
        </w:sectPr>
      </w:pPr>
    </w:p>
    <w:bookmarkStart w:id="214" w:name="page215"/>
    <w:bookmarkEnd w:id="214"/>
    <w:p>
      <w:pPr>
        <w:ind w:left="1140"/>
        <w:spacing w:after="0"/>
        <w:rPr>
          <w:sz w:val="20"/>
          <w:szCs w:val="20"/>
          <w:color w:val="auto"/>
        </w:rPr>
      </w:pPr>
      <w:r>
        <w:rPr>
          <w:rFonts w:ascii="Courier New" w:cs="Courier New" w:eastAsia="Courier New" w:hAnsi="Courier New"/>
          <w:sz w:val="13"/>
          <w:szCs w:val="13"/>
          <w:color w:val="auto"/>
        </w:rPr>
        <w:t>from the persons holding those securities immediately prior to</w:t>
      </w:r>
    </w:p>
    <w:p>
      <w:pPr>
        <w:spacing w:after="0" w:line="24" w:lineRule="exact"/>
        <w:rPr>
          <w:sz w:val="20"/>
          <w:szCs w:val="20"/>
          <w:color w:val="auto"/>
        </w:rPr>
      </w:pPr>
    </w:p>
    <w:p>
      <w:pPr>
        <w:ind w:left="1140"/>
        <w:spacing w:after="0"/>
        <w:rPr>
          <w:sz w:val="20"/>
          <w:szCs w:val="20"/>
          <w:color w:val="auto"/>
        </w:rPr>
      </w:pPr>
      <w:r>
        <w:rPr>
          <w:rFonts w:ascii="Courier New" w:cs="Courier New" w:eastAsia="Courier New" w:hAnsi="Courier New"/>
          <w:sz w:val="13"/>
          <w:szCs w:val="13"/>
          <w:color w:val="auto"/>
        </w:rPr>
        <w:t>such merger;</w:t>
      </w:r>
    </w:p>
    <w:p>
      <w:pPr>
        <w:spacing w:after="0" w:line="124" w:lineRule="exact"/>
        <w:rPr>
          <w:sz w:val="20"/>
          <w:szCs w:val="20"/>
          <w:color w:val="auto"/>
        </w:rPr>
      </w:pPr>
    </w:p>
    <w:p>
      <w:pPr>
        <w:ind w:left="1140" w:right="4099" w:hanging="375"/>
        <w:spacing w:after="0" w:line="256" w:lineRule="auto"/>
        <w:tabs>
          <w:tab w:leader="none" w:pos="1140" w:val="left"/>
        </w:tabs>
        <w:numPr>
          <w:ilvl w:val="0"/>
          <w:numId w:val="1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during any period of two (2) consecutive years during the Employment Term or any extensions thereof, individuals, who, at the beginning of such period, constitute the Board, cease for any reason to constitute at least a majority thereof, unless the election of each director who was not a director at the beginning of such period has been approved in advance by directors representing at least two-thirds of the directors then in office who were directors at the beginning of the period;</w:t>
      </w:r>
    </w:p>
    <w:p>
      <w:pPr>
        <w:spacing w:after="0" w:line="70" w:lineRule="exact"/>
        <w:rPr>
          <w:rFonts w:ascii="Courier New" w:cs="Courier New" w:eastAsia="Courier New" w:hAnsi="Courier New"/>
          <w:sz w:val="13"/>
          <w:szCs w:val="13"/>
          <w:color w:val="auto"/>
        </w:rPr>
      </w:pPr>
    </w:p>
    <w:p>
      <w:pPr>
        <w:ind w:left="1140" w:right="4099" w:hanging="375"/>
        <w:spacing w:after="0" w:line="248" w:lineRule="auto"/>
        <w:tabs>
          <w:tab w:leader="none" w:pos="1140" w:val="left"/>
        </w:tabs>
        <w:numPr>
          <w:ilvl w:val="0"/>
          <w:numId w:val="1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sale, transfer or other disposition (in one transaction or a series of related transactions) of assets of the Company that have a total fair market value equal to or more than one-third of the total fair market value of all of the assets of the Company immediately prior to such sale, transfer or other disposition, other than a sale, transfer or other disposition to an entity (x) which immediately following such sale, transfer or other disposition owns, directly or indirectly, at least 50% of the Company's outstanding voting securities or (y) 50% or more of whose outstanding voting securities is immediately following such sale, transfer or other disposition owned, directly or indirectly, by the Company. For purposes of the foregoing clause, the sale of stock of a subsidiary of the Company (or the assets of such subsidiary) shall be treated as a sale of assets of the Company; or</w:t>
      </w:r>
    </w:p>
    <w:p>
      <w:pPr>
        <w:spacing w:after="0" w:line="76" w:lineRule="exact"/>
        <w:rPr>
          <w:rFonts w:ascii="Courier New" w:cs="Courier New" w:eastAsia="Courier New" w:hAnsi="Courier New"/>
          <w:sz w:val="13"/>
          <w:szCs w:val="13"/>
          <w:color w:val="auto"/>
        </w:rPr>
      </w:pPr>
    </w:p>
    <w:p>
      <w:pPr>
        <w:ind w:left="1140" w:right="4339" w:hanging="375"/>
        <w:spacing w:after="0" w:line="353" w:lineRule="auto"/>
        <w:tabs>
          <w:tab w:leader="none" w:pos="1140" w:val="left"/>
        </w:tabs>
        <w:numPr>
          <w:ilvl w:val="0"/>
          <w:numId w:val="1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approval by the stockholders of a plan or proposal for the liquidation or dissolution of the Company.</w:t>
      </w:r>
    </w:p>
    <w:p>
      <w:pPr>
        <w:spacing w:after="0" w:line="9" w:lineRule="exact"/>
        <w:rPr>
          <w:sz w:val="20"/>
          <w:szCs w:val="20"/>
          <w:color w:val="auto"/>
        </w:rPr>
      </w:pPr>
    </w:p>
    <w:p>
      <w:pPr>
        <w:ind w:right="4099"/>
        <w:spacing w:after="0" w:line="249" w:lineRule="auto"/>
        <w:rPr>
          <w:sz w:val="20"/>
          <w:szCs w:val="20"/>
          <w:color w:val="auto"/>
        </w:rPr>
      </w:pPr>
      <w:r>
        <w:rPr>
          <w:rFonts w:ascii="Courier New" w:cs="Courier New" w:eastAsia="Courier New" w:hAnsi="Courier New"/>
          <w:sz w:val="13"/>
          <w:szCs w:val="13"/>
          <w:color w:val="auto"/>
        </w:rPr>
        <w:t>For purposes of this Agreement, no event or transaction which is entered into, is contemplated by, or occurs as a result of the Agreement and Plan of Merger, dated as of June 25, 2006 by and between Fidelity National Information Services, Inc. and Fidelity National Financial, Inc. or the Securities Exchange and Distribution Agreement, dated as of June 25, 2006 by and between Fidelity National Financial, Inc. and Fidelity National Title Group, Inc. shall constitute a Change in Control. In addition, no event or transaction which results in the merger or other combination of the Company or any affiliate thereof with Fidelity National Information Services, Inc. or any affiliate thereof in which the combined shareholders of both entities before such transaction own at least 80% in the aggregate of the voting power of the stock of the combined or merged company immediately after such event or transaction shall constitute a Change in Control.</w:t>
      </w:r>
    </w:p>
    <w:p>
      <w:pPr>
        <w:spacing w:after="0" w:line="78" w:lineRule="exact"/>
        <w:rPr>
          <w:sz w:val="20"/>
          <w:szCs w:val="20"/>
          <w:color w:val="auto"/>
        </w:rPr>
      </w:pPr>
    </w:p>
    <w:p>
      <w:pPr>
        <w:ind w:left="380"/>
        <w:spacing w:after="0"/>
        <w:rPr>
          <w:sz w:val="20"/>
          <w:szCs w:val="20"/>
          <w:color w:val="auto"/>
        </w:rPr>
      </w:pPr>
      <w:r>
        <w:rPr>
          <w:rFonts w:ascii="Courier New" w:cs="Courier New" w:eastAsia="Courier New" w:hAnsi="Courier New"/>
          <w:sz w:val="13"/>
          <w:szCs w:val="13"/>
          <w:color w:val="auto"/>
        </w:rPr>
        <w:t>9. Excise Tax Gross-up Payments.</w:t>
      </w:r>
    </w:p>
    <w:p>
      <w:pPr>
        <w:spacing w:after="0" w:line="148" w:lineRule="exact"/>
        <w:rPr>
          <w:sz w:val="20"/>
          <w:szCs w:val="20"/>
          <w:color w:val="auto"/>
        </w:rPr>
      </w:pPr>
    </w:p>
    <w:p>
      <w:pPr>
        <w:ind w:left="760" w:right="4099" w:hanging="378"/>
        <w:spacing w:after="0" w:line="254" w:lineRule="auto"/>
        <w:tabs>
          <w:tab w:leader="none" w:pos="760" w:val="left"/>
        </w:tabs>
        <w:numPr>
          <w:ilvl w:val="0"/>
          <w:numId w:val="197"/>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any payments or benefits paid or provided or to be paid or provided to the Employee or for his benefit pursuant to the terms of this Agreement or otherwise in connection with, or arising out of, his employment with the Company or its subsidiaries or the termination thereof (a "Payment" and, collectively, the "Payments") would be subject to the excise tax (the "Excise Tax") imposed by Section 4999 of the Code, then, except as otherwise provided in this Section 9(a), the Employee will be entitled to receive an additional payment (a "Gross-Up</w:t>
      </w:r>
    </w:p>
    <w:p>
      <w:pPr>
        <w:spacing w:after="0" w:line="219"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39"/>
          </w:cols>
          <w:pgMar w:left="220" w:top="540" w:right="1440" w:bottom="1440" w:gutter="0" w:footer="0" w:header="0"/>
        </w:sectPr>
      </w:pPr>
    </w:p>
    <w:bookmarkStart w:id="215" w:name="page216"/>
    <w:bookmarkEnd w:id="215"/>
    <w:p>
      <w:pPr>
        <w:ind w:left="378" w:right="4099"/>
        <w:spacing w:after="0" w:line="273" w:lineRule="auto"/>
        <w:rPr>
          <w:sz w:val="20"/>
          <w:szCs w:val="20"/>
          <w:color w:val="auto"/>
        </w:rPr>
      </w:pPr>
      <w:r>
        <w:rPr>
          <w:rFonts w:ascii="Courier New" w:cs="Courier New" w:eastAsia="Courier New" w:hAnsi="Courier New"/>
          <w:sz w:val="12"/>
          <w:szCs w:val="12"/>
          <w:color w:val="auto"/>
        </w:rPr>
        <w:t>Payment") in an amount such that, after payment by the Employee of all income taxes, all employment taxes and any Excise Tax imposed upon the Gross-Up Payment (including any related interest and penalties), the Employee retains an amount of the Gross-Up Payment equal to the Excise Tax (including any related interest and penalties) imposed upon the Payments. Notwithstanding the foregoing, if the amount of the Payments does not exceed by more than 3% the amount that would be payable to the Employee if the Payments were reduced to one dollar less than what would constitute a "parachute payment" under Section 280G of the Code (the "Scaled Back Amount"), then the Payments shall be reduced, in a manner determined by the Employee, to the Scaled Back Amount, and the Employee shall not be entitled to any Gross-Up Payment.</w:t>
      </w:r>
    </w:p>
    <w:p>
      <w:pPr>
        <w:spacing w:after="0" w:line="61" w:lineRule="exact"/>
        <w:rPr>
          <w:sz w:val="20"/>
          <w:szCs w:val="20"/>
          <w:color w:val="auto"/>
        </w:rPr>
      </w:pPr>
    </w:p>
    <w:p>
      <w:pPr>
        <w:ind w:left="378" w:right="4099" w:hanging="378"/>
        <w:spacing w:after="0" w:line="264" w:lineRule="auto"/>
        <w:tabs>
          <w:tab w:leader="none" w:pos="378" w:val="left"/>
        </w:tabs>
        <w:numPr>
          <w:ilvl w:val="0"/>
          <w:numId w:val="1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 initial determination of (i) whether a Gross-Up Payment is required pursuant to this Agreement, and, if applicable, the amount of such Gross-Up Payment or (ii) whether the Payments must be reduced to the Scaled Back Amount and, if so, the amount of such reduction, will be made at the Company's expense by an accounting firm selected by the Company. The accounting firm will provide its determination, together with detailed supporting calculations and documentation, to the Company and the Employee within ten (10) business days after the date of termination of Employee's employment, or such other time as may be reasonably requested by the Company or the Employee. If the accounting firm determines that no Excise Tax is payable by the Employee with respect to a Payment or Payments, it will furnish the Employee with an opinion to that effect. If a Gross-Up Payment becomes payable, such Gross-Up Payment will be paid by the Company to the Employee within thirty (30) business days of the receipt of the accounting firm's determination. If a reduction in Payments is required, such reduction shall be effectuated within thirty (30) business days of the receipt of the accounting firm's determination. Within ten (10) business days after the accounting firm delivers its determination to the Employee, the Employee will have the right to dispute the determination. The existence of a dispute will not in any way affect the Employee's right to receive a Gross-Up Payment in accordance with the determination. If there is no dispute, the determination will be binding, final, and conclusive upon the Company and the Employee. If there is a dispute, the Company and the Employee will together select a second accounting firm, which will review the determination and the Employee's basis for the dispute and then will render its own determination, which will be binding, final, and conclusive on the Company and on the Employee for purposes of determining whether a Gross-Up Payment is required pursuant to this Section 9(b) or whether a reduction to the Scaled Back Amount is required, as the case may be. If as a result of any dispute pursuant to this Section 9(b) a Gross-Up Payment is made or additional Gross-Up Payments are made, such Gross-Up Payment(s) will be paid by the Company to the Employee within thirty (30) business days of the receipt of the second accounting firm's determination. The Company will bear all costs associated with the second accounting firm's determination, unless such determination does not result in additional Gross-Up Payments to the Employee or unless such determination does not mitigate the reduction in Payments required</w:t>
      </w:r>
    </w:p>
    <w:p>
      <w:pPr>
        <w:spacing w:after="0" w:line="200" w:lineRule="exact"/>
        <w:rPr>
          <w:sz w:val="20"/>
          <w:szCs w:val="20"/>
          <w:color w:val="auto"/>
        </w:rPr>
      </w:pPr>
    </w:p>
    <w:p>
      <w:pPr>
        <w:spacing w:after="0" w:line="312" w:lineRule="exact"/>
        <w:rPr>
          <w:sz w:val="20"/>
          <w:szCs w:val="20"/>
          <w:color w:val="auto"/>
        </w:rPr>
      </w:pPr>
    </w:p>
    <w:p>
      <w:pPr>
        <w:ind w:left="2678"/>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9857"/>
          </w:cols>
          <w:pgMar w:left="602" w:top="540" w:right="1440" w:bottom="1440" w:gutter="0" w:footer="0" w:header="0"/>
        </w:sectPr>
      </w:pPr>
    </w:p>
    <w:bookmarkStart w:id="216" w:name="page217"/>
    <w:bookmarkEnd w:id="216"/>
    <w:p>
      <w:pPr>
        <w:ind w:left="378" w:right="4099"/>
        <w:spacing w:after="0" w:line="353" w:lineRule="auto"/>
        <w:rPr>
          <w:sz w:val="20"/>
          <w:szCs w:val="20"/>
          <w:color w:val="auto"/>
        </w:rPr>
      </w:pPr>
      <w:r>
        <w:rPr>
          <w:rFonts w:ascii="Courier New" w:cs="Courier New" w:eastAsia="Courier New" w:hAnsi="Courier New"/>
          <w:sz w:val="13"/>
          <w:szCs w:val="13"/>
          <w:color w:val="auto"/>
        </w:rPr>
        <w:t>to arrive at the Scaled Back Amount, in which case all such costs will be borne by the Employee.</w:t>
      </w:r>
    </w:p>
    <w:p>
      <w:pPr>
        <w:spacing w:after="0" w:line="9" w:lineRule="exact"/>
        <w:rPr>
          <w:sz w:val="20"/>
          <w:szCs w:val="20"/>
          <w:color w:val="auto"/>
        </w:rPr>
      </w:pPr>
    </w:p>
    <w:p>
      <w:pPr>
        <w:ind w:left="378" w:right="4099" w:hanging="378"/>
        <w:spacing w:after="0" w:line="276" w:lineRule="auto"/>
        <w:tabs>
          <w:tab w:leader="none" w:pos="378" w:val="left"/>
        </w:tabs>
        <w:numPr>
          <w:ilvl w:val="0"/>
          <w:numId w:val="1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purposes of determining the amount of the Gross-Up Payment and, if applicable, the Scaled Back Amount, the Employee will be deemed to pay federal income taxes at the highest marginal rate of federal income taxation in the calendar year in which the Gross-Up Payment is to be made or the Scaled Back Amount is determined, as the case may be, and applicable state and local income taxes at the highest marginal rate of taxation in the state and locality of the Employee's residence on the date of termination of Employee's employment, net of the maximum reduction in federal income taxes that would be obtained from deduction of those state and local taxes.</w:t>
      </w:r>
    </w:p>
    <w:p>
      <w:pPr>
        <w:spacing w:after="0" w:line="58" w:lineRule="exact"/>
        <w:rPr>
          <w:rFonts w:ascii="Courier New" w:cs="Courier New" w:eastAsia="Courier New" w:hAnsi="Courier New"/>
          <w:sz w:val="12"/>
          <w:szCs w:val="12"/>
          <w:color w:val="auto"/>
        </w:rPr>
      </w:pPr>
    </w:p>
    <w:p>
      <w:pPr>
        <w:ind w:left="378" w:right="4099" w:hanging="378"/>
        <w:spacing w:after="0" w:line="244" w:lineRule="auto"/>
        <w:tabs>
          <w:tab w:leader="none" w:pos="378" w:val="left"/>
        </w:tabs>
        <w:numPr>
          <w:ilvl w:val="0"/>
          <w:numId w:val="199"/>
        </w:numPr>
        <w:rPr>
          <w:rFonts w:ascii="Courier New" w:cs="Courier New" w:eastAsia="Courier New" w:hAnsi="Courier New"/>
          <w:sz w:val="13"/>
          <w:szCs w:val="13"/>
          <w:color w:val="auto"/>
        </w:rPr>
      </w:pPr>
      <w:r>
        <w:rPr>
          <w:rFonts w:ascii="Courier New" w:cs="Courier New" w:eastAsia="Courier New" w:hAnsi="Courier New"/>
          <w:sz w:val="13"/>
          <w:szCs w:val="13"/>
          <w:color w:val="auto"/>
        </w:rPr>
        <w:t>As a result of the uncertainty in the application of Section 4999 of the Code, it is possible that Gross-Up Payments which will not have been made by the Company should have been made, the Employee's Payments will be reduced to the Scaled Back Amount when they should not have been or the Employee's Payments are reduced to a greater extent than they should have been (an "Underpayment") or Gross-Up Payments are made by the Company which should not have been made, the Employee's Payments are not reduced to the Scaled Back Amount when they should have been or they are not reduced to the extent they should have been (an "Overpayment"). If it is determined that an Underpayment has occurred, the accounting firm shall determine the amount of the Underpayment that has occurred and any such Underpayment (together with interest at the rate provided in Section 1274(b)(2)(B) of the Code) shall be promptly paid by the Company to or for the benefit of Employee. If it is determined that an Overpayment has occurred, the accounting firm shall determine the amount of the Overpayment that has occurred and any such Overpayment (together with interest at the rate provided in Section 1274(b)(2) of the Code) shall be promptly paid by the Employee (to the extent he has received a refund if the applicable Excise Tax has been paid to the Internal Revenue Service) to or for the benefit of the Company; provided, however, that if the Company determines that such repayment obligation would be or result in an unlawful extension of credit under Section 13(k) of the Exchange Act, repayment shall not be required. The Employee shall cooperate, to the extent his expenses are reimbursed by the Company, with any reasonable requests by the Company in connection with any contest or disputes with the Internal Revenue Service in connection with the Excise Tax.</w:t>
      </w:r>
    </w:p>
    <w:p>
      <w:pPr>
        <w:spacing w:after="0" w:line="83" w:lineRule="exact"/>
        <w:rPr>
          <w:rFonts w:ascii="Courier New" w:cs="Courier New" w:eastAsia="Courier New" w:hAnsi="Courier New"/>
          <w:sz w:val="13"/>
          <w:szCs w:val="13"/>
          <w:color w:val="auto"/>
        </w:rPr>
      </w:pPr>
    </w:p>
    <w:p>
      <w:pPr>
        <w:ind w:left="378" w:right="4099" w:hanging="378"/>
        <w:spacing w:after="0" w:line="251" w:lineRule="auto"/>
        <w:tabs>
          <w:tab w:leader="none" w:pos="378" w:val="left"/>
        </w:tabs>
        <w:numPr>
          <w:ilvl w:val="0"/>
          <w:numId w:val="19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Employee shall notify the Company in writing of any claim by the Internal Revenue Service that, if successful, would require a payment resulting in an Underpayment. Such notification shall be given as soon as practicable but no later than ten (10) business days after the Employee is informed in writing of such claim and shall apprise the Company of the nature of such claim and the date on which such claim is requested to be paid. The Employee shall not pay such claim prior to the expiration of the thirty (30) day period following the date on which he gives such notice to the Company (or such shorter period ending on the date that any payment of taxes with respect to such claim is due). If the Company notifies</w:t>
      </w:r>
    </w:p>
    <w:p>
      <w:pPr>
        <w:spacing w:after="0" w:line="222" w:lineRule="exact"/>
        <w:rPr>
          <w:sz w:val="20"/>
          <w:szCs w:val="20"/>
          <w:color w:val="auto"/>
        </w:rPr>
      </w:pPr>
    </w:p>
    <w:p>
      <w:pPr>
        <w:ind w:left="2678"/>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9857"/>
          </w:cols>
          <w:pgMar w:left="602" w:top="540" w:right="1440" w:bottom="1440" w:gutter="0" w:footer="0" w:header="0"/>
        </w:sectPr>
      </w:pPr>
    </w:p>
    <w:bookmarkStart w:id="217" w:name="page218"/>
    <w:bookmarkEnd w:id="217"/>
    <w:p>
      <w:pPr>
        <w:ind w:left="378" w:right="4099"/>
        <w:spacing w:after="0" w:line="353" w:lineRule="auto"/>
        <w:rPr>
          <w:sz w:val="20"/>
          <w:szCs w:val="20"/>
          <w:color w:val="auto"/>
        </w:rPr>
      </w:pPr>
      <w:r>
        <w:rPr>
          <w:rFonts w:ascii="Courier New" w:cs="Courier New" w:eastAsia="Courier New" w:hAnsi="Courier New"/>
          <w:sz w:val="13"/>
          <w:szCs w:val="13"/>
          <w:color w:val="auto"/>
        </w:rPr>
        <w:t>the Employee in writing prior to the expiration of such period that it desires to contest such claim, the Employee shall:</w:t>
      </w:r>
    </w:p>
    <w:p>
      <w:pPr>
        <w:spacing w:after="0" w:line="9" w:lineRule="exact"/>
        <w:rPr>
          <w:sz w:val="20"/>
          <w:szCs w:val="20"/>
          <w:color w:val="auto"/>
        </w:rPr>
      </w:pPr>
    </w:p>
    <w:p>
      <w:pPr>
        <w:ind w:left="758" w:right="4499" w:hanging="375"/>
        <w:spacing w:after="0" w:line="353" w:lineRule="auto"/>
        <w:tabs>
          <w:tab w:leader="none" w:pos="758" w:val="left"/>
        </w:tabs>
        <w:numPr>
          <w:ilvl w:val="0"/>
          <w:numId w:val="200"/>
        </w:numPr>
        <w:rPr>
          <w:rFonts w:ascii="Courier New" w:cs="Courier New" w:eastAsia="Courier New" w:hAnsi="Courier New"/>
          <w:sz w:val="13"/>
          <w:szCs w:val="13"/>
          <w:color w:val="auto"/>
        </w:rPr>
      </w:pPr>
      <w:r>
        <w:rPr>
          <w:rFonts w:ascii="Courier New" w:cs="Courier New" w:eastAsia="Courier New" w:hAnsi="Courier New"/>
          <w:sz w:val="13"/>
          <w:szCs w:val="13"/>
          <w:color w:val="auto"/>
        </w:rPr>
        <w:t>give the Company any information reasonably requested by the Company relating to such claim,</w:t>
      </w:r>
    </w:p>
    <w:p>
      <w:pPr>
        <w:spacing w:after="0" w:line="9" w:lineRule="exact"/>
        <w:rPr>
          <w:rFonts w:ascii="Courier New" w:cs="Courier New" w:eastAsia="Courier New" w:hAnsi="Courier New"/>
          <w:sz w:val="13"/>
          <w:szCs w:val="13"/>
          <w:color w:val="auto"/>
        </w:rPr>
      </w:pPr>
    </w:p>
    <w:p>
      <w:pPr>
        <w:ind w:left="758" w:right="4179" w:hanging="375"/>
        <w:spacing w:after="0" w:line="268" w:lineRule="auto"/>
        <w:tabs>
          <w:tab w:leader="none" w:pos="758" w:val="left"/>
        </w:tabs>
        <w:numPr>
          <w:ilvl w:val="0"/>
          <w:numId w:val="20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62" w:lineRule="exact"/>
        <w:rPr>
          <w:rFonts w:ascii="Courier New" w:cs="Courier New" w:eastAsia="Courier New" w:hAnsi="Courier New"/>
          <w:sz w:val="13"/>
          <w:szCs w:val="13"/>
          <w:color w:val="auto"/>
        </w:rPr>
      </w:pPr>
    </w:p>
    <w:p>
      <w:pPr>
        <w:ind w:left="758" w:right="4099" w:hanging="375"/>
        <w:spacing w:after="0" w:line="353" w:lineRule="auto"/>
        <w:tabs>
          <w:tab w:leader="none" w:pos="835" w:val="left"/>
        </w:tabs>
        <w:numPr>
          <w:ilvl w:val="0"/>
          <w:numId w:val="200"/>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cooperate with the Company in good faith in order effectively to contest such claim, and</w:t>
      </w:r>
    </w:p>
    <w:p>
      <w:pPr>
        <w:spacing w:after="0" w:line="9" w:lineRule="exact"/>
        <w:rPr>
          <w:rFonts w:ascii="Courier New" w:cs="Courier New" w:eastAsia="Courier New" w:hAnsi="Courier New"/>
          <w:sz w:val="13"/>
          <w:szCs w:val="13"/>
          <w:color w:val="auto"/>
        </w:rPr>
      </w:pPr>
    </w:p>
    <w:p>
      <w:pPr>
        <w:ind w:left="758" w:right="4259" w:hanging="375"/>
        <w:spacing w:after="0" w:line="353" w:lineRule="auto"/>
        <w:tabs>
          <w:tab w:leader="none" w:pos="758" w:val="left"/>
        </w:tabs>
        <w:numPr>
          <w:ilvl w:val="0"/>
          <w:numId w:val="200"/>
        </w:numPr>
        <w:rPr>
          <w:rFonts w:ascii="Courier New" w:cs="Courier New" w:eastAsia="Courier New" w:hAnsi="Courier New"/>
          <w:sz w:val="13"/>
          <w:szCs w:val="13"/>
          <w:color w:val="auto"/>
        </w:rPr>
      </w:pPr>
      <w:r>
        <w:rPr>
          <w:rFonts w:ascii="Courier New" w:cs="Courier New" w:eastAsia="Courier New" w:hAnsi="Courier New"/>
          <w:sz w:val="13"/>
          <w:szCs w:val="13"/>
          <w:color w:val="auto"/>
        </w:rPr>
        <w:t>permit the Company to participate in any proceeding relating to such claim;</w:t>
      </w:r>
    </w:p>
    <w:p>
      <w:pPr>
        <w:spacing w:after="0" w:line="9" w:lineRule="exact"/>
        <w:rPr>
          <w:sz w:val="20"/>
          <w:szCs w:val="20"/>
          <w:color w:val="auto"/>
        </w:rPr>
      </w:pPr>
    </w:p>
    <w:p>
      <w:pPr>
        <w:ind w:left="378" w:right="4099"/>
        <w:spacing w:after="0" w:line="265" w:lineRule="auto"/>
        <w:rPr>
          <w:sz w:val="20"/>
          <w:szCs w:val="20"/>
          <w:color w:val="auto"/>
        </w:rPr>
      </w:pPr>
      <w:r>
        <w:rPr>
          <w:rFonts w:ascii="Courier New" w:cs="Courier New" w:eastAsia="Courier New" w:hAnsi="Courier New"/>
          <w:sz w:val="12"/>
          <w:szCs w:val="12"/>
          <w:color w:val="auto"/>
        </w:rPr>
        <w:t>provided, however, that the Company shall bear and pay directly all costs and expenses (including additional interest and penalties) incurred in connection with such contest and shall indemnify and hold the Employee harmless, on an after-tax basis, for any Excise Tax or income tax (including related interest and penalties) imposed as a result of such representation and payment of costs and expenses. Without limitation on the foregoing provisions of this Section 9(e),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Employee to pay the tax claimed and sue for a refund or contest the claim in any permissible manner, and the Employee agrees to prosecute such contest to a determination before any administrative tribunal, in a court of initial jurisdiction and in one or more appellate courts, as the Company shall determine; provided, however, that if the Company directs the Employee to pay such claim and sue for a refund, the Company shall advance the amount of such payment to the Employee, on an interest-free basis and shall indemnify and hold the Employee harmless, on an after-tax basis, from any Excise Tax or income tax (including related interest or penalties) imposed with respect to such advance or with respect to any imputed income with respect to such advance. The Company's control of the contest shall be limited to issues that may impact Gross-Up Payments or reduction in Payments under this Section 9, and the Employee shall be entitled to settle or contest, as the case may be, any other issue raised by the Internal Revenue Service or any other taxing authority.</w:t>
      </w:r>
    </w:p>
    <w:p>
      <w:pPr>
        <w:spacing w:after="0" w:line="226" w:lineRule="exact"/>
        <w:rPr>
          <w:sz w:val="20"/>
          <w:szCs w:val="20"/>
          <w:color w:val="auto"/>
        </w:rPr>
      </w:pPr>
    </w:p>
    <w:p>
      <w:pPr>
        <w:ind w:left="378" w:right="4179" w:hanging="378"/>
        <w:spacing w:after="0" w:line="284" w:lineRule="auto"/>
        <w:tabs>
          <w:tab w:leader="none" w:pos="378" w:val="left"/>
        </w:tabs>
        <w:numPr>
          <w:ilvl w:val="0"/>
          <w:numId w:val="2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after the receipt by the Employee of an amount advanced by the Company pursuant to Section 9(e), the Employee becomes entitled to receive any refund with respect to such claim, the Employee shall (subject to the Company's complying with the requirements of Section 9(e)) promptly pay to the Company the amount of such refund (together with any interest paid or credited thereon after taxes applicable thereto). If, after the receipt by the Employee of an amount</w:t>
      </w:r>
    </w:p>
    <w:p>
      <w:pPr>
        <w:spacing w:after="0" w:line="201"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9857"/>
          </w:cols>
          <w:pgMar w:left="602" w:top="540" w:right="1440" w:bottom="1440" w:gutter="0" w:footer="0" w:header="0"/>
        </w:sectPr>
      </w:pPr>
    </w:p>
    <w:bookmarkStart w:id="218" w:name="page219"/>
    <w:bookmarkEnd w:id="218"/>
    <w:p>
      <w:pPr>
        <w:ind w:left="378" w:right="4179"/>
        <w:spacing w:after="0" w:line="288" w:lineRule="auto"/>
        <w:rPr>
          <w:sz w:val="20"/>
          <w:szCs w:val="20"/>
          <w:color w:val="auto"/>
        </w:rPr>
      </w:pPr>
      <w:r>
        <w:rPr>
          <w:rFonts w:ascii="Courier New" w:cs="Courier New" w:eastAsia="Courier New" w:hAnsi="Courier New"/>
          <w:sz w:val="12"/>
          <w:szCs w:val="12"/>
          <w:color w:val="auto"/>
        </w:rPr>
        <w:t>advanced by the Company pursuant to Section 9(e), a determination is made that the Employee shall not be entitled to any refund with respect to such claim and the Company does not notify the Employee in writing of its intent to contest such denial of refund prior to the expiration of thirty (30) days after such determination, then such advance shall be forgiven and shall not be required to be repaid.</w:t>
      </w:r>
    </w:p>
    <w:p>
      <w:pPr>
        <w:spacing w:after="0" w:line="53" w:lineRule="exact"/>
        <w:rPr>
          <w:sz w:val="20"/>
          <w:szCs w:val="20"/>
          <w:color w:val="auto"/>
        </w:rPr>
      </w:pPr>
    </w:p>
    <w:p>
      <w:pPr>
        <w:ind w:left="-382" w:right="4339" w:firstLine="382"/>
        <w:spacing w:after="0" w:line="307" w:lineRule="auto"/>
        <w:tabs>
          <w:tab w:leader="none" w:pos="308" w:val="left"/>
        </w:tabs>
        <w:numPr>
          <w:ilvl w:val="0"/>
          <w:numId w:val="2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Non-Delegation of Employee's Rights. The obligations, rights and benefits of the Employee hereunder are personal and may not be delegated, assigned or transferred in any manner whatsoever, nor are such obligations, rights or benefits subject to involuntary alienation, assignment or transfer.</w:t>
      </w:r>
    </w:p>
    <w:p>
      <w:pPr>
        <w:spacing w:after="0" w:line="41" w:lineRule="exact"/>
        <w:rPr>
          <w:rFonts w:ascii="Courier New" w:cs="Courier New" w:eastAsia="Courier New" w:hAnsi="Courier New"/>
          <w:sz w:val="12"/>
          <w:szCs w:val="12"/>
          <w:color w:val="auto"/>
        </w:rPr>
      </w:pPr>
    </w:p>
    <w:p>
      <w:pPr>
        <w:ind w:left="-382" w:right="4099" w:firstLine="382"/>
        <w:spacing w:after="0" w:line="267" w:lineRule="auto"/>
        <w:tabs>
          <w:tab w:leader="none" w:pos="308" w:val="left"/>
        </w:tabs>
        <w:numPr>
          <w:ilvl w:val="0"/>
          <w:numId w:val="2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Confidential Information. The Employee acknowledges that in his capacity as an employee of the Company he will occupy a position of trust and confidence and he further acknowledges that he will have access to and learn substantial information about the Company and its affiliates and their operations that is confidential or not generally known in the industry including, without limitation, information that relates to purchasing, sales, customers, marketing, and the Company's and its affiliates' financial positions and financing arrangements. The Employee agrees that all such information is proprietary or confidential, or constitutes trade secrets and is the sole property of the Company and/or its affiliates, as the case may be. The Employee will keep confidential, and will not reproduce, copy or disclose to any other person or firm, any such information or any documents or information relating to the Company's or its affiliates' methods, processes, customers, accounts, analyses, systems, charts, programs, procedures, correspondence or records, or any other documents used or owned by the Company or any of its affiliates, nor will the Employee advise, discuss with or in any way assist any other person, firm or entity in obtaining or learning about any of the items described in this Section 11. Accordingly, the Employee agrees that during the Employment Term and at all times thereafter he will not disclose, or permit or encourage anyone else to disclose, any such information, nor will he utilize any such information, either alone or with others, outside the scope of his duties and responsibilities with the Company and its affiliates.</w:t>
      </w:r>
    </w:p>
    <w:p>
      <w:pPr>
        <w:spacing w:after="0" w:line="215" w:lineRule="exact"/>
        <w:rPr>
          <w:rFonts w:ascii="Courier New" w:cs="Courier New" w:eastAsia="Courier New" w:hAnsi="Courier New"/>
          <w:sz w:val="12"/>
          <w:szCs w:val="12"/>
          <w:color w:val="auto"/>
        </w:rPr>
      </w:pPr>
    </w:p>
    <w:p>
      <w:pPr>
        <w:ind w:left="-382" w:right="4099" w:firstLine="382"/>
        <w:spacing w:after="0" w:line="249" w:lineRule="auto"/>
        <w:tabs>
          <w:tab w:leader="none" w:pos="308" w:val="left"/>
        </w:tabs>
        <w:numPr>
          <w:ilvl w:val="0"/>
          <w:numId w:val="202"/>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Non-Competition During Employment Term. The Employee agrees that, during the Employment Term, he will devote substantially all his business time and effort, and give undivided loyalty, to the Company and its affiliates, and he will not engage in any way whatsoever, directly or indirectly, in any business that is competitive with the Company or its affiliates, nor solicit customers, suppliers or employees of the Company or affiliates on behalf of, or in any other manner work for or assist any business which is competitive with the Company or its affiliates. In addition, during the Employment Term, the Employee will undertake no planning for or organization of any business activity competitive with the work he performs as an employee of the Company, and the Employee will not combine or conspire with any other employee of the Company or any other person for the purpose of organizing any such competitive business activity.</w:t>
      </w:r>
    </w:p>
    <w:p>
      <w:pPr>
        <w:spacing w:after="0" w:line="77" w:lineRule="exact"/>
        <w:rPr>
          <w:rFonts w:ascii="Courier New" w:cs="Courier New" w:eastAsia="Courier New" w:hAnsi="Courier New"/>
          <w:sz w:val="13"/>
          <w:szCs w:val="13"/>
          <w:color w:val="auto"/>
        </w:rPr>
      </w:pPr>
    </w:p>
    <w:p>
      <w:pPr>
        <w:ind w:left="-382" w:right="4179" w:firstLine="382"/>
        <w:spacing w:after="0" w:line="268" w:lineRule="auto"/>
        <w:tabs>
          <w:tab w:leader="none" w:pos="308" w:val="left"/>
        </w:tabs>
        <w:numPr>
          <w:ilvl w:val="0"/>
          <w:numId w:val="202"/>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Non-Competition After Employment Term. The parties acknowledge that as an executive officer of the Company the Employee will acquire substantial knowledge and information concerning the business of the Company and its affiliates as a result of his employment. The parties further acknowledge that the scope of business in which the Company</w:t>
      </w:r>
    </w:p>
    <w:p>
      <w:pPr>
        <w:spacing w:after="0" w:line="210" w:lineRule="exact"/>
        <w:rPr>
          <w:sz w:val="20"/>
          <w:szCs w:val="20"/>
          <w:color w:val="auto"/>
        </w:rPr>
      </w:pPr>
    </w:p>
    <w:p>
      <w:pPr>
        <w:ind w:left="2598"/>
        <w:spacing w:after="0"/>
        <w:rPr>
          <w:sz w:val="20"/>
          <w:szCs w:val="20"/>
          <w:color w:val="auto"/>
        </w:rPr>
      </w:pPr>
      <w:r>
        <w:rPr>
          <w:rFonts w:ascii="Courier New" w:cs="Courier New" w:eastAsia="Courier New" w:hAnsi="Courier New"/>
          <w:sz w:val="13"/>
          <w:szCs w:val="13"/>
          <w:color w:val="auto"/>
        </w:rPr>
        <w:t>11</w:t>
      </w:r>
    </w:p>
    <w:p>
      <w:pPr>
        <w:sectPr>
          <w:pgSz w:w="11900" w:h="16838" w:orient="portrait"/>
          <w:cols w:equalWidth="0" w:num="1">
            <w:col w:w="9857"/>
          </w:cols>
          <w:pgMar w:left="602" w:top="540" w:right="1440" w:bottom="1440" w:gutter="0" w:footer="0" w:header="0"/>
        </w:sectPr>
      </w:pPr>
    </w:p>
    <w:bookmarkStart w:id="219" w:name="page220"/>
    <w:bookmarkEnd w:id="219"/>
    <w:p>
      <w:pPr>
        <w:ind w:right="4099"/>
        <w:spacing w:after="0" w:line="247" w:lineRule="auto"/>
        <w:rPr>
          <w:sz w:val="20"/>
          <w:szCs w:val="20"/>
          <w:color w:val="auto"/>
        </w:rPr>
      </w:pPr>
      <w:r>
        <w:rPr>
          <w:rFonts w:ascii="Courier New" w:cs="Courier New" w:eastAsia="Courier New" w:hAnsi="Courier New"/>
          <w:sz w:val="13"/>
          <w:szCs w:val="13"/>
          <w:color w:val="auto"/>
        </w:rPr>
        <w:t>and its affiliates are engaged as of the Effective Date is national and very competitive and one in which few companies can successfully compete. Competition by an executive officer such as the Employee in that business after the Employment Term is terminated would severely injure the Company and its affiliates. Accordingly, for a period of one (1) year after the Employee's employment terminates for any reason whatsoever, except as otherwise stated herein below, the Employee agrees (a) not to become an employee, consultant, advisor, principal, partner or substantial shareholder of any firm or business that in any way competes with the Company or its affiliates in any of their presently-existing or then-existing products and markets; and (b), on behalf of any such competitive firm or business, not to solicit any person or business that was at the time of such termination and remains a customer or prospective customer, a supplier or prospective supplier, or an employee of the Company or an affiliate. Notwithstanding any of the foregoing provisions to the contrary, the Employee shall not be subject to the restrictions set forth in this Section 13 under the following circumstances:</w:t>
      </w:r>
    </w:p>
    <w:p>
      <w:pPr>
        <w:spacing w:after="0" w:line="81" w:lineRule="exact"/>
        <w:rPr>
          <w:sz w:val="20"/>
          <w:szCs w:val="20"/>
          <w:color w:val="auto"/>
        </w:rPr>
      </w:pPr>
    </w:p>
    <w:p>
      <w:pPr>
        <w:ind w:left="760" w:right="4499" w:hanging="378"/>
        <w:spacing w:after="0" w:line="353" w:lineRule="auto"/>
        <w:tabs>
          <w:tab w:leader="none" w:pos="760" w:val="left"/>
        </w:tabs>
        <w:numPr>
          <w:ilvl w:val="0"/>
          <w:numId w:val="20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Employee's employment is terminated by the Company without Cause;</w:t>
      </w:r>
    </w:p>
    <w:p>
      <w:pPr>
        <w:spacing w:after="0" w:line="9" w:lineRule="exact"/>
        <w:rPr>
          <w:rFonts w:ascii="Courier New" w:cs="Courier New" w:eastAsia="Courier New" w:hAnsi="Courier New"/>
          <w:sz w:val="13"/>
          <w:szCs w:val="13"/>
          <w:color w:val="auto"/>
        </w:rPr>
      </w:pPr>
    </w:p>
    <w:p>
      <w:pPr>
        <w:ind w:left="760" w:right="4799" w:hanging="378"/>
        <w:spacing w:after="0" w:line="353" w:lineRule="auto"/>
        <w:tabs>
          <w:tab w:leader="none" w:pos="760" w:val="left"/>
        </w:tabs>
        <w:numPr>
          <w:ilvl w:val="0"/>
          <w:numId w:val="20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Employee's employment is terminated as a result of the Company's unwillingness to extend the Employment Term;</w:t>
      </w:r>
    </w:p>
    <w:p>
      <w:pPr>
        <w:spacing w:after="0" w:line="9" w:lineRule="exact"/>
        <w:rPr>
          <w:rFonts w:ascii="Courier New" w:cs="Courier New" w:eastAsia="Courier New" w:hAnsi="Courier New"/>
          <w:sz w:val="13"/>
          <w:szCs w:val="13"/>
          <w:color w:val="auto"/>
        </w:rPr>
      </w:pPr>
    </w:p>
    <w:p>
      <w:pPr>
        <w:ind w:left="760" w:hanging="378"/>
        <w:spacing w:after="0"/>
        <w:tabs>
          <w:tab w:leader="none" w:pos="760" w:val="left"/>
        </w:tabs>
        <w:numPr>
          <w:ilvl w:val="0"/>
          <w:numId w:val="20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 terminates employment for Good Reason; or</w:t>
      </w:r>
    </w:p>
    <w:p>
      <w:pPr>
        <w:spacing w:after="0" w:line="147" w:lineRule="exact"/>
        <w:rPr>
          <w:rFonts w:ascii="Courier New" w:cs="Courier New" w:eastAsia="Courier New" w:hAnsi="Courier New"/>
          <w:sz w:val="13"/>
          <w:szCs w:val="13"/>
          <w:color w:val="auto"/>
        </w:rPr>
      </w:pPr>
    </w:p>
    <w:p>
      <w:pPr>
        <w:ind w:left="760" w:right="4339" w:hanging="378"/>
        <w:spacing w:after="0" w:line="296" w:lineRule="auto"/>
        <w:tabs>
          <w:tab w:leader="none" w:pos="760" w:val="left"/>
        </w:tabs>
        <w:numPr>
          <w:ilvl w:val="0"/>
          <w:numId w:val="20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Employee terminates employment without Good Reason, any time during the one (1) year period immediately following a Change in Control.</w:t>
      </w:r>
    </w:p>
    <w:p>
      <w:pPr>
        <w:spacing w:after="0" w:line="45" w:lineRule="exact"/>
        <w:rPr>
          <w:sz w:val="20"/>
          <w:szCs w:val="20"/>
          <w:color w:val="auto"/>
        </w:rPr>
      </w:pPr>
    </w:p>
    <w:p>
      <w:pPr>
        <w:ind w:right="4099" w:firstLine="382"/>
        <w:spacing w:after="0" w:line="268" w:lineRule="auto"/>
        <w:tabs>
          <w:tab w:leader="none" w:pos="690" w:val="left"/>
        </w:tabs>
        <w:numPr>
          <w:ilvl w:val="0"/>
          <w:numId w:val="204"/>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Return of Company Documents. Upon termination of the Employment Term, Employee shall return immediately to the Company all records and documents of or pertaining to the Company or its affiliates and shall not make or retain any copy or extract of any such record or document, and other property of the Company or its affiliates.</w:t>
      </w:r>
    </w:p>
    <w:p>
      <w:pPr>
        <w:spacing w:after="0" w:line="62" w:lineRule="exact"/>
        <w:rPr>
          <w:rFonts w:ascii="Courier New" w:cs="Courier New" w:eastAsia="Courier New" w:hAnsi="Courier New"/>
          <w:sz w:val="13"/>
          <w:szCs w:val="13"/>
          <w:color w:val="auto"/>
        </w:rPr>
      </w:pPr>
    </w:p>
    <w:p>
      <w:pPr>
        <w:ind w:right="4099" w:firstLine="382"/>
        <w:spacing w:after="0" w:line="252" w:lineRule="auto"/>
        <w:tabs>
          <w:tab w:leader="none" w:pos="690" w:val="left"/>
        </w:tabs>
        <w:numPr>
          <w:ilvl w:val="0"/>
          <w:numId w:val="204"/>
        </w:numPr>
        <w:rPr>
          <w:rFonts w:ascii="Courier New" w:cs="Courier New" w:eastAsia="Courier New" w:hAnsi="Courier New"/>
          <w:sz w:val="13"/>
          <w:szCs w:val="13"/>
          <w:color w:val="auto"/>
        </w:rPr>
      </w:pPr>
      <w:r>
        <w:rPr>
          <w:rFonts w:ascii="Courier New" w:cs="Courier New" w:eastAsia="Courier New" w:hAnsi="Courier New"/>
          <w:sz w:val="13"/>
          <w:szCs w:val="13"/>
          <w:color w:val="auto"/>
        </w:rPr>
        <w:t>Improvements and Inventions. Any and all improvements or inventions, which the Employee may make or participate in during the Employment Term, unless wholly unrelated to the business of the Company and its affiliates and produced not in the scope of Employee's employment hereunder, shall be the sole and exclusive property of the Company. The Employee will, whenever requested by the Company, execute and deliver any and all documents which the Company shall deem appropriate in order to apply for and obtain patents for improvements or inventions or in order to assign and convey to the Company the sole and exclusive right, title and interest in and to such improvements, inventions, patents or applications.</w:t>
      </w:r>
    </w:p>
    <w:p>
      <w:pPr>
        <w:spacing w:after="0" w:line="75" w:lineRule="exact"/>
        <w:rPr>
          <w:rFonts w:ascii="Courier New" w:cs="Courier New" w:eastAsia="Courier New" w:hAnsi="Courier New"/>
          <w:sz w:val="13"/>
          <w:szCs w:val="13"/>
          <w:color w:val="auto"/>
        </w:rPr>
      </w:pPr>
    </w:p>
    <w:p>
      <w:pPr>
        <w:ind w:right="4099" w:firstLine="382"/>
        <w:spacing w:after="0" w:line="274" w:lineRule="auto"/>
        <w:tabs>
          <w:tab w:leader="none" w:pos="690" w:val="left"/>
        </w:tabs>
        <w:numPr>
          <w:ilvl w:val="0"/>
          <w:numId w:val="2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Actions. The parties agree and acknowledge that the rights conveyed by this Agreement are of a unique and special nature and that the Company will not have an adequate remedy at law in the event of a failure by the Employee to abide by its terms and conditions nor will money damages adequately compensate for such injury. It is, therefore, agreed between and hereby acknowledged by the parties that, in the event of a breach by the Employee of any of his obligations contained in this Agreement, the Company shall have the right, among other rights, to damages sustained thereby and to obtain an injunction or decree of specific performance from any court of competent jurisdiction to restrain or compel the Employee to perform as agreed herein. The Employee hereby acknowledges that obligations under Sections 11, 13, 14, 15, 16,</w:t>
      </w:r>
    </w:p>
    <w:p>
      <w:pPr>
        <w:spacing w:after="0" w:line="210"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10239"/>
          </w:cols>
          <w:pgMar w:left="220" w:top="540" w:right="1440" w:bottom="1440" w:gutter="0" w:footer="0" w:header="0"/>
        </w:sectPr>
      </w:pPr>
    </w:p>
    <w:bookmarkStart w:id="220" w:name="page221"/>
    <w:bookmarkEnd w:id="220"/>
    <w:p>
      <w:pPr>
        <w:jc w:val="both"/>
        <w:ind w:right="4179"/>
        <w:spacing w:after="0" w:line="307" w:lineRule="auto"/>
        <w:rPr>
          <w:sz w:val="20"/>
          <w:szCs w:val="20"/>
          <w:color w:val="auto"/>
        </w:rPr>
      </w:pPr>
      <w:r>
        <w:rPr>
          <w:rFonts w:ascii="Courier New" w:cs="Courier New" w:eastAsia="Courier New" w:hAnsi="Courier New"/>
          <w:sz w:val="12"/>
          <w:szCs w:val="12"/>
          <w:color w:val="auto"/>
        </w:rPr>
        <w:t>17 and 18 shall survive the termination of his employment and he shall be bound by their terms at all times subsequent to the termination of his employment for the periods specified therein. Nothing herein contained shall in any way limit or exclude any other right granted by law or equity to the Company.</w:t>
      </w:r>
    </w:p>
    <w:p>
      <w:pPr>
        <w:spacing w:after="0" w:line="42" w:lineRule="exact"/>
        <w:rPr>
          <w:sz w:val="20"/>
          <w:szCs w:val="20"/>
          <w:color w:val="auto"/>
        </w:rPr>
      </w:pPr>
    </w:p>
    <w:p>
      <w:pPr>
        <w:ind w:right="4099" w:firstLine="382"/>
        <w:spacing w:after="0" w:line="259" w:lineRule="auto"/>
        <w:tabs>
          <w:tab w:leader="none" w:pos="690" w:val="left"/>
        </w:tabs>
        <w:numPr>
          <w:ilvl w:val="0"/>
          <w:numId w:val="205"/>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Release. Notwithstanding any provision herein to the contrary, the Company will require that, prior to payment of any amount or provision of any benefit under Section 8 or payment of any Gross-Up Payment pursuant to Section 9 of this Agreement (other than due to the Employee's death), the Employee shall have executed a complete release of the Company and its affiliates and related parties in such form as is reasonably required by the Company, and any waiting periods contained in such release shall have expired.</w:t>
      </w:r>
    </w:p>
    <w:p>
      <w:pPr>
        <w:spacing w:after="0" w:line="67" w:lineRule="exact"/>
        <w:rPr>
          <w:rFonts w:ascii="Courier New" w:cs="Courier New" w:eastAsia="Courier New" w:hAnsi="Courier New"/>
          <w:sz w:val="13"/>
          <w:szCs w:val="13"/>
          <w:color w:val="auto"/>
        </w:rPr>
      </w:pPr>
    </w:p>
    <w:p>
      <w:pPr>
        <w:ind w:right="4099" w:firstLine="382"/>
        <w:spacing w:after="0" w:line="284" w:lineRule="auto"/>
        <w:tabs>
          <w:tab w:leader="none" w:pos="690" w:val="left"/>
        </w:tabs>
        <w:numPr>
          <w:ilvl w:val="0"/>
          <w:numId w:val="2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 Mitigation. The Company agrees that, if the Employee's employment hereunder is terminated during the Employment Term, the Employee is not required to seek other employment or to attempt in any way to reduce any amounts payable to the Employee by the Company hereunder. Further, the amount of any payment or benefit provided for hereunder (other than pursuant to Section 8(a)(v) hereof) shall not be reduced by any compensation earned by the Employee as the result of employment by another employer, by retirement benefits or otherwise.</w:t>
      </w:r>
    </w:p>
    <w:p>
      <w:pPr>
        <w:spacing w:after="0" w:line="53" w:lineRule="exact"/>
        <w:rPr>
          <w:rFonts w:ascii="Courier New" w:cs="Courier New" w:eastAsia="Courier New" w:hAnsi="Courier New"/>
          <w:sz w:val="12"/>
          <w:szCs w:val="12"/>
          <w:color w:val="auto"/>
        </w:rPr>
      </w:pPr>
    </w:p>
    <w:p>
      <w:pPr>
        <w:ind w:right="4339" w:firstLine="382"/>
        <w:spacing w:after="0" w:line="262" w:lineRule="auto"/>
        <w:tabs>
          <w:tab w:leader="none" w:pos="690" w:val="left"/>
        </w:tabs>
        <w:numPr>
          <w:ilvl w:val="0"/>
          <w:numId w:val="205"/>
        </w:numPr>
        <w:rPr>
          <w:rFonts w:ascii="Courier New" w:cs="Courier New" w:eastAsia="Courier New" w:hAnsi="Courier New"/>
          <w:sz w:val="13"/>
          <w:szCs w:val="13"/>
          <w:color w:val="auto"/>
        </w:rPr>
      </w:pPr>
      <w:r>
        <w:rPr>
          <w:rFonts w:ascii="Courier New" w:cs="Courier New" w:eastAsia="Courier New" w:hAnsi="Courier New"/>
          <w:sz w:val="13"/>
          <w:szCs w:val="13"/>
          <w:color w:val="auto"/>
        </w:rPr>
        <w:t>Entire Agreement and Amendment. This Agreement embodies the entire agreement and understanding of the parties hereto in respect of the subject matter of this Agreement, and supersedes and replaces all prior agreements, understandings and commitments with respect to such subject matter. This Agreement may be amended only by a written document signed by both parties to this Agreement.</w:t>
      </w:r>
    </w:p>
    <w:p>
      <w:pPr>
        <w:spacing w:after="0" w:line="67" w:lineRule="exact"/>
        <w:rPr>
          <w:rFonts w:ascii="Courier New" w:cs="Courier New" w:eastAsia="Courier New" w:hAnsi="Courier New"/>
          <w:sz w:val="13"/>
          <w:szCs w:val="13"/>
          <w:color w:val="auto"/>
        </w:rPr>
      </w:pPr>
    </w:p>
    <w:p>
      <w:pPr>
        <w:ind w:right="4099" w:firstLine="382"/>
        <w:spacing w:after="0" w:line="262" w:lineRule="auto"/>
        <w:tabs>
          <w:tab w:leader="none" w:pos="690" w:val="left"/>
        </w:tabs>
        <w:numPr>
          <w:ilvl w:val="0"/>
          <w:numId w:val="205"/>
        </w:numPr>
        <w:rPr>
          <w:rFonts w:ascii="Courier New" w:cs="Courier New" w:eastAsia="Courier New" w:hAnsi="Courier New"/>
          <w:sz w:val="13"/>
          <w:szCs w:val="13"/>
          <w:color w:val="auto"/>
        </w:rPr>
      </w:pPr>
      <w:r>
        <w:rPr>
          <w:rFonts w:ascii="Courier New" w:cs="Courier New" w:eastAsia="Courier New" w:hAnsi="Courier New"/>
          <w:sz w:val="13"/>
          <w:szCs w:val="13"/>
          <w:color w:val="auto"/>
        </w:rPr>
        <w:t>Governing Law. This Agreement shall be governed by, and construed in accordance with, the laws of the State of Florida, excluding any conflicts or choice of law rule or principle that might otherwise refer construction or interpretation of this Agreement to the substantive law of another jurisdiction. Any litigation pertaining to this Agreement shall be adjudicated in courts located in Duval County, Florida.</w:t>
      </w:r>
    </w:p>
    <w:p>
      <w:pPr>
        <w:spacing w:after="0" w:line="67" w:lineRule="exact"/>
        <w:rPr>
          <w:rFonts w:ascii="Courier New" w:cs="Courier New" w:eastAsia="Courier New" w:hAnsi="Courier New"/>
          <w:sz w:val="13"/>
          <w:szCs w:val="13"/>
          <w:color w:val="auto"/>
        </w:rPr>
      </w:pPr>
    </w:p>
    <w:p>
      <w:pPr>
        <w:ind w:right="4099" w:firstLine="382"/>
        <w:spacing w:after="0" w:line="252" w:lineRule="auto"/>
        <w:tabs>
          <w:tab w:leader="none" w:pos="690" w:val="left"/>
        </w:tabs>
        <w:numPr>
          <w:ilvl w:val="0"/>
          <w:numId w:val="205"/>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Successors. In addition to any obligations imposed by law upon any successor to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"Company" shall mean the Company as herein before defined and any such successor that expressly assumes this Agreement or otherwise becomes bound by all the terms and provisions of this Agreement by operation of law.</w:t>
      </w:r>
    </w:p>
    <w:p>
      <w:pPr>
        <w:spacing w:after="0" w:line="75" w:lineRule="exact"/>
        <w:rPr>
          <w:rFonts w:ascii="Courier New" w:cs="Courier New" w:eastAsia="Courier New" w:hAnsi="Courier New"/>
          <w:sz w:val="13"/>
          <w:szCs w:val="13"/>
          <w:color w:val="auto"/>
        </w:rPr>
      </w:pPr>
    </w:p>
    <w:p>
      <w:pPr>
        <w:ind w:right="4259" w:firstLine="382"/>
        <w:spacing w:after="0" w:line="296" w:lineRule="auto"/>
        <w:tabs>
          <w:tab w:leader="none" w:pos="690" w:val="left"/>
        </w:tabs>
        <w:numPr>
          <w:ilvl w:val="0"/>
          <w:numId w:val="205"/>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Counterparts. This Agreement may be executed in counterparts, each of which shall be deemed an original, but all of which together shall constitute one and the same instrument.</w:t>
      </w:r>
    </w:p>
    <w:p>
      <w:pPr>
        <w:spacing w:after="0" w:line="44" w:lineRule="exact"/>
        <w:rPr>
          <w:rFonts w:ascii="Courier New" w:cs="Courier New" w:eastAsia="Courier New" w:hAnsi="Courier New"/>
          <w:sz w:val="13"/>
          <w:szCs w:val="13"/>
          <w:color w:val="auto"/>
        </w:rPr>
      </w:pPr>
    </w:p>
    <w:p>
      <w:pPr>
        <w:ind w:right="4499" w:firstLine="382"/>
        <w:spacing w:after="0" w:line="296" w:lineRule="auto"/>
        <w:tabs>
          <w:tab w:leader="none" w:pos="690" w:val="left"/>
        </w:tabs>
        <w:numPr>
          <w:ilvl w:val="0"/>
          <w:numId w:val="20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Attorneys' Fees. If any party finds it necessary to employ legal counsel or to bring an action at law or other proceedings against the other party to interpret or enforce any of</w:t>
      </w:r>
    </w:p>
    <w:p>
      <w:pPr>
        <w:spacing w:after="0" w:line="192"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13</w:t>
      </w:r>
    </w:p>
    <w:p>
      <w:pPr>
        <w:sectPr>
          <w:pgSz w:w="11900" w:h="16838" w:orient="portrait"/>
          <w:cols w:equalWidth="0" w:num="1">
            <w:col w:w="10239"/>
          </w:cols>
          <w:pgMar w:left="220" w:top="540" w:right="1440" w:bottom="1440" w:gutter="0" w:footer="0" w:header="0"/>
        </w:sectPr>
      </w:pPr>
    </w:p>
    <w:bookmarkStart w:id="221" w:name="page222"/>
    <w:bookmarkEnd w:id="221"/>
    <w:p>
      <w:pPr>
        <w:ind w:left="1" w:right="4099"/>
        <w:spacing w:after="0" w:line="273" w:lineRule="auto"/>
        <w:rPr>
          <w:sz w:val="20"/>
          <w:szCs w:val="20"/>
          <w:color w:val="auto"/>
        </w:rPr>
      </w:pPr>
      <w:r>
        <w:rPr>
          <w:rFonts w:ascii="Courier New" w:cs="Courier New" w:eastAsia="Courier New" w:hAnsi="Courier New"/>
          <w:sz w:val="12"/>
          <w:szCs w:val="12"/>
          <w:color w:val="auto"/>
        </w:rPr>
        <w:t>the terms hereof, the party prevailing in any such action or other proceeding shall be paid by the other party its reasonable legal fees, court costs, litigation expenses, all as determined by the court and not a jury; provided, however, that on or after a Change in Control, if any party finds it necessary to employ legal counsel or to bring an action at law or other proceedings against the other party to interpret or enforce any of the terms hereof, the Company shall pay (on an ongoing basis) to the Employee to the fullest extent permitted by law, all legal fees, court costs and litigation expenses reasonably incurred by the Employee or others on his behalf (such amounts collectively referred to as the "Reimbursed Amounts"); provided, further, that the Employee shall reimburse the Company for the Reimbursed Amounts if it is determined that a majority of the Employee's claims or defenses were frivolous or without merit.</w:t>
      </w:r>
    </w:p>
    <w:p>
      <w:pPr>
        <w:spacing w:after="0" w:line="61" w:lineRule="exact"/>
        <w:rPr>
          <w:sz w:val="20"/>
          <w:szCs w:val="20"/>
          <w:color w:val="auto"/>
        </w:rPr>
      </w:pPr>
    </w:p>
    <w:p>
      <w:pPr>
        <w:ind w:left="1" w:right="4099" w:firstLine="382"/>
        <w:spacing w:after="0" w:line="271" w:lineRule="auto"/>
        <w:tabs>
          <w:tab w:leader="none" w:pos="691" w:val="left"/>
        </w:tabs>
        <w:numPr>
          <w:ilvl w:val="1"/>
          <w:numId w:val="2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Severability.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the Employee in this Agreement shall each be construed as an agreement independent of any other provision in this Agreement, and the existence of any claim or cause of action of the Employee against the Company, whether predicated on this Agreement or otherwise, shall not constitute a defense to the enforcement by the Company of the covenants in this Agreement.</w:t>
      </w:r>
    </w:p>
    <w:p>
      <w:pPr>
        <w:spacing w:after="0" w:line="62" w:lineRule="exact"/>
        <w:rPr>
          <w:rFonts w:ascii="Courier New" w:cs="Courier New" w:eastAsia="Courier New" w:hAnsi="Courier New"/>
          <w:sz w:val="12"/>
          <w:szCs w:val="12"/>
          <w:color w:val="auto"/>
        </w:rPr>
      </w:pPr>
    </w:p>
    <w:p>
      <w:pPr>
        <w:ind w:left="1" w:right="4099" w:firstLine="382"/>
        <w:spacing w:after="0" w:line="281" w:lineRule="auto"/>
        <w:tabs>
          <w:tab w:leader="none" w:pos="691" w:val="left"/>
        </w:tabs>
        <w:numPr>
          <w:ilvl w:val="1"/>
          <w:numId w:val="2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Notices. Any notice, request, or instruction to be given hereunder shall be in writing and shall be deemed given when personally delivered or three</w:t>
      </w:r>
    </w:p>
    <w:p>
      <w:pPr>
        <w:jc w:val="both"/>
        <w:ind w:left="1" w:right="4099" w:hanging="1"/>
        <w:spacing w:after="0" w:line="277" w:lineRule="auto"/>
        <w:tabs>
          <w:tab w:leader="none" w:pos="308" w:val="left"/>
        </w:tabs>
        <w:numPr>
          <w:ilvl w:val="0"/>
          <w:numId w:val="207"/>
        </w:numPr>
        <w:rPr>
          <w:rFonts w:ascii="Courier New" w:cs="Courier New" w:eastAsia="Courier New" w:hAnsi="Courier New"/>
          <w:sz w:val="13"/>
          <w:szCs w:val="13"/>
          <w:color w:val="auto"/>
        </w:rPr>
      </w:pPr>
      <w:r>
        <w:rPr>
          <w:rFonts w:ascii="Courier New" w:cs="Courier New" w:eastAsia="Courier New" w:hAnsi="Courier New"/>
          <w:sz w:val="13"/>
          <w:szCs w:val="13"/>
          <w:color w:val="auto"/>
        </w:rPr>
        <w:t>days after being sent by United States Certified Mail, postage prepaid, with Return Receipt Requested, to the parties at their respective addresses set forth below:</w:t>
      </w:r>
    </w:p>
    <w:p>
      <w:pPr>
        <w:spacing w:after="0" w:line="56" w:lineRule="exact"/>
        <w:rPr>
          <w:sz w:val="20"/>
          <w:szCs w:val="20"/>
          <w:color w:val="auto"/>
        </w:rPr>
      </w:pPr>
    </w:p>
    <w:p>
      <w:pPr>
        <w:ind w:left="381"/>
        <w:spacing w:after="0"/>
        <w:rPr>
          <w:sz w:val="20"/>
          <w:szCs w:val="20"/>
          <w:color w:val="auto"/>
        </w:rPr>
      </w:pPr>
      <w:r>
        <w:rPr>
          <w:rFonts w:ascii="Courier New" w:cs="Courier New" w:eastAsia="Courier New" w:hAnsi="Courier New"/>
          <w:sz w:val="13"/>
          <w:szCs w:val="13"/>
          <w:color w:val="auto"/>
        </w:rPr>
        <w:t>To the Company:</w:t>
      </w:r>
    </w:p>
    <w:p>
      <w:pPr>
        <w:spacing w:after="0" w:line="148" w:lineRule="exact"/>
        <w:rPr>
          <w:sz w:val="20"/>
          <w:szCs w:val="20"/>
          <w:color w:val="auto"/>
        </w:rPr>
      </w:pPr>
    </w:p>
    <w:p>
      <w:pPr>
        <w:ind w:left="761"/>
        <w:spacing w:after="0"/>
        <w:rPr>
          <w:sz w:val="20"/>
          <w:szCs w:val="20"/>
          <w:color w:val="auto"/>
        </w:rPr>
      </w:pPr>
      <w:r>
        <w:rPr>
          <w:rFonts w:ascii="Courier New" w:cs="Courier New" w:eastAsia="Courier New" w:hAnsi="Courier New"/>
          <w:sz w:val="13"/>
          <w:szCs w:val="13"/>
          <w:color w:val="auto"/>
        </w:rPr>
        <w:t>Fidelity National Title Group, Inc.</w:t>
      </w:r>
    </w:p>
    <w:p>
      <w:pPr>
        <w:spacing w:after="0" w:line="24" w:lineRule="exact"/>
        <w:rPr>
          <w:sz w:val="20"/>
          <w:szCs w:val="20"/>
          <w:color w:val="auto"/>
        </w:rPr>
      </w:pPr>
    </w:p>
    <w:p>
      <w:pPr>
        <w:ind w:left="761"/>
        <w:spacing w:after="0"/>
        <w:rPr>
          <w:sz w:val="20"/>
          <w:szCs w:val="20"/>
          <w:color w:val="auto"/>
        </w:rPr>
      </w:pPr>
      <w:r>
        <w:rPr>
          <w:rFonts w:ascii="Courier New" w:cs="Courier New" w:eastAsia="Courier New" w:hAnsi="Courier New"/>
          <w:sz w:val="13"/>
          <w:szCs w:val="13"/>
          <w:color w:val="auto"/>
        </w:rPr>
        <w:t>601 Riverside Avenue</w:t>
      </w:r>
    </w:p>
    <w:p>
      <w:pPr>
        <w:ind w:left="761"/>
        <w:spacing w:after="0"/>
        <w:rPr>
          <w:sz w:val="20"/>
          <w:szCs w:val="20"/>
          <w:color w:val="auto"/>
        </w:rPr>
      </w:pPr>
      <w:r>
        <w:rPr>
          <w:rFonts w:ascii="Courier New" w:cs="Courier New" w:eastAsia="Courier New" w:hAnsi="Courier New"/>
          <w:sz w:val="13"/>
          <w:szCs w:val="13"/>
          <w:color w:val="auto"/>
        </w:rPr>
        <w:t>Jacksonville, FL 32204</w:t>
      </w:r>
    </w:p>
    <w:p>
      <w:pPr>
        <w:ind w:left="761"/>
        <w:spacing w:after="0"/>
        <w:rPr>
          <w:sz w:val="20"/>
          <w:szCs w:val="20"/>
          <w:color w:val="auto"/>
        </w:rPr>
      </w:pPr>
      <w:r>
        <w:rPr>
          <w:rFonts w:ascii="Courier New" w:cs="Courier New" w:eastAsia="Courier New" w:hAnsi="Courier New"/>
          <w:sz w:val="13"/>
          <w:szCs w:val="13"/>
          <w:color w:val="auto"/>
        </w:rPr>
        <w:t>Attention: General Counsel</w:t>
      </w:r>
    </w:p>
    <w:p>
      <w:pPr>
        <w:spacing w:after="0" w:line="124" w:lineRule="exact"/>
        <w:rPr>
          <w:sz w:val="20"/>
          <w:szCs w:val="20"/>
          <w:color w:val="auto"/>
        </w:rPr>
      </w:pPr>
    </w:p>
    <w:p>
      <w:pPr>
        <w:ind w:left="381"/>
        <w:spacing w:after="0"/>
        <w:rPr>
          <w:sz w:val="20"/>
          <w:szCs w:val="20"/>
          <w:color w:val="auto"/>
        </w:rPr>
      </w:pPr>
      <w:r>
        <w:rPr>
          <w:rFonts w:ascii="Courier New" w:cs="Courier New" w:eastAsia="Courier New" w:hAnsi="Courier New"/>
          <w:sz w:val="13"/>
          <w:szCs w:val="13"/>
          <w:color w:val="auto"/>
        </w:rPr>
        <w:t>To the Employee:</w:t>
      </w:r>
    </w:p>
    <w:p>
      <w:pPr>
        <w:spacing w:after="0" w:line="148" w:lineRule="exact"/>
        <w:rPr>
          <w:sz w:val="20"/>
          <w:szCs w:val="20"/>
          <w:color w:val="auto"/>
        </w:rPr>
      </w:pPr>
    </w:p>
    <w:p>
      <w:pPr>
        <w:ind w:left="761"/>
        <w:spacing w:after="0"/>
        <w:rPr>
          <w:sz w:val="20"/>
          <w:szCs w:val="20"/>
          <w:color w:val="auto"/>
        </w:rPr>
      </w:pPr>
      <w:r>
        <w:rPr>
          <w:rFonts w:ascii="Courier New" w:cs="Courier New" w:eastAsia="Courier New" w:hAnsi="Courier New"/>
          <w:sz w:val="13"/>
          <w:szCs w:val="13"/>
          <w:color w:val="auto"/>
        </w:rPr>
        <w:t>Raymond R. Quirk</w:t>
      </w:r>
    </w:p>
    <w:p>
      <w:pPr>
        <w:spacing w:after="0" w:line="24" w:lineRule="exact"/>
        <w:rPr>
          <w:sz w:val="20"/>
          <w:szCs w:val="20"/>
          <w:color w:val="auto"/>
        </w:rPr>
      </w:pPr>
    </w:p>
    <w:p>
      <w:pPr>
        <w:ind w:left="761"/>
        <w:spacing w:after="0"/>
        <w:rPr>
          <w:sz w:val="20"/>
          <w:szCs w:val="20"/>
          <w:color w:val="auto"/>
        </w:rPr>
      </w:pPr>
      <w:r>
        <w:rPr>
          <w:rFonts w:ascii="Courier New" w:cs="Courier New" w:eastAsia="Courier New" w:hAnsi="Courier New"/>
          <w:sz w:val="13"/>
          <w:szCs w:val="13"/>
          <w:color w:val="auto"/>
        </w:rPr>
        <w:t>c/o Fidelity National Title Group, Inc.</w:t>
      </w:r>
    </w:p>
    <w:p>
      <w:pPr>
        <w:ind w:left="761"/>
        <w:spacing w:after="0"/>
        <w:rPr>
          <w:sz w:val="20"/>
          <w:szCs w:val="20"/>
          <w:color w:val="auto"/>
        </w:rPr>
      </w:pPr>
      <w:r>
        <w:rPr>
          <w:rFonts w:ascii="Courier New" w:cs="Courier New" w:eastAsia="Courier New" w:hAnsi="Courier New"/>
          <w:sz w:val="13"/>
          <w:szCs w:val="13"/>
          <w:color w:val="auto"/>
        </w:rPr>
        <w:t>601 Riverside Avenue</w:t>
      </w:r>
    </w:p>
    <w:p>
      <w:pPr>
        <w:ind w:left="761"/>
        <w:spacing w:after="0"/>
        <w:rPr>
          <w:sz w:val="20"/>
          <w:szCs w:val="20"/>
          <w:color w:val="auto"/>
        </w:rPr>
      </w:pPr>
      <w:r>
        <w:rPr>
          <w:rFonts w:ascii="Courier New" w:cs="Courier New" w:eastAsia="Courier New" w:hAnsi="Courier New"/>
          <w:sz w:val="13"/>
          <w:szCs w:val="13"/>
          <w:color w:val="auto"/>
        </w:rPr>
        <w:t>Jacksonville, FL 32204</w:t>
      </w:r>
    </w:p>
    <w:p>
      <w:pPr>
        <w:spacing w:after="0" w:line="124" w:lineRule="exact"/>
        <w:rPr>
          <w:sz w:val="20"/>
          <w:szCs w:val="20"/>
          <w:color w:val="auto"/>
        </w:rPr>
      </w:pPr>
    </w:p>
    <w:p>
      <w:pPr>
        <w:ind w:left="1" w:right="4419" w:firstLine="382"/>
        <w:spacing w:after="0" w:line="296" w:lineRule="auto"/>
        <w:tabs>
          <w:tab w:leader="none" w:pos="691" w:val="left"/>
        </w:tabs>
        <w:numPr>
          <w:ilvl w:val="0"/>
          <w:numId w:val="208"/>
        </w:numPr>
        <w:rPr>
          <w:rFonts w:ascii="Courier New" w:cs="Courier New" w:eastAsia="Courier New" w:hAnsi="Courier New"/>
          <w:sz w:val="13"/>
          <w:szCs w:val="13"/>
          <w:color w:val="auto"/>
        </w:rPr>
      </w:pPr>
      <w:r>
        <w:rPr>
          <w:rFonts w:ascii="Courier New" w:cs="Courier New" w:eastAsia="Courier New" w:hAnsi="Courier New"/>
          <w:sz w:val="13"/>
          <w:szCs w:val="13"/>
          <w:color w:val="auto"/>
        </w:rPr>
        <w:t>Waiver of Breach. The waiver by any party of any provisions of this Agreement shall not operate or be construed as a waiver of any prior or subsequent breach by the other party.</w:t>
      </w:r>
    </w:p>
    <w:p>
      <w:pPr>
        <w:spacing w:after="0" w:line="192" w:lineRule="exact"/>
        <w:rPr>
          <w:sz w:val="20"/>
          <w:szCs w:val="20"/>
          <w:color w:val="auto"/>
        </w:rPr>
      </w:pPr>
    </w:p>
    <w:p>
      <w:pPr>
        <w:ind w:left="2981"/>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10241"/>
          </w:cols>
          <w:pgMar w:left="219" w:top="540" w:right="1440" w:bottom="1440" w:gutter="0" w:footer="0" w:header="0"/>
        </w:sectPr>
      </w:pPr>
    </w:p>
    <w:bookmarkStart w:id="222" w:name="page223"/>
    <w:bookmarkEnd w:id="222"/>
    <w:p>
      <w:pPr>
        <w:ind w:right="4099" w:firstLine="382"/>
        <w:spacing w:after="0" w:line="331" w:lineRule="auto"/>
        <w:tabs>
          <w:tab w:leader="none" w:pos="690" w:val="left"/>
        </w:tabs>
        <w:numPr>
          <w:ilvl w:val="0"/>
          <w:numId w:val="20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Tax Withholding. The Company or an affiliate may deduct from all compensation and benefits payable under this Agreement any taxes or withholdings the Company is required to deduct pursuant to state, federal or local laws.</w:t>
      </w:r>
    </w:p>
    <w:p>
      <w:pPr>
        <w:spacing w:after="0" w:line="27" w:lineRule="exact"/>
        <w:rPr>
          <w:rFonts w:ascii="Courier New" w:cs="Courier New" w:eastAsia="Courier New" w:hAnsi="Courier New"/>
          <w:sz w:val="12"/>
          <w:szCs w:val="12"/>
          <w:color w:val="auto"/>
        </w:rPr>
      </w:pPr>
    </w:p>
    <w:p>
      <w:pPr>
        <w:ind w:right="4099" w:firstLine="382"/>
        <w:spacing w:after="0" w:line="280" w:lineRule="auto"/>
        <w:tabs>
          <w:tab w:leader="none" w:pos="690" w:val="left"/>
        </w:tabs>
        <w:numPr>
          <w:ilvl w:val="0"/>
          <w:numId w:val="20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Code Section 409A. To the extent applicable, it is intended that this Agreement and any payment made hereunder shall comply with the requirements of Section 409A of the Code, and any related regulations or other guidance promulgated with respect to such Section by the U.S. Department of the Treasury or the Internal Revenue Service ("Code Section 409A"). Any provision that would cause the Agreement or any payment hereof to fail to satisfy Code Section 409A shall have no force or effect until amended to comply with Code Section 409A, which amendment may be retroactive to the extent permitted by Code Section 409A.</w:t>
      </w:r>
    </w:p>
    <w:p>
      <w:pPr>
        <w:spacing w:after="0" w:line="58" w:lineRule="exact"/>
        <w:rPr>
          <w:sz w:val="20"/>
          <w:szCs w:val="20"/>
          <w:color w:val="auto"/>
        </w:rPr>
      </w:pPr>
    </w:p>
    <w:p>
      <w:pPr>
        <w:ind w:right="4099" w:firstLine="383"/>
        <w:spacing w:after="0" w:line="353" w:lineRule="auto"/>
        <w:rPr>
          <w:sz w:val="20"/>
          <w:szCs w:val="20"/>
          <w:color w:val="auto"/>
        </w:rPr>
      </w:pPr>
      <w:r>
        <w:rPr>
          <w:rFonts w:ascii="Courier New" w:cs="Courier New" w:eastAsia="Courier New" w:hAnsi="Courier New"/>
          <w:sz w:val="13"/>
          <w:szCs w:val="13"/>
          <w:color w:val="auto"/>
        </w:rPr>
        <w:t>IN WITNESS WHEREOF the parties have executed this Agreement to be effective as of the date first set forth above.</w:t>
      </w:r>
    </w:p>
    <w:p>
      <w:pPr>
        <w:spacing w:after="0" w:line="9"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FIDELITY NATIONAL TITLE GROUP, INC.</w:t>
      </w:r>
    </w:p>
    <w:p>
      <w:pPr>
        <w:spacing w:after="0" w:line="295"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By: /s/ Alan L. Stinson</w:t>
      </w:r>
    </w:p>
    <w:p>
      <w:pPr>
        <w:spacing w:after="0" w:line="24" w:lineRule="exact"/>
        <w:rPr>
          <w:sz w:val="20"/>
          <w:szCs w:val="20"/>
          <w:color w:val="auto"/>
        </w:rPr>
      </w:pPr>
    </w:p>
    <w:p>
      <w:pPr>
        <w:ind w:left="3380"/>
        <w:spacing w:after="0"/>
        <w:rPr>
          <w:sz w:val="20"/>
          <w:szCs w:val="20"/>
          <w:color w:val="auto"/>
        </w:rPr>
      </w:pPr>
      <w:r>
        <w:rPr>
          <w:rFonts w:ascii="Courier New" w:cs="Courier New" w:eastAsia="Courier New" w:hAnsi="Courier New"/>
          <w:sz w:val="12"/>
          <w:szCs w:val="12"/>
          <w:color w:val="auto"/>
        </w:rPr>
        <w:t>------------------------------------</w:t>
      </w:r>
    </w:p>
    <w:p>
      <w:pPr>
        <w:spacing w:after="0" w:line="12"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Its: Co-Chief Operating Officer</w:t>
      </w:r>
    </w:p>
    <w:p>
      <w:pPr>
        <w:spacing w:after="0" w:line="271"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RAYMOND R. QUIRK</w:t>
      </w:r>
    </w:p>
    <w:p>
      <w:pPr>
        <w:spacing w:after="0" w:line="295"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/s/ Raymond R. Quirk</w:t>
      </w: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2"/>
          <w:szCs w:val="12"/>
          <w:color w:val="auto"/>
        </w:rPr>
        <w:t>----------------------------------------</w:t>
      </w:r>
    </w:p>
    <w:p>
      <w:pPr>
        <w:spacing w:after="0" w:line="282" w:lineRule="exact"/>
        <w:rPr>
          <w:sz w:val="20"/>
          <w:szCs w:val="20"/>
          <w:color w:val="auto"/>
        </w:rPr>
      </w:pPr>
    </w:p>
    <w:p>
      <w:pPr>
        <w:ind w:left="2980"/>
        <w:spacing w:after="0"/>
        <w:rPr>
          <w:sz w:val="20"/>
          <w:szCs w:val="20"/>
          <w:color w:val="auto"/>
        </w:rPr>
      </w:pPr>
      <w:r>
        <w:rPr>
          <w:rFonts w:ascii="Courier New" w:cs="Courier New" w:eastAsia="Courier New" w:hAnsi="Courier New"/>
          <w:sz w:val="13"/>
          <w:szCs w:val="13"/>
          <w:color w:val="auto"/>
        </w:rPr>
        <w:t>15</w:t>
      </w:r>
    </w:p>
    <w:p>
      <w:pPr>
        <w:sectPr>
          <w:pgSz w:w="11900" w:h="16838" w:orient="portrait"/>
          <w:cols w:equalWidth="0" w:num="1">
            <w:col w:w="10239"/>
          </w:cols>
          <w:pgMar w:left="220" w:top="540" w:right="1440" w:bottom="1440" w:gutter="0" w:footer="0" w:header="0"/>
        </w:sectPr>
      </w:pPr>
    </w:p>
    <w:bookmarkStart w:id="223" w:name="page224"/>
    <w:bookmarkEnd w:id="223"/>
    <w:p>
      <w:pPr>
        <w:ind w:left="5141"/>
        <w:spacing w:after="0"/>
        <w:rPr>
          <w:sz w:val="20"/>
          <w:szCs w:val="20"/>
          <w:color w:val="auto"/>
        </w:rPr>
      </w:pPr>
      <w:r>
        <w:rPr>
          <w:rFonts w:ascii="Courier New" w:cs="Courier New" w:eastAsia="Courier New" w:hAnsi="Courier New"/>
          <w:sz w:val="13"/>
          <w:szCs w:val="13"/>
          <w:color w:val="auto"/>
        </w:rPr>
        <w:t>EXHIBIT 10.16</w:t>
      </w:r>
    </w:p>
    <w:p>
      <w:pPr>
        <w:spacing w:after="0" w:line="148" w:lineRule="exact"/>
        <w:rPr>
          <w:sz w:val="20"/>
          <w:szCs w:val="20"/>
          <w:color w:val="auto"/>
        </w:rPr>
      </w:pPr>
    </w:p>
    <w:p>
      <w:pPr>
        <w:jc w:val="center"/>
        <w:ind w:right="4038"/>
        <w:spacing w:after="0"/>
        <w:rPr>
          <w:sz w:val="20"/>
          <w:szCs w:val="20"/>
          <w:color w:val="auto"/>
        </w:rPr>
      </w:pPr>
      <w:r>
        <w:rPr>
          <w:rFonts w:ascii="Courier New" w:cs="Courier New" w:eastAsia="Courier New" w:hAnsi="Courier New"/>
          <w:sz w:val="13"/>
          <w:szCs w:val="13"/>
          <w:color w:val="auto"/>
        </w:rPr>
        <w:t>FIDELITY NATIONAL FINANCIAL, INC.</w:t>
      </w:r>
    </w:p>
    <w:p>
      <w:pPr>
        <w:spacing w:after="0" w:line="24" w:lineRule="exact"/>
        <w:rPr>
          <w:sz w:val="20"/>
          <w:szCs w:val="20"/>
          <w:color w:val="auto"/>
        </w:rPr>
      </w:pPr>
    </w:p>
    <w:p>
      <w:pPr>
        <w:jc w:val="center"/>
        <w:ind w:right="4038"/>
        <w:spacing w:after="0"/>
        <w:rPr>
          <w:sz w:val="20"/>
          <w:szCs w:val="20"/>
          <w:color w:val="auto"/>
        </w:rPr>
      </w:pPr>
      <w:r>
        <w:rPr>
          <w:rFonts w:ascii="Courier New" w:cs="Courier New" w:eastAsia="Courier New" w:hAnsi="Courier New"/>
          <w:sz w:val="13"/>
          <w:szCs w:val="13"/>
          <w:color w:val="auto"/>
        </w:rPr>
        <w:t>(F/K/A FIDELITY NATIONAL TITLE GROUP, INC.)</w:t>
      </w:r>
    </w:p>
    <w:p>
      <w:pPr>
        <w:jc w:val="center"/>
        <w:ind w:right="4038"/>
        <w:spacing w:after="0"/>
        <w:rPr>
          <w:sz w:val="20"/>
          <w:szCs w:val="20"/>
          <w:color w:val="auto"/>
        </w:rPr>
      </w:pPr>
      <w:r>
        <w:rPr>
          <w:rFonts w:ascii="Courier New" w:cs="Courier New" w:eastAsia="Courier New" w:hAnsi="Courier New"/>
          <w:sz w:val="13"/>
          <w:szCs w:val="13"/>
          <w:color w:val="auto"/>
        </w:rPr>
        <w:t>2005 OMNIBUS INCENTIVE PLAN</w:t>
      </w:r>
    </w:p>
    <w:p>
      <w:pPr>
        <w:spacing w:after="0" w:line="124" w:lineRule="exact"/>
        <w:rPr>
          <w:sz w:val="20"/>
          <w:szCs w:val="20"/>
          <w:color w:val="auto"/>
        </w:rPr>
      </w:pPr>
    </w:p>
    <w:p>
      <w:pPr>
        <w:ind w:left="2001"/>
        <w:spacing w:after="0"/>
        <w:rPr>
          <w:sz w:val="20"/>
          <w:szCs w:val="20"/>
          <w:color w:val="auto"/>
        </w:rPr>
      </w:pPr>
      <w:r>
        <w:rPr>
          <w:rFonts w:ascii="Courier New" w:cs="Courier New" w:eastAsia="Courier New" w:hAnsi="Courier New"/>
          <w:sz w:val="13"/>
          <w:szCs w:val="13"/>
          <w:color w:val="auto"/>
        </w:rPr>
        <w:t>NOTICE OF STOCK OPTION GRANT</w:t>
      </w:r>
    </w:p>
    <w:p>
      <w:pPr>
        <w:spacing w:after="0" w:line="148" w:lineRule="exact"/>
        <w:rPr>
          <w:sz w:val="20"/>
          <w:szCs w:val="20"/>
          <w:color w:val="auto"/>
        </w:rPr>
      </w:pPr>
    </w:p>
    <w:p>
      <w:pPr>
        <w:ind w:left="1" w:right="4179" w:firstLine="613"/>
        <w:spacing w:after="0" w:line="277" w:lineRule="auto"/>
        <w:rPr>
          <w:sz w:val="20"/>
          <w:szCs w:val="20"/>
          <w:color w:val="auto"/>
        </w:rPr>
      </w:pPr>
      <w:r>
        <w:rPr>
          <w:rFonts w:ascii="Courier New" w:cs="Courier New" w:eastAsia="Courier New" w:hAnsi="Courier New"/>
          <w:sz w:val="13"/>
          <w:szCs w:val="13"/>
          <w:color w:val="auto"/>
        </w:rPr>
        <w:t>You (the "Optionee") have been granted the following option to purchase Class A Common Stock of Fidelity National Financial, Inc. (the "Company"), par value $0.0001 per share ("Share"), pursuant to the Fidelity National Title Group, Inc. 2005 Omnibus Incentive Plan (the "Plan"):</w:t>
      </w:r>
    </w:p>
    <w:p>
      <w:pPr>
        <w:spacing w:after="0" w:line="352" w:lineRule="exact"/>
        <w:rPr>
          <w:sz w:val="20"/>
          <w:szCs w:val="20"/>
          <w:color w:val="auto"/>
        </w:rPr>
      </w:pPr>
    </w:p>
    <w:p>
      <w:pPr>
        <w:ind w:left="161" w:hanging="161"/>
        <w:spacing w:after="0"/>
        <w:tabs>
          <w:tab w:leader="none" w:pos="161" w:val="left"/>
        </w:tabs>
        <w:numPr>
          <w:ilvl w:val="0"/>
          <w:numId w:val="2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spacing w:after="0" w:line="35" w:lineRule="exact"/>
        <w:rPr>
          <w:rFonts w:ascii="Courier New" w:cs="Courier New" w:eastAsia="Courier New" w:hAnsi="Courier New"/>
          <w:sz w:val="12"/>
          <w:szCs w:val="12"/>
          <w:color w:val="auto"/>
        </w:rPr>
      </w:pPr>
    </w:p>
    <w:p>
      <w:pPr>
        <w:ind w:left="1"/>
        <w:spacing w:after="0"/>
        <w:rPr>
          <w:rFonts w:ascii="Courier New" w:cs="Courier New" w:eastAsia="Courier New" w:hAnsi="Courier New"/>
          <w:sz w:val="12"/>
          <w:szCs w:val="12"/>
          <w:color w:val="auto"/>
        </w:rPr>
      </w:pPr>
      <w:r>
        <w:rPr>
          <w:rFonts w:ascii="Courier New" w:cs="Courier New" w:eastAsia="Courier New" w:hAnsi="Courier New"/>
          <w:sz w:val="13"/>
          <w:szCs w:val="13"/>
          <w:color w:val="auto"/>
        </w:rPr>
        <w:t>Name of Optionee:</w:t>
      </w:r>
    </w:p>
    <w:p>
      <w:pPr>
        <w:spacing w:after="0" w:line="123" w:lineRule="exact"/>
        <w:rPr>
          <w:rFonts w:ascii="Courier New" w:cs="Courier New" w:eastAsia="Courier New" w:hAnsi="Courier New"/>
          <w:sz w:val="12"/>
          <w:szCs w:val="12"/>
          <w:color w:val="auto"/>
        </w:rPr>
      </w:pPr>
    </w:p>
    <w:p>
      <w:pPr>
        <w:ind w:left="161" w:hanging="161"/>
        <w:spacing w:after="0"/>
        <w:tabs>
          <w:tab w:leader="none" w:pos="161" w:val="left"/>
        </w:tabs>
        <w:numPr>
          <w:ilvl w:val="0"/>
          <w:numId w:val="2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spacing w:after="0" w:line="35" w:lineRule="exact"/>
        <w:rPr>
          <w:rFonts w:ascii="Courier New" w:cs="Courier New" w:eastAsia="Courier New" w:hAnsi="Courier New"/>
          <w:sz w:val="12"/>
          <w:szCs w:val="12"/>
          <w:color w:val="auto"/>
        </w:rPr>
      </w:pPr>
    </w:p>
    <w:p>
      <w:pPr>
        <w:ind w:left="1"/>
        <w:spacing w:after="0"/>
        <w:rPr>
          <w:rFonts w:ascii="Courier New" w:cs="Courier New" w:eastAsia="Courier New" w:hAnsi="Courier New"/>
          <w:sz w:val="12"/>
          <w:szCs w:val="12"/>
          <w:color w:val="auto"/>
        </w:rPr>
      </w:pPr>
      <w:r>
        <w:rPr>
          <w:rFonts w:ascii="Courier New" w:cs="Courier New" w:eastAsia="Courier New" w:hAnsi="Courier New"/>
          <w:sz w:val="13"/>
          <w:szCs w:val="13"/>
          <w:color w:val="auto"/>
        </w:rPr>
        <w:t>Total Number of Shares Subject to Option:</w:t>
      </w:r>
    </w:p>
    <w:p>
      <w:pPr>
        <w:spacing w:after="0" w:line="123" w:lineRule="exact"/>
        <w:rPr>
          <w:rFonts w:ascii="Courier New" w:cs="Courier New" w:eastAsia="Courier New" w:hAnsi="Courier New"/>
          <w:sz w:val="12"/>
          <w:szCs w:val="12"/>
          <w:color w:val="auto"/>
        </w:rPr>
      </w:pPr>
    </w:p>
    <w:p>
      <w:pPr>
        <w:ind w:left="161" w:hanging="161"/>
        <w:spacing w:after="0"/>
        <w:tabs>
          <w:tab w:leader="none" w:pos="161" w:val="left"/>
        </w:tabs>
        <w:numPr>
          <w:ilvl w:val="0"/>
          <w:numId w:val="2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spacing w:after="0" w:line="36" w:lineRule="exact"/>
        <w:rPr>
          <w:sz w:val="20"/>
          <w:szCs w:val="20"/>
          <w:color w:val="auto"/>
        </w:rPr>
      </w:pPr>
    </w:p>
    <w:p>
      <w:pPr>
        <w:ind w:left="1"/>
        <w:spacing w:after="0"/>
        <w:tabs>
          <w:tab w:leader="none" w:pos="3581" w:val="left"/>
        </w:tabs>
        <w:rPr>
          <w:sz w:val="20"/>
          <w:szCs w:val="20"/>
          <w:color w:val="auto"/>
        </w:rPr>
      </w:pPr>
      <w:r>
        <w:rPr>
          <w:rFonts w:ascii="Courier New" w:cs="Courier New" w:eastAsia="Courier New" w:hAnsi="Courier New"/>
          <w:sz w:val="13"/>
          <w:szCs w:val="13"/>
          <w:color w:val="auto"/>
        </w:rPr>
        <w:t>Type of Option:</w:t>
      </w:r>
      <w:r>
        <w:rPr>
          <w:sz w:val="20"/>
          <w:szCs w:val="20"/>
          <w:color w:val="auto"/>
        </w:rPr>
        <w:tab/>
      </w:r>
      <w:r>
        <w:rPr>
          <w:rFonts w:ascii="Courier New" w:cs="Courier New" w:eastAsia="Courier New" w:hAnsi="Courier New"/>
          <w:sz w:val="12"/>
          <w:szCs w:val="12"/>
          <w:color w:val="auto"/>
        </w:rPr>
        <w:t>Nonqualified</w:t>
      </w:r>
    </w:p>
    <w:p>
      <w:pPr>
        <w:spacing w:after="0" w:line="124" w:lineRule="exact"/>
        <w:rPr>
          <w:sz w:val="20"/>
          <w:szCs w:val="20"/>
          <w:color w:val="auto"/>
        </w:rPr>
      </w:pPr>
    </w:p>
    <w:p>
      <w:pPr>
        <w:ind w:left="1"/>
        <w:spacing w:after="0"/>
        <w:rPr>
          <w:sz w:val="20"/>
          <w:szCs w:val="20"/>
          <w:color w:val="auto"/>
        </w:rPr>
      </w:pPr>
      <w:r>
        <w:rPr>
          <w:rFonts w:ascii="Courier New" w:cs="Courier New" w:eastAsia="Courier New" w:hAnsi="Courier New"/>
          <w:sz w:val="12"/>
          <w:szCs w:val="12"/>
          <w:color w:val="auto"/>
        </w:rPr>
        <w:t>- ---------------------------------------------- ---------------------------------------------</w:t>
      </w:r>
    </w:p>
    <w:p>
      <w:pPr>
        <w:spacing w:after="0" w:line="36" w:lineRule="exact"/>
        <w:rPr>
          <w:sz w:val="20"/>
          <w:szCs w:val="20"/>
          <w:color w:val="auto"/>
        </w:rPr>
      </w:pPr>
    </w:p>
    <w:p>
      <w:pPr>
        <w:ind w:left="1"/>
        <w:spacing w:after="0"/>
        <w:tabs>
          <w:tab w:leader="none" w:pos="3581" w:val="left"/>
        </w:tabs>
        <w:rPr>
          <w:sz w:val="20"/>
          <w:szCs w:val="20"/>
          <w:color w:val="auto"/>
        </w:rPr>
      </w:pPr>
      <w:r>
        <w:rPr>
          <w:rFonts w:ascii="Courier New" w:cs="Courier New" w:eastAsia="Courier New" w:hAnsi="Courier New"/>
          <w:sz w:val="13"/>
          <w:szCs w:val="13"/>
          <w:color w:val="auto"/>
        </w:rPr>
        <w:t>Exercise Price Per Share:</w:t>
      </w:r>
      <w:r>
        <w:rPr>
          <w:sz w:val="20"/>
          <w:szCs w:val="20"/>
          <w:color w:val="auto"/>
        </w:rPr>
        <w:tab/>
      </w:r>
      <w:r>
        <w:rPr>
          <w:rFonts w:ascii="Courier New" w:cs="Courier New" w:eastAsia="Courier New" w:hAnsi="Courier New"/>
          <w:sz w:val="12"/>
          <w:szCs w:val="12"/>
          <w:color w:val="auto"/>
        </w:rPr>
        <w:t>$__________</w:t>
      </w:r>
    </w:p>
    <w:p>
      <w:pPr>
        <w:spacing w:after="0" w:line="124" w:lineRule="exact"/>
        <w:rPr>
          <w:sz w:val="20"/>
          <w:szCs w:val="20"/>
          <w:color w:val="auto"/>
        </w:rPr>
      </w:pPr>
    </w:p>
    <w:p>
      <w:pPr>
        <w:ind w:left="161" w:hanging="161"/>
        <w:spacing w:after="0"/>
        <w:tabs>
          <w:tab w:leader="none" w:pos="161" w:val="left"/>
        </w:tabs>
        <w:numPr>
          <w:ilvl w:val="0"/>
          <w:numId w:val="2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spacing w:after="0" w:line="35" w:lineRule="exact"/>
        <w:rPr>
          <w:rFonts w:ascii="Courier New" w:cs="Courier New" w:eastAsia="Courier New" w:hAnsi="Courier New"/>
          <w:sz w:val="12"/>
          <w:szCs w:val="12"/>
          <w:color w:val="auto"/>
        </w:rPr>
      </w:pPr>
    </w:p>
    <w:p>
      <w:pPr>
        <w:ind w:left="1"/>
        <w:spacing w:after="0"/>
        <w:rPr>
          <w:rFonts w:ascii="Courier New" w:cs="Courier New" w:eastAsia="Courier New" w:hAnsi="Courier New"/>
          <w:sz w:val="12"/>
          <w:szCs w:val="12"/>
          <w:color w:val="auto"/>
        </w:rPr>
      </w:pPr>
      <w:r>
        <w:rPr>
          <w:rFonts w:ascii="Courier New" w:cs="Courier New" w:eastAsia="Courier New" w:hAnsi="Courier New"/>
          <w:sz w:val="13"/>
          <w:szCs w:val="13"/>
          <w:color w:val="auto"/>
        </w:rPr>
        <w:t>Effective Date of Grant:</w:t>
      </w:r>
    </w:p>
    <w:p>
      <w:pPr>
        <w:spacing w:after="0" w:line="123" w:lineRule="exact"/>
        <w:rPr>
          <w:rFonts w:ascii="Courier New" w:cs="Courier New" w:eastAsia="Courier New" w:hAnsi="Courier New"/>
          <w:sz w:val="12"/>
          <w:szCs w:val="12"/>
          <w:color w:val="auto"/>
        </w:rPr>
      </w:pPr>
    </w:p>
    <w:p>
      <w:pPr>
        <w:ind w:left="161" w:hanging="161"/>
        <w:spacing w:after="0"/>
        <w:tabs>
          <w:tab w:leader="none" w:pos="161" w:val="left"/>
        </w:tabs>
        <w:numPr>
          <w:ilvl w:val="0"/>
          <w:numId w:val="2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spacing w:after="0" w:line="36" w:lineRule="exact"/>
        <w:rPr>
          <w:sz w:val="20"/>
          <w:szCs w:val="20"/>
          <w:color w:val="auto"/>
        </w:rPr>
      </w:pPr>
    </w:p>
    <w:p>
      <w:pPr>
        <w:ind w:left="1"/>
        <w:spacing w:after="0"/>
        <w:tabs>
          <w:tab w:leader="none" w:pos="3581" w:val="left"/>
        </w:tabs>
        <w:rPr>
          <w:sz w:val="20"/>
          <w:szCs w:val="20"/>
          <w:color w:val="auto"/>
        </w:rPr>
      </w:pPr>
      <w:r>
        <w:rPr>
          <w:rFonts w:ascii="Courier New" w:cs="Courier New" w:eastAsia="Courier New" w:hAnsi="Courier New"/>
          <w:sz w:val="13"/>
          <w:szCs w:val="13"/>
          <w:color w:val="auto"/>
        </w:rPr>
        <w:t>Vesting Schedule:</w:t>
      </w:r>
      <w:r>
        <w:rPr>
          <w:sz w:val="20"/>
          <w:szCs w:val="20"/>
          <w:color w:val="auto"/>
        </w:rPr>
        <w:tab/>
      </w:r>
      <w:r>
        <w:rPr>
          <w:rFonts w:ascii="Courier New" w:cs="Courier New" w:eastAsia="Courier New" w:hAnsi="Courier New"/>
          <w:sz w:val="12"/>
          <w:szCs w:val="12"/>
          <w:color w:val="auto"/>
        </w:rPr>
        <w:t>Subject to the terms of the Plan and the</w:t>
      </w:r>
    </w:p>
    <w:p>
      <w:pPr>
        <w:ind w:left="3601"/>
        <w:spacing w:after="0"/>
        <w:rPr>
          <w:sz w:val="20"/>
          <w:szCs w:val="20"/>
          <w:color w:val="auto"/>
        </w:rPr>
      </w:pPr>
      <w:r>
        <w:rPr>
          <w:rFonts w:ascii="Courier New" w:cs="Courier New" w:eastAsia="Courier New" w:hAnsi="Courier New"/>
          <w:sz w:val="13"/>
          <w:szCs w:val="13"/>
          <w:color w:val="auto"/>
        </w:rPr>
        <w:t>Stock Option Agreement attached hereto, the</w:t>
      </w:r>
    </w:p>
    <w:p>
      <w:pPr>
        <w:ind w:left="3601"/>
        <w:spacing w:after="0"/>
        <w:rPr>
          <w:sz w:val="20"/>
          <w:szCs w:val="20"/>
          <w:color w:val="auto"/>
        </w:rPr>
      </w:pPr>
      <w:r>
        <w:rPr>
          <w:rFonts w:ascii="Courier New" w:cs="Courier New" w:eastAsia="Courier New" w:hAnsi="Courier New"/>
          <w:sz w:val="13"/>
          <w:szCs w:val="13"/>
          <w:color w:val="auto"/>
        </w:rPr>
        <w:t>right to exercise this option shall vest</w:t>
      </w:r>
    </w:p>
    <w:p>
      <w:pPr>
        <w:ind w:left="3601"/>
        <w:spacing w:after="0"/>
        <w:rPr>
          <w:sz w:val="20"/>
          <w:szCs w:val="20"/>
          <w:color w:val="auto"/>
        </w:rPr>
      </w:pPr>
      <w:r>
        <w:rPr>
          <w:rFonts w:ascii="Courier New" w:cs="Courier New" w:eastAsia="Courier New" w:hAnsi="Courier New"/>
          <w:sz w:val="13"/>
          <w:szCs w:val="13"/>
          <w:color w:val="auto"/>
        </w:rPr>
        <w:t>with respect to _____________ of the option</w:t>
      </w:r>
    </w:p>
    <w:p>
      <w:pPr>
        <w:ind w:left="3601"/>
        <w:spacing w:after="0"/>
        <w:rPr>
          <w:sz w:val="20"/>
          <w:szCs w:val="20"/>
          <w:color w:val="auto"/>
        </w:rPr>
      </w:pPr>
      <w:r>
        <w:rPr>
          <w:rFonts w:ascii="Courier New" w:cs="Courier New" w:eastAsia="Courier New" w:hAnsi="Courier New"/>
          <w:sz w:val="13"/>
          <w:szCs w:val="13"/>
          <w:color w:val="auto"/>
        </w:rPr>
        <w:t>on each anniversary of the Effective Date</w:t>
      </w:r>
    </w:p>
    <w:p>
      <w:pPr>
        <w:ind w:left="3601"/>
        <w:spacing w:after="0"/>
        <w:rPr>
          <w:sz w:val="20"/>
          <w:szCs w:val="20"/>
          <w:color w:val="auto"/>
        </w:rPr>
      </w:pPr>
      <w:r>
        <w:rPr>
          <w:rFonts w:ascii="Courier New" w:cs="Courier New" w:eastAsia="Courier New" w:hAnsi="Courier New"/>
          <w:sz w:val="13"/>
          <w:szCs w:val="13"/>
          <w:color w:val="auto"/>
        </w:rPr>
        <w:t>of Grant.</w:t>
      </w:r>
    </w:p>
    <w:p>
      <w:pPr>
        <w:spacing w:after="0" w:line="124" w:lineRule="exact"/>
        <w:rPr>
          <w:sz w:val="20"/>
          <w:szCs w:val="20"/>
          <w:color w:val="auto"/>
        </w:rPr>
      </w:pPr>
    </w:p>
    <w:p>
      <w:pPr>
        <w:ind w:left="1"/>
        <w:spacing w:after="0"/>
        <w:rPr>
          <w:sz w:val="20"/>
          <w:szCs w:val="20"/>
          <w:color w:val="auto"/>
        </w:rPr>
      </w:pPr>
      <w:r>
        <w:rPr>
          <w:rFonts w:ascii="Courier New" w:cs="Courier New" w:eastAsia="Courier New" w:hAnsi="Courier New"/>
          <w:sz w:val="12"/>
          <w:szCs w:val="12"/>
          <w:color w:val="auto"/>
        </w:rPr>
        <w:t>- ---------------------------------------------- ---------------------------------------------</w:t>
      </w:r>
    </w:p>
    <w:p>
      <w:pPr>
        <w:spacing w:after="0" w:line="36" w:lineRule="exact"/>
        <w:rPr>
          <w:sz w:val="20"/>
          <w:szCs w:val="20"/>
          <w:color w:val="auto"/>
        </w:rPr>
      </w:pPr>
    </w:p>
    <w:p>
      <w:pPr>
        <w:ind w:left="1"/>
        <w:spacing w:after="0"/>
        <w:tabs>
          <w:tab w:leader="none" w:pos="3581" w:val="left"/>
        </w:tabs>
        <w:rPr>
          <w:sz w:val="20"/>
          <w:szCs w:val="20"/>
          <w:color w:val="auto"/>
        </w:rPr>
      </w:pPr>
      <w:r>
        <w:rPr>
          <w:rFonts w:ascii="Courier New" w:cs="Courier New" w:eastAsia="Courier New" w:hAnsi="Courier New"/>
          <w:sz w:val="13"/>
          <w:szCs w:val="13"/>
          <w:color w:val="auto"/>
        </w:rPr>
        <w:t>Expiration Date:</w:t>
      </w:r>
      <w:r>
        <w:rPr>
          <w:sz w:val="20"/>
          <w:szCs w:val="20"/>
          <w:color w:val="auto"/>
        </w:rPr>
        <w:tab/>
      </w:r>
      <w:r>
        <w:rPr>
          <w:rFonts w:ascii="Courier New" w:cs="Courier New" w:eastAsia="Courier New" w:hAnsi="Courier New"/>
          <w:sz w:val="12"/>
          <w:szCs w:val="12"/>
          <w:color w:val="auto"/>
        </w:rPr>
        <w:t>_____ Anniversary of Effective Date of Grant</w:t>
      </w:r>
    </w:p>
    <w:p>
      <w:pPr>
        <w:spacing w:after="0" w:line="124" w:lineRule="exact"/>
        <w:rPr>
          <w:sz w:val="20"/>
          <w:szCs w:val="20"/>
          <w:color w:val="auto"/>
        </w:rPr>
      </w:pPr>
    </w:p>
    <w:p>
      <w:pPr>
        <w:ind w:left="3601"/>
        <w:spacing w:after="0"/>
        <w:rPr>
          <w:sz w:val="20"/>
          <w:szCs w:val="20"/>
          <w:color w:val="auto"/>
        </w:rPr>
      </w:pPr>
      <w:r>
        <w:rPr>
          <w:rFonts w:ascii="Courier New" w:cs="Courier New" w:eastAsia="Courier New" w:hAnsi="Courier New"/>
          <w:sz w:val="13"/>
          <w:szCs w:val="13"/>
          <w:color w:val="auto"/>
        </w:rPr>
        <w:t>The option is subject to earlier</w:t>
      </w:r>
    </w:p>
    <w:p>
      <w:pPr>
        <w:spacing w:after="0" w:line="24" w:lineRule="exact"/>
        <w:rPr>
          <w:sz w:val="20"/>
          <w:szCs w:val="20"/>
          <w:color w:val="auto"/>
        </w:rPr>
      </w:pPr>
    </w:p>
    <w:p>
      <w:pPr>
        <w:ind w:left="3601"/>
        <w:spacing w:after="0"/>
        <w:rPr>
          <w:sz w:val="20"/>
          <w:szCs w:val="20"/>
          <w:color w:val="auto"/>
        </w:rPr>
      </w:pPr>
      <w:r>
        <w:rPr>
          <w:rFonts w:ascii="Courier New" w:cs="Courier New" w:eastAsia="Courier New" w:hAnsi="Courier New"/>
          <w:sz w:val="13"/>
          <w:szCs w:val="13"/>
          <w:color w:val="auto"/>
        </w:rPr>
        <w:t>expiration, as provided in</w:t>
      </w:r>
    </w:p>
    <w:p>
      <w:pPr>
        <w:ind w:left="3601"/>
        <w:spacing w:after="0"/>
        <w:rPr>
          <w:sz w:val="20"/>
          <w:szCs w:val="20"/>
          <w:color w:val="auto"/>
        </w:rPr>
      </w:pPr>
      <w:r>
        <w:rPr>
          <w:rFonts w:ascii="Courier New" w:cs="Courier New" w:eastAsia="Courier New" w:hAnsi="Courier New"/>
          <w:sz w:val="13"/>
          <w:szCs w:val="13"/>
          <w:color w:val="auto"/>
        </w:rPr>
        <w:t>Section 3(b) of the attached</w:t>
      </w:r>
    </w:p>
    <w:p>
      <w:pPr>
        <w:ind w:left="3601"/>
        <w:spacing w:after="0"/>
        <w:rPr>
          <w:sz w:val="20"/>
          <w:szCs w:val="20"/>
          <w:color w:val="auto"/>
        </w:rPr>
      </w:pPr>
      <w:r>
        <w:rPr>
          <w:rFonts w:ascii="Courier New" w:cs="Courier New" w:eastAsia="Courier New" w:hAnsi="Courier New"/>
          <w:sz w:val="13"/>
          <w:szCs w:val="13"/>
          <w:color w:val="auto"/>
        </w:rPr>
        <w:t>Stock Option Agreement.</w:t>
      </w:r>
    </w:p>
    <w:p>
      <w:pPr>
        <w:spacing w:after="0" w:line="124" w:lineRule="exact"/>
        <w:rPr>
          <w:sz w:val="20"/>
          <w:szCs w:val="20"/>
          <w:color w:val="auto"/>
        </w:rPr>
      </w:pPr>
    </w:p>
    <w:p>
      <w:pPr>
        <w:ind w:left="1"/>
        <w:spacing w:after="0"/>
        <w:rPr>
          <w:sz w:val="20"/>
          <w:szCs w:val="20"/>
          <w:color w:val="auto"/>
        </w:rPr>
      </w:pPr>
      <w:r>
        <w:rPr>
          <w:rFonts w:ascii="Courier New" w:cs="Courier New" w:eastAsia="Courier New" w:hAnsi="Courier New"/>
          <w:sz w:val="12"/>
          <w:szCs w:val="12"/>
          <w:color w:val="auto"/>
        </w:rPr>
        <w:t>- ---------------------------------------------- ---------------------------------------------</w:t>
      </w:r>
    </w:p>
    <w:p>
      <w:pPr>
        <w:spacing w:after="0" w:line="306" w:lineRule="exact"/>
        <w:rPr>
          <w:sz w:val="20"/>
          <w:szCs w:val="20"/>
          <w:color w:val="auto"/>
        </w:rPr>
      </w:pPr>
    </w:p>
    <w:p>
      <w:pPr>
        <w:ind w:left="1" w:right="4099"/>
        <w:spacing w:after="0" w:line="331" w:lineRule="auto"/>
        <w:rPr>
          <w:sz w:val="20"/>
          <w:szCs w:val="20"/>
          <w:color w:val="auto"/>
        </w:rPr>
      </w:pPr>
      <w:r>
        <w:rPr>
          <w:rFonts w:ascii="Courier New" w:cs="Courier New" w:eastAsia="Courier New" w:hAnsi="Courier New"/>
          <w:sz w:val="12"/>
          <w:szCs w:val="12"/>
          <w:color w:val="auto"/>
        </w:rPr>
        <w:t>This option is granted under and governed by the terms and conditions of the Plan and the Stock Option Agreement, which are incorporated herein by reference. You have been provided a copy of the Plan and the Stock Option Agreement.</w:t>
      </w:r>
    </w:p>
    <w:p>
      <w:pPr>
        <w:spacing w:after="0" w:line="27" w:lineRule="exact"/>
        <w:rPr>
          <w:sz w:val="20"/>
          <w:szCs w:val="20"/>
          <w:color w:val="auto"/>
        </w:rPr>
      </w:pPr>
    </w:p>
    <w:p>
      <w:pPr>
        <w:ind w:left="1"/>
        <w:spacing w:after="0"/>
        <w:tabs>
          <w:tab w:leader="none" w:pos="601" w:val="left"/>
        </w:tabs>
        <w:rPr>
          <w:sz w:val="20"/>
          <w:szCs w:val="20"/>
          <w:color w:val="auto"/>
        </w:rPr>
      </w:pPr>
      <w:r>
        <w:rPr>
          <w:rFonts w:ascii="Courier New" w:cs="Courier New" w:eastAsia="Courier New" w:hAnsi="Courier New"/>
          <w:sz w:val="13"/>
          <w:szCs w:val="13"/>
          <w:color w:val="auto"/>
        </w:rPr>
        <w:t>Dated:</w:t>
        <w:tab/>
        <w:t>_______________________</w:t>
      </w:r>
    </w:p>
    <w:p>
      <w:pPr>
        <w:sectPr>
          <w:pgSz w:w="11900" w:h="16838" w:orient="portrait"/>
          <w:cols w:equalWidth="0" w:num="1">
            <w:col w:w="10241"/>
          </w:cols>
          <w:pgMar w:left="219" w:top="265" w:right="1440" w:bottom="1440" w:gutter="0" w:footer="0" w:header="0"/>
        </w:sectPr>
      </w:pPr>
    </w:p>
    <w:bookmarkStart w:id="224" w:name="page225"/>
    <w:bookmarkEnd w:id="224"/>
    <w:p>
      <w:pPr>
        <w:jc w:val="center"/>
        <w:ind w:right="4018"/>
        <w:spacing w:after="0"/>
        <w:rPr>
          <w:sz w:val="20"/>
          <w:szCs w:val="20"/>
          <w:color w:val="auto"/>
        </w:rPr>
      </w:pPr>
      <w:r>
        <w:rPr>
          <w:rFonts w:ascii="Courier New" w:cs="Courier New" w:eastAsia="Courier New" w:hAnsi="Courier New"/>
          <w:sz w:val="13"/>
          <w:szCs w:val="13"/>
          <w:color w:val="auto"/>
        </w:rPr>
        <w:t>FIDELITY NATIONAL FINANCIAL, INC.</w:t>
      </w:r>
    </w:p>
    <w:p>
      <w:pPr>
        <w:spacing w:after="0" w:line="24" w:lineRule="exact"/>
        <w:rPr>
          <w:sz w:val="20"/>
          <w:szCs w:val="20"/>
          <w:color w:val="auto"/>
        </w:rPr>
      </w:pPr>
    </w:p>
    <w:p>
      <w:pPr>
        <w:jc w:val="center"/>
        <w:ind w:right="4098"/>
        <w:spacing w:after="0"/>
        <w:rPr>
          <w:sz w:val="20"/>
          <w:szCs w:val="20"/>
          <w:color w:val="auto"/>
        </w:rPr>
      </w:pPr>
      <w:r>
        <w:rPr>
          <w:rFonts w:ascii="Courier New" w:cs="Courier New" w:eastAsia="Courier New" w:hAnsi="Courier New"/>
          <w:sz w:val="13"/>
          <w:szCs w:val="13"/>
          <w:color w:val="auto"/>
        </w:rPr>
        <w:t>(F/K/A FIDELITY NATIONAL TITLE GROUP, INC.</w:t>
      </w:r>
    </w:p>
    <w:p>
      <w:pPr>
        <w:jc w:val="center"/>
        <w:ind w:right="4018"/>
        <w:spacing w:after="0"/>
        <w:rPr>
          <w:sz w:val="20"/>
          <w:szCs w:val="20"/>
          <w:color w:val="auto"/>
        </w:rPr>
      </w:pPr>
      <w:r>
        <w:rPr>
          <w:rFonts w:ascii="Courier New" w:cs="Courier New" w:eastAsia="Courier New" w:hAnsi="Courier New"/>
          <w:sz w:val="13"/>
          <w:szCs w:val="13"/>
          <w:color w:val="auto"/>
        </w:rPr>
        <w:t>2005 OMNIBUS INCENTIVE PLAN</w:t>
      </w:r>
    </w:p>
    <w:p>
      <w:pPr>
        <w:spacing w:after="0" w:line="124" w:lineRule="exact"/>
        <w:rPr>
          <w:sz w:val="20"/>
          <w:szCs w:val="20"/>
          <w:color w:val="auto"/>
        </w:rPr>
      </w:pPr>
    </w:p>
    <w:p>
      <w:pPr>
        <w:ind w:left="2221"/>
        <w:spacing w:after="0"/>
        <w:rPr>
          <w:sz w:val="20"/>
          <w:szCs w:val="20"/>
          <w:color w:val="auto"/>
        </w:rPr>
      </w:pPr>
      <w:r>
        <w:rPr>
          <w:rFonts w:ascii="Courier New" w:cs="Courier New" w:eastAsia="Courier New" w:hAnsi="Courier New"/>
          <w:sz w:val="13"/>
          <w:szCs w:val="13"/>
          <w:color w:val="auto"/>
        </w:rPr>
        <w:t>STOCK OPTION AGREEMENT</w:t>
      </w:r>
    </w:p>
    <w:p>
      <w:pPr>
        <w:spacing w:after="0" w:line="148" w:lineRule="exact"/>
        <w:rPr>
          <w:sz w:val="20"/>
          <w:szCs w:val="20"/>
          <w:color w:val="auto"/>
        </w:rPr>
      </w:pPr>
    </w:p>
    <w:p>
      <w:pPr>
        <w:ind w:left="1"/>
        <w:spacing w:after="0"/>
        <w:rPr>
          <w:sz w:val="20"/>
          <w:szCs w:val="20"/>
          <w:color w:val="auto"/>
        </w:rPr>
      </w:pPr>
      <w:r>
        <w:rPr>
          <w:rFonts w:ascii="Courier New" w:cs="Courier New" w:eastAsia="Courier New" w:hAnsi="Courier New"/>
          <w:sz w:val="13"/>
          <w:szCs w:val="13"/>
          <w:color w:val="auto"/>
        </w:rPr>
        <w:t>SECTION 1. GRANT OF OPTION.</w:t>
      </w:r>
    </w:p>
    <w:p>
      <w:pPr>
        <w:spacing w:after="0" w:line="148" w:lineRule="exact"/>
        <w:rPr>
          <w:sz w:val="20"/>
          <w:szCs w:val="20"/>
          <w:color w:val="auto"/>
        </w:rPr>
      </w:pPr>
    </w:p>
    <w:p>
      <w:pPr>
        <w:ind w:left="1" w:right="4099" w:firstLine="612"/>
        <w:spacing w:after="0" w:line="268" w:lineRule="auto"/>
        <w:tabs>
          <w:tab w:leader="none" w:pos="921" w:val="left"/>
        </w:tabs>
        <w:numPr>
          <w:ilvl w:val="0"/>
          <w:numId w:val="212"/>
        </w:numPr>
        <w:rPr>
          <w:rFonts w:ascii="Courier New" w:cs="Courier New" w:eastAsia="Courier New" w:hAnsi="Courier New"/>
          <w:sz w:val="13"/>
          <w:szCs w:val="13"/>
          <w:color w:val="auto"/>
        </w:rPr>
      </w:pPr>
      <w:r>
        <w:rPr>
          <w:rFonts w:ascii="Courier New" w:cs="Courier New" w:eastAsia="Courier New" w:hAnsi="Courier New"/>
          <w:sz w:val="13"/>
          <w:szCs w:val="13"/>
          <w:color w:val="auto"/>
        </w:rPr>
        <w:t>OPTION. On the terms and conditions set forth in the Notice of Stock Option Grant and this Stock Option Agreement (the "Agreement"), the Company grants to the Optionee on the Effective Date of Grant the option (the "Option") to purchase at the Exercise Price the number of Shares set forth in the Notice of Stock Option Grant.</w:t>
      </w:r>
    </w:p>
    <w:p>
      <w:pPr>
        <w:spacing w:after="0" w:line="62" w:lineRule="exact"/>
        <w:rPr>
          <w:rFonts w:ascii="Courier New" w:cs="Courier New" w:eastAsia="Courier New" w:hAnsi="Courier New"/>
          <w:sz w:val="13"/>
          <w:szCs w:val="13"/>
          <w:color w:val="auto"/>
        </w:rPr>
      </w:pPr>
    </w:p>
    <w:p>
      <w:pPr>
        <w:ind w:left="1" w:right="4179" w:firstLine="612"/>
        <w:spacing w:after="0" w:line="284" w:lineRule="auto"/>
        <w:tabs>
          <w:tab w:leader="none" w:pos="921" w:val="left"/>
        </w:tabs>
        <w:numPr>
          <w:ilvl w:val="0"/>
          <w:numId w:val="2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PLAN AND DEFINED TERMS. The Option is granted pursuant to the Plan. All terms, provisions, and conditions applicable to the Option set forth in the Plan and not set forth herein are hereby incorporated by reference herein. To the extent any provision hereof is inconsistent with a provision of the Plan, the provisions of the Plan will govern. All capitalized terms that are used in the Notice of Stock Option Grant or this Agreement and not otherwise defined therein or herein shall have the meanings ascribed to them in the Plan.</w:t>
      </w:r>
    </w:p>
    <w:p>
      <w:pPr>
        <w:spacing w:after="0" w:line="54" w:lineRule="exact"/>
        <w:rPr>
          <w:sz w:val="20"/>
          <w:szCs w:val="20"/>
          <w:color w:val="auto"/>
        </w:rPr>
      </w:pPr>
    </w:p>
    <w:p>
      <w:pPr>
        <w:ind w:left="1"/>
        <w:spacing w:after="0"/>
        <w:rPr>
          <w:sz w:val="20"/>
          <w:szCs w:val="20"/>
          <w:color w:val="auto"/>
        </w:rPr>
      </w:pPr>
      <w:r>
        <w:rPr>
          <w:rFonts w:ascii="Courier New" w:cs="Courier New" w:eastAsia="Courier New" w:hAnsi="Courier New"/>
          <w:sz w:val="13"/>
          <w:szCs w:val="13"/>
          <w:color w:val="auto"/>
        </w:rPr>
        <w:t>SECTION 2. RIGHT TO EXERCISE.</w:t>
      </w:r>
    </w:p>
    <w:p>
      <w:pPr>
        <w:spacing w:after="0" w:line="148" w:lineRule="exact"/>
        <w:rPr>
          <w:sz w:val="20"/>
          <w:szCs w:val="20"/>
          <w:color w:val="auto"/>
        </w:rPr>
      </w:pPr>
    </w:p>
    <w:p>
      <w:pPr>
        <w:ind w:left="1" w:right="4099" w:firstLine="613"/>
        <w:spacing w:after="0" w:line="244" w:lineRule="auto"/>
        <w:rPr>
          <w:sz w:val="20"/>
          <w:szCs w:val="20"/>
          <w:color w:val="auto"/>
        </w:rPr>
      </w:pPr>
      <w:r>
        <w:rPr>
          <w:rFonts w:ascii="Courier New" w:cs="Courier New" w:eastAsia="Courier New" w:hAnsi="Courier New"/>
          <w:sz w:val="13"/>
          <w:szCs w:val="13"/>
          <w:color w:val="auto"/>
        </w:rPr>
        <w:t>The Option hereby granted shall be exercised by written notice to the Committee, specifying the number of Shares the Optionee desires to purchase together with provision for payment of the Exercise Price. Subject to such limitations as the Committee may impose (including prohibition of one more of the following payment methods), payment of the Exercise Price may be made by (a) check payable to the order of the Company, for an amount in United States dollars equal to the aggregate Exercise Price of such Shares, (b) by tendering to the Company Shares having an aggregate Fair Market Value (as of the trading date immediately preceding the date of exercise) equal to such Exercise Price,</w:t>
      </w:r>
    </w:p>
    <w:p>
      <w:pPr>
        <w:spacing w:after="0" w:line="3" w:lineRule="exact"/>
        <w:rPr>
          <w:sz w:val="20"/>
          <w:szCs w:val="20"/>
          <w:color w:val="auto"/>
        </w:rPr>
      </w:pPr>
    </w:p>
    <w:p>
      <w:pPr>
        <w:ind w:left="1" w:right="4259" w:hanging="1"/>
        <w:spacing w:after="0" w:line="260" w:lineRule="auto"/>
        <w:tabs>
          <w:tab w:leader="none" w:pos="308" w:val="left"/>
        </w:tabs>
        <w:numPr>
          <w:ilvl w:val="0"/>
          <w:numId w:val="2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by broker-assisted exercise, or (d) by a combination of such methods. The Company may require the Optionee to furnish or execute such other documents as the Company shall reasonably deem necessary (i) to evidence such exercise and</w:t>
      </w:r>
    </w:p>
    <w:p>
      <w:pPr>
        <w:ind w:left="1" w:right="4259" w:hanging="1"/>
        <w:spacing w:after="0" w:line="277" w:lineRule="auto"/>
        <w:tabs>
          <w:tab w:leader="none" w:pos="385" w:val="left"/>
        </w:tabs>
        <w:numPr>
          <w:ilvl w:val="0"/>
          <w:numId w:val="21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comply with or satisfy the requirements of the Securities Act of 1933, as amended, the Exchange Act, applicable state or non-U.S. securities laws or any other law.</w:t>
      </w:r>
    </w:p>
    <w:p>
      <w:pPr>
        <w:spacing w:after="0" w:line="56" w:lineRule="exact"/>
        <w:rPr>
          <w:sz w:val="20"/>
          <w:szCs w:val="20"/>
          <w:color w:val="auto"/>
        </w:rPr>
      </w:pPr>
    </w:p>
    <w:p>
      <w:pPr>
        <w:ind w:left="1"/>
        <w:spacing w:after="0"/>
        <w:rPr>
          <w:sz w:val="20"/>
          <w:szCs w:val="20"/>
          <w:color w:val="auto"/>
        </w:rPr>
      </w:pPr>
      <w:r>
        <w:rPr>
          <w:rFonts w:ascii="Courier New" w:cs="Courier New" w:eastAsia="Courier New" w:hAnsi="Courier New"/>
          <w:sz w:val="13"/>
          <w:szCs w:val="13"/>
          <w:color w:val="auto"/>
        </w:rPr>
        <w:t>SECTION 3. TERM AND EXPIRATION.</w:t>
      </w:r>
    </w:p>
    <w:p>
      <w:pPr>
        <w:spacing w:after="0" w:line="148" w:lineRule="exact"/>
        <w:rPr>
          <w:sz w:val="20"/>
          <w:szCs w:val="20"/>
          <w:color w:val="auto"/>
        </w:rPr>
      </w:pPr>
    </w:p>
    <w:p>
      <w:pPr>
        <w:ind w:left="1" w:right="4259" w:firstLine="612"/>
        <w:spacing w:after="0" w:line="296" w:lineRule="auto"/>
        <w:tabs>
          <w:tab w:leader="none" w:pos="921" w:val="left"/>
        </w:tabs>
        <w:numPr>
          <w:ilvl w:val="0"/>
          <w:numId w:val="215"/>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BASIC TERM. Subject to earlier termination pursuant to the terms hereof, the Option shall expire on the expiration date set forth in the Notice of Stock Option Grant.</w:t>
      </w:r>
    </w:p>
    <w:p>
      <w:pPr>
        <w:spacing w:after="0" w:line="44" w:lineRule="exact"/>
        <w:rPr>
          <w:rFonts w:ascii="Courier New" w:cs="Courier New" w:eastAsia="Courier New" w:hAnsi="Courier New"/>
          <w:sz w:val="13"/>
          <w:szCs w:val="13"/>
          <w:color w:val="auto"/>
        </w:rPr>
      </w:pPr>
    </w:p>
    <w:p>
      <w:pPr>
        <w:jc w:val="both"/>
        <w:ind w:left="1" w:right="4259" w:firstLine="612"/>
        <w:spacing w:after="0" w:line="331" w:lineRule="auto"/>
        <w:tabs>
          <w:tab w:leader="none" w:pos="921" w:val="left"/>
        </w:tabs>
        <w:numPr>
          <w:ilvl w:val="0"/>
          <w:numId w:val="2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TERMINATION OF EMPLOYMENT OR SERVICE. If the Optionee's employment or service as a Director or Consultant, as the case may be, is terminated, the Option shall expire on the earliest of the following occasions:</w:t>
      </w:r>
    </w:p>
    <w:p>
      <w:pPr>
        <w:spacing w:after="0" w:line="27" w:lineRule="exact"/>
        <w:rPr>
          <w:rFonts w:ascii="Courier New" w:cs="Courier New" w:eastAsia="Courier New" w:hAnsi="Courier New"/>
          <w:sz w:val="12"/>
          <w:szCs w:val="12"/>
          <w:color w:val="auto"/>
        </w:rPr>
      </w:pPr>
    </w:p>
    <w:p>
      <w:pPr>
        <w:ind w:left="1461" w:hanging="311"/>
        <w:spacing w:after="0"/>
        <w:tabs>
          <w:tab w:leader="none" w:pos="1461" w:val="left"/>
        </w:tabs>
        <w:numPr>
          <w:ilvl w:val="1"/>
          <w:numId w:val="21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expiration date set forth in the Notice of Stock Option</w:t>
      </w:r>
    </w:p>
    <w:p>
      <w:pPr>
        <w:spacing w:after="0" w:line="24" w:lineRule="exact"/>
        <w:rPr>
          <w:rFonts w:ascii="Courier New" w:cs="Courier New" w:eastAsia="Courier New" w:hAnsi="Courier New"/>
          <w:sz w:val="13"/>
          <w:szCs w:val="13"/>
          <w:color w:val="auto"/>
        </w:rPr>
      </w:pPr>
    </w:p>
    <w:p>
      <w:pPr>
        <w:ind w:left="1"/>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Grant;</w:t>
      </w:r>
    </w:p>
    <w:p>
      <w:pPr>
        <w:spacing w:after="0" w:line="200" w:lineRule="exact"/>
        <w:rPr>
          <w:sz w:val="20"/>
          <w:szCs w:val="20"/>
          <w:color w:val="auto"/>
        </w:rPr>
      </w:pPr>
    </w:p>
    <w:p>
      <w:pPr>
        <w:spacing w:after="0" w:line="218" w:lineRule="exact"/>
        <w:rPr>
          <w:sz w:val="20"/>
          <w:szCs w:val="20"/>
          <w:color w:val="auto"/>
        </w:rPr>
      </w:pPr>
    </w:p>
    <w:p>
      <w:pPr>
        <w:ind w:left="2921"/>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41"/>
          </w:cols>
          <w:pgMar w:left="219" w:top="540" w:right="1440" w:bottom="1440" w:gutter="0" w:footer="0" w:header="0"/>
        </w:sectPr>
      </w:pPr>
    </w:p>
    <w:bookmarkStart w:id="225" w:name="page226"/>
    <w:bookmarkEnd w:id="225"/>
    <w:p>
      <w:pPr>
        <w:ind w:left="1" w:right="4499" w:firstLine="1149"/>
        <w:spacing w:after="0" w:line="296" w:lineRule="auto"/>
        <w:tabs>
          <w:tab w:leader="none" w:pos="1535" w:val="left"/>
        </w:tabs>
        <w:numPr>
          <w:ilvl w:val="0"/>
          <w:numId w:val="2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date three months following the termination of the Optionee's employment or service for any reason other than Cause, death, or Disability;</w:t>
      </w:r>
    </w:p>
    <w:p>
      <w:pPr>
        <w:spacing w:after="0" w:line="44" w:lineRule="exact"/>
        <w:rPr>
          <w:rFonts w:ascii="Courier New" w:cs="Courier New" w:eastAsia="Courier New" w:hAnsi="Courier New"/>
          <w:sz w:val="13"/>
          <w:szCs w:val="13"/>
          <w:color w:val="auto"/>
        </w:rPr>
      </w:pPr>
    </w:p>
    <w:p>
      <w:pPr>
        <w:ind w:left="1" w:right="4799" w:firstLine="1149"/>
        <w:spacing w:after="0" w:line="353" w:lineRule="auto"/>
        <w:tabs>
          <w:tab w:leader="none" w:pos="1611" w:val="left"/>
        </w:tabs>
        <w:numPr>
          <w:ilvl w:val="0"/>
          <w:numId w:val="2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date one year following the termination of the Optionee's employment or service due to death or Disability; or</w:t>
      </w:r>
    </w:p>
    <w:p>
      <w:pPr>
        <w:spacing w:after="0" w:line="9" w:lineRule="exact"/>
        <w:rPr>
          <w:rFonts w:ascii="Courier New" w:cs="Courier New" w:eastAsia="Courier New" w:hAnsi="Courier New"/>
          <w:sz w:val="13"/>
          <w:szCs w:val="13"/>
          <w:color w:val="auto"/>
        </w:rPr>
      </w:pPr>
    </w:p>
    <w:p>
      <w:pPr>
        <w:ind w:left="1541" w:hanging="391"/>
        <w:spacing w:after="0"/>
        <w:tabs>
          <w:tab w:leader="none" w:pos="1541" w:val="left"/>
        </w:tabs>
        <w:numPr>
          <w:ilvl w:val="0"/>
          <w:numId w:val="2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date of termination of the Optionee's employment or</w:t>
      </w:r>
    </w:p>
    <w:p>
      <w:pPr>
        <w:spacing w:after="0" w:line="24" w:lineRule="exact"/>
        <w:rPr>
          <w:rFonts w:ascii="Courier New" w:cs="Courier New" w:eastAsia="Courier New" w:hAnsi="Courier New"/>
          <w:sz w:val="13"/>
          <w:szCs w:val="13"/>
          <w:color w:val="auto"/>
        </w:rPr>
      </w:pPr>
    </w:p>
    <w:p>
      <w:pPr>
        <w:ind w:left="1"/>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service for Cause.</w:t>
      </w:r>
    </w:p>
    <w:p>
      <w:pPr>
        <w:spacing w:after="0" w:line="124" w:lineRule="exact"/>
        <w:rPr>
          <w:sz w:val="20"/>
          <w:szCs w:val="20"/>
          <w:color w:val="auto"/>
        </w:rPr>
      </w:pPr>
    </w:p>
    <w:p>
      <w:pPr>
        <w:ind w:left="1" w:right="4099"/>
        <w:spacing w:after="0" w:line="250" w:lineRule="auto"/>
        <w:rPr>
          <w:sz w:val="20"/>
          <w:szCs w:val="20"/>
          <w:color w:val="auto"/>
        </w:rPr>
      </w:pPr>
      <w:r>
        <w:rPr>
          <w:rFonts w:ascii="Courier New" w:cs="Courier New" w:eastAsia="Courier New" w:hAnsi="Courier New"/>
          <w:sz w:val="13"/>
          <w:szCs w:val="13"/>
          <w:color w:val="auto"/>
        </w:rPr>
        <w:t>The Optionee may exercise all or part of this Option at any time before its expiration under the preceding sentence, but, subject to the following sentence, only to the extent that the Option had become vested before the Optionee's employment or service terminated. When the Optionee's employment or service terminates, this Option shall expire immediately with respect to the number of Shares for which the Option is not yet vested. If the Optionee dies after termination of employment or service, but before the expiration of the Option, all or part of this Option may be exercised (prior to expiration) by the personal representative of the Optionee or by any person who has acquired this Option directly from the Optionee by will, bequest or inheritance, but only to the extent that the Option was vested and exercisable upon termination of the Optionee's employment or service.</w:t>
      </w:r>
    </w:p>
    <w:p>
      <w:pPr>
        <w:spacing w:after="0" w:line="76" w:lineRule="exact"/>
        <w:rPr>
          <w:sz w:val="20"/>
          <w:szCs w:val="20"/>
          <w:color w:val="auto"/>
        </w:rPr>
      </w:pPr>
    </w:p>
    <w:p>
      <w:pPr>
        <w:ind w:left="1" w:right="4099" w:firstLine="612"/>
        <w:spacing w:after="0" w:line="266" w:lineRule="auto"/>
        <w:tabs>
          <w:tab w:leader="none" w:pos="921" w:val="left"/>
        </w:tabs>
        <w:numPr>
          <w:ilvl w:val="1"/>
          <w:numId w:val="2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DEFINITION OF "CAUSE." The term "Cause" shall have the meaning ascribed to such term in the Optionee's employment agreement with the Company or any Parent or Subsidiary. If the Optionee's employment agreement does not define the term "Cause," of if the Optionee has not entered into an employment agreement with the Company or any Parent or Subsidiary, the term "Cause" shall mean (i) the willful engaging by the Optionee in misconduct that is demonstrably injurious to the Company or any Parent or Subsidiary (monetarily or otherwise),</w:t>
      </w:r>
    </w:p>
    <w:p>
      <w:pPr>
        <w:spacing w:after="0" w:line="1" w:lineRule="exact"/>
        <w:rPr>
          <w:rFonts w:ascii="Courier New" w:cs="Courier New" w:eastAsia="Courier New" w:hAnsi="Courier New"/>
          <w:sz w:val="12"/>
          <w:szCs w:val="12"/>
          <w:color w:val="auto"/>
        </w:rPr>
      </w:pPr>
    </w:p>
    <w:p>
      <w:pPr>
        <w:ind w:left="1" w:right="4259" w:hanging="1"/>
        <w:spacing w:after="0" w:line="264" w:lineRule="auto"/>
        <w:tabs>
          <w:tab w:leader="none" w:pos="385" w:val="left"/>
        </w:tabs>
        <w:numPr>
          <w:ilvl w:val="0"/>
          <w:numId w:val="21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Optionee's conviction of, or pleading guilty or nolo contendere to, a felony involving moral turpitude, or (iii) the Optionee's violation of any confidentiality, non-solicitation, or non-competition covenant to which the Optionee is subject.</w:t>
      </w:r>
    </w:p>
    <w:p>
      <w:pPr>
        <w:spacing w:after="0" w:line="65" w:lineRule="exact"/>
        <w:rPr>
          <w:rFonts w:ascii="Courier New" w:cs="Courier New" w:eastAsia="Courier New" w:hAnsi="Courier New"/>
          <w:sz w:val="13"/>
          <w:szCs w:val="13"/>
          <w:color w:val="auto"/>
        </w:rPr>
      </w:pPr>
    </w:p>
    <w:p>
      <w:pPr>
        <w:ind w:left="1" w:right="4099" w:firstLine="612"/>
        <w:spacing w:after="0" w:line="256" w:lineRule="auto"/>
        <w:tabs>
          <w:tab w:leader="none" w:pos="921" w:val="left"/>
        </w:tabs>
        <w:numPr>
          <w:ilvl w:val="1"/>
          <w:numId w:val="218"/>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DEFINITION OF "DISABILITY." The term "Disability" shall have the meaning ascribed to such term in the Optionee's employment agreement with the Company or any Parent or Subsidiary. If the Optionee's employment agreement does not define the term "Disability," or if the Optionee has not entered into an employment agreement with the Company or any Parent or Subsidiary, the term "Disability" shall mean the Optionee's entitlement to long-term disability benefits pursuant to the long-term disability plan maintained by the Company or in which the Company's employees participate.</w:t>
      </w:r>
    </w:p>
    <w:p>
      <w:pPr>
        <w:spacing w:after="0" w:line="70" w:lineRule="exact"/>
        <w:rPr>
          <w:sz w:val="20"/>
          <w:szCs w:val="20"/>
          <w:color w:val="auto"/>
        </w:rPr>
      </w:pPr>
    </w:p>
    <w:p>
      <w:pPr>
        <w:ind w:left="1"/>
        <w:spacing w:after="0"/>
        <w:rPr>
          <w:sz w:val="20"/>
          <w:szCs w:val="20"/>
          <w:color w:val="auto"/>
        </w:rPr>
      </w:pPr>
      <w:r>
        <w:rPr>
          <w:rFonts w:ascii="Courier New" w:cs="Courier New" w:eastAsia="Courier New" w:hAnsi="Courier New"/>
          <w:sz w:val="13"/>
          <w:szCs w:val="13"/>
          <w:color w:val="auto"/>
        </w:rPr>
        <w:t>SECTION 4. TRANSFERABILITY OF OPTION.</w:t>
      </w:r>
    </w:p>
    <w:p>
      <w:pPr>
        <w:spacing w:after="0" w:line="148" w:lineRule="exact"/>
        <w:rPr>
          <w:sz w:val="20"/>
          <w:szCs w:val="20"/>
          <w:color w:val="auto"/>
        </w:rPr>
      </w:pPr>
    </w:p>
    <w:p>
      <w:pPr>
        <w:ind w:left="1" w:right="4419" w:firstLine="612"/>
        <w:spacing w:after="0" w:line="268" w:lineRule="auto"/>
        <w:tabs>
          <w:tab w:leader="none" w:pos="921" w:val="left"/>
        </w:tabs>
        <w:numPr>
          <w:ilvl w:val="0"/>
          <w:numId w:val="2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GENERALLY. Except as provided in Section 4(b) herein, the Option shall not be transferable by the Optionee other than by will or the laws of descent and distribution, and the Option shall be exercisable during the Optionee's lifetime only by the Optionee or on his or her behalf by the Optionee's guardian or legal representative.</w:t>
      </w:r>
    </w:p>
    <w:p>
      <w:pPr>
        <w:spacing w:after="0" w:line="357" w:lineRule="exact"/>
        <w:rPr>
          <w:sz w:val="20"/>
          <w:szCs w:val="20"/>
          <w:color w:val="auto"/>
        </w:rPr>
      </w:pPr>
    </w:p>
    <w:p>
      <w:pPr>
        <w:ind w:left="2921"/>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41"/>
          </w:cols>
          <w:pgMar w:left="219" w:top="540" w:right="1440" w:bottom="1440" w:gutter="0" w:footer="0" w:header="0"/>
        </w:sectPr>
      </w:pPr>
    </w:p>
    <w:bookmarkStart w:id="226" w:name="page227"/>
    <w:bookmarkEnd w:id="226"/>
    <w:p>
      <w:pPr>
        <w:ind w:right="4099" w:firstLine="612"/>
        <w:spacing w:after="0" w:line="268" w:lineRule="auto"/>
        <w:tabs>
          <w:tab w:leader="none" w:pos="920" w:val="left"/>
        </w:tabs>
        <w:numPr>
          <w:ilvl w:val="0"/>
          <w:numId w:val="2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TRANSFERS TO FAMILY MEMBERS. Notwithstanding Section 4(a) herein, if the Option is a Nonqualified Stock Option, the Optionee may transfer the Option for no consideration to or for the benefit of a Family Member, subject to such limits as the Committee may establish, and the transferee shall remain subject to all the terms and conditions applicable to the Option.</w:t>
      </w:r>
    </w:p>
    <w:p>
      <w:pPr>
        <w:spacing w:after="0" w:line="62" w:lineRule="exact"/>
        <w:rPr>
          <w:rFonts w:ascii="Courier New" w:cs="Courier New" w:eastAsia="Courier New" w:hAnsi="Courier New"/>
          <w:sz w:val="13"/>
          <w:szCs w:val="13"/>
          <w:color w:val="auto"/>
        </w:rPr>
      </w:pPr>
    </w:p>
    <w:p>
      <w:pPr>
        <w:ind w:right="4179" w:firstLine="612"/>
        <w:spacing w:after="0" w:line="252" w:lineRule="auto"/>
        <w:tabs>
          <w:tab w:leader="none" w:pos="920" w:val="left"/>
        </w:tabs>
        <w:numPr>
          <w:ilvl w:val="0"/>
          <w:numId w:val="2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DEFINITION OF "FAMILY MEMBER." For purposes of this Agreement, the term "Family Member" shall mean any child, stepchild, grandchild, parent, stepparent, grandparent, spouse, former spouse, sibling, niece, nephew, mother-in-law, father-in-law, son-in-law, daughter-in-law, brother-in-law, or sister-in-law of the Optionee (including adoptive relationships), any person sharing the same household as the Optionee (other than a tenant or employee), a trust in which the above persons have more than fifty percent of the beneficial interests, a foundation in which the Optionee or the above persons control the management of assets, and any other entity in which the Optionee or the above persons own more than fifty percent of the voting interests.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SECTION 5. MISCELLANEOUS PROVISIONS.</w:t>
      </w:r>
    </w:p>
    <w:p>
      <w:pPr>
        <w:spacing w:after="0" w:line="148" w:lineRule="exact"/>
        <w:rPr>
          <w:sz w:val="20"/>
          <w:szCs w:val="20"/>
          <w:color w:val="auto"/>
        </w:rPr>
      </w:pPr>
    </w:p>
    <w:p>
      <w:pPr>
        <w:ind w:right="4179" w:firstLine="612"/>
        <w:spacing w:after="0" w:line="262" w:lineRule="auto"/>
        <w:tabs>
          <w:tab w:leader="none" w:pos="920" w:val="left"/>
        </w:tabs>
        <w:numPr>
          <w:ilvl w:val="0"/>
          <w:numId w:val="22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ACKNOWLEDGEMENTS. The Optionee hereby acknowledges that he or she has read and understands the terms of this Agreement, and agrees to be bound by its terms and conditions. The Optionee acknowledges that there may be tax consequences upon the exercise or transfer of the Option and that the Optionee should consult an independent tax advisor prior to any exercise or transfer of the Option.</w:t>
      </w:r>
    </w:p>
    <w:p>
      <w:pPr>
        <w:spacing w:after="0" w:line="67" w:lineRule="exact"/>
        <w:rPr>
          <w:rFonts w:ascii="Courier New" w:cs="Courier New" w:eastAsia="Courier New" w:hAnsi="Courier New"/>
          <w:sz w:val="13"/>
          <w:szCs w:val="13"/>
          <w:color w:val="auto"/>
        </w:rPr>
      </w:pPr>
    </w:p>
    <w:p>
      <w:pPr>
        <w:ind w:right="4099" w:firstLine="612"/>
        <w:spacing w:after="0" w:line="269" w:lineRule="auto"/>
        <w:tabs>
          <w:tab w:leader="none" w:pos="920" w:val="left"/>
        </w:tabs>
        <w:numPr>
          <w:ilvl w:val="0"/>
          <w:numId w:val="2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TAX WITHHOLDING. Pursuant to Article 20 of the Plan, the Committee shall have the power and the right to deduct or withhold, or require the Optionee to remit to the Company, an amount sufficient to satisfy any federal, state and local taxes (including the Optionee's FICA obligations) required by law to be withheld with respect to this Option. The Committee may condition the delivery of Shares upon the Optionee's satisfaction of such withholding obligations. The Optionee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Optionee, and shall be subject to any restrictions or limitations that the Committee, in its sole discretion, deems appropriate.</w:t>
      </w:r>
    </w:p>
    <w:p>
      <w:pPr>
        <w:spacing w:after="0" w:line="221" w:lineRule="exact"/>
        <w:rPr>
          <w:rFonts w:ascii="Courier New" w:cs="Courier New" w:eastAsia="Courier New" w:hAnsi="Courier New"/>
          <w:sz w:val="12"/>
          <w:szCs w:val="12"/>
          <w:color w:val="auto"/>
        </w:rPr>
      </w:pPr>
    </w:p>
    <w:p>
      <w:pPr>
        <w:ind w:right="4099" w:firstLine="612"/>
        <w:spacing w:after="0" w:line="256" w:lineRule="auto"/>
        <w:tabs>
          <w:tab w:leader="none" w:pos="920" w:val="left"/>
        </w:tabs>
        <w:numPr>
          <w:ilvl w:val="0"/>
          <w:numId w:val="221"/>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NOTICE CONCERNING DISQUALIFYING DISPOSITIONS. If the Option is an Incentive Stock Option, the Optionee shall notify the Committee of any disposition of Shares issued pursuant to the exercise of the Option if the disposition constitutes a "disqualifying disposition" within the meaning of Sections 421 and 422 of the Code (or any successor provision of the Code then in effect relating to disqualifying dispositions). Such notice shall be provided by the Optionee to the Committee in writing within 10 days of any such disqualifying disposition.</w:t>
      </w:r>
    </w:p>
    <w:p>
      <w:pPr>
        <w:spacing w:after="0" w:line="365" w:lineRule="exact"/>
        <w:rPr>
          <w:sz w:val="20"/>
          <w:szCs w:val="20"/>
          <w:color w:val="auto"/>
        </w:rPr>
      </w:pPr>
    </w:p>
    <w:p>
      <w:pPr>
        <w:ind w:left="292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39"/>
          </w:cols>
          <w:pgMar w:left="220" w:top="540" w:right="1440" w:bottom="1440" w:gutter="0" w:footer="0" w:header="0"/>
        </w:sectPr>
      </w:pPr>
    </w:p>
    <w:bookmarkStart w:id="227" w:name="page228"/>
    <w:bookmarkEnd w:id="227"/>
    <w:p>
      <w:pPr>
        <w:ind w:left="-612" w:right="4099" w:firstLine="612"/>
        <w:spacing w:after="0" w:line="268" w:lineRule="auto"/>
        <w:tabs>
          <w:tab w:leader="none" w:pos="308" w:val="left"/>
        </w:tabs>
        <w:numPr>
          <w:ilvl w:val="0"/>
          <w:numId w:val="2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RIGHTS AS A STOCKHOLDER. Neither the Optionee nor the Optionee's transferee or representative shall have any rights as a stockholder with respect to any Shares subject to this Option until the Option has been exercised and Share certificates have been issued to the Optionee, transferee or representative, as the case may be.</w:t>
      </w:r>
    </w:p>
    <w:p>
      <w:pPr>
        <w:spacing w:after="0" w:line="62" w:lineRule="exact"/>
        <w:rPr>
          <w:rFonts w:ascii="Courier New" w:cs="Courier New" w:eastAsia="Courier New" w:hAnsi="Courier New"/>
          <w:sz w:val="13"/>
          <w:szCs w:val="13"/>
          <w:color w:val="auto"/>
        </w:rPr>
      </w:pPr>
    </w:p>
    <w:p>
      <w:pPr>
        <w:ind w:left="-612" w:right="4259" w:firstLine="612"/>
        <w:spacing w:after="0" w:line="295" w:lineRule="auto"/>
        <w:tabs>
          <w:tab w:leader="none" w:pos="308" w:val="left"/>
        </w:tabs>
        <w:numPr>
          <w:ilvl w:val="0"/>
          <w:numId w:val="2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RATIFICATION OF ACTIONS. By accepting this Agreement, the Optionee and each person claiming under or through the Optionee shall be conclusively deemed to have indicated the Optionee's acceptance and ratification of, and consent to, any action taken under the Plan or this Agreement and Notice of Stock Option Grant by the Company, the Board, or the Committee.</w:t>
      </w:r>
    </w:p>
    <w:p>
      <w:pPr>
        <w:spacing w:after="0" w:line="49" w:lineRule="exact"/>
        <w:rPr>
          <w:rFonts w:ascii="Courier New" w:cs="Courier New" w:eastAsia="Courier New" w:hAnsi="Courier New"/>
          <w:sz w:val="12"/>
          <w:szCs w:val="12"/>
          <w:color w:val="auto"/>
        </w:rPr>
      </w:pPr>
    </w:p>
    <w:p>
      <w:pPr>
        <w:ind w:left="-612" w:right="4179" w:firstLine="612"/>
        <w:spacing w:after="0" w:line="262" w:lineRule="auto"/>
        <w:tabs>
          <w:tab w:leader="none" w:pos="308" w:val="left"/>
        </w:tabs>
        <w:numPr>
          <w:ilvl w:val="0"/>
          <w:numId w:val="2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NOTICE. Any notice required by the terms of this Agreement shall be given in writing and shall be deemed effective upon personal delivery or upon deposit with the United States Postal Service, by registered or certified mail, with postage and fees prepaid. Notice shall be addressed to the Company at its principal executive office and to the Optionee at the address that he or she most recently provided in writing to the Company.</w:t>
      </w:r>
    </w:p>
    <w:p>
      <w:pPr>
        <w:spacing w:after="0" w:line="67" w:lineRule="exact"/>
        <w:rPr>
          <w:rFonts w:ascii="Courier New" w:cs="Courier New" w:eastAsia="Courier New" w:hAnsi="Courier New"/>
          <w:sz w:val="13"/>
          <w:szCs w:val="13"/>
          <w:color w:val="auto"/>
        </w:rPr>
      </w:pPr>
    </w:p>
    <w:p>
      <w:pPr>
        <w:ind w:left="-612" w:right="4259" w:firstLine="612"/>
        <w:spacing w:after="0" w:line="262" w:lineRule="auto"/>
        <w:tabs>
          <w:tab w:leader="none" w:pos="308" w:val="left"/>
        </w:tabs>
        <w:numPr>
          <w:ilvl w:val="0"/>
          <w:numId w:val="2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CHOICE OF LAW. This Agreement and the Notice of Stock Option Grant shall be governed by, and construed in accordance with, the laws of Florida, without regard to any conflicts of law or choice of law rule or principle that might otherwise cause the Agreement or Notice of Stock Option Grant to be governed by or construed in accordance with the substantive law of another jurisdiction.</w:t>
      </w:r>
    </w:p>
    <w:p>
      <w:pPr>
        <w:spacing w:after="0" w:line="67" w:lineRule="exact"/>
        <w:rPr>
          <w:rFonts w:ascii="Courier New" w:cs="Courier New" w:eastAsia="Courier New" w:hAnsi="Courier New"/>
          <w:sz w:val="13"/>
          <w:szCs w:val="13"/>
          <w:color w:val="auto"/>
        </w:rPr>
      </w:pPr>
    </w:p>
    <w:p>
      <w:pPr>
        <w:ind w:left="-612" w:right="4179" w:firstLine="612"/>
        <w:spacing w:after="0" w:line="277" w:lineRule="auto"/>
        <w:tabs>
          <w:tab w:leader="none" w:pos="308" w:val="left"/>
        </w:tabs>
        <w:numPr>
          <w:ilvl w:val="0"/>
          <w:numId w:val="2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MODIFICATION OR AMENDMENT. This Agreement may only be modified or amended by written agreement executed by the parties hereto; provided, however, that the adjustments permitted pursuant to Section 4.3 of the Plan may be made without such written agreement.</w:t>
      </w:r>
    </w:p>
    <w:p>
      <w:pPr>
        <w:spacing w:after="0" w:line="57" w:lineRule="exact"/>
        <w:rPr>
          <w:rFonts w:ascii="Courier New" w:cs="Courier New" w:eastAsia="Courier New" w:hAnsi="Courier New"/>
          <w:sz w:val="13"/>
          <w:szCs w:val="13"/>
          <w:color w:val="auto"/>
        </w:rPr>
      </w:pPr>
    </w:p>
    <w:p>
      <w:pPr>
        <w:ind w:left="-612" w:right="4179" w:firstLine="612"/>
        <w:spacing w:after="0" w:line="268" w:lineRule="auto"/>
        <w:tabs>
          <w:tab w:leader="none" w:pos="308" w:val="left"/>
        </w:tabs>
        <w:numPr>
          <w:ilvl w:val="0"/>
          <w:numId w:val="2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SEVERABILITY. In the event any provision of this Agreement shall be held illegal or invalid for any reason, the illegality or invalidity shall not affect the remaining provisions of this Agreement, and this Agreement shall be construed and enforced as if such illegal or invalid provision had not been included.</w:t>
      </w:r>
    </w:p>
    <w:p>
      <w:pPr>
        <w:spacing w:after="0" w:line="62" w:lineRule="exact"/>
        <w:rPr>
          <w:rFonts w:ascii="Courier New" w:cs="Courier New" w:eastAsia="Courier New" w:hAnsi="Courier New"/>
          <w:sz w:val="13"/>
          <w:szCs w:val="13"/>
          <w:color w:val="auto"/>
        </w:rPr>
      </w:pPr>
    </w:p>
    <w:p>
      <w:pPr>
        <w:ind w:left="-612" w:right="4559" w:firstLine="612"/>
        <w:spacing w:after="0" w:line="353" w:lineRule="auto"/>
        <w:tabs>
          <w:tab w:leader="none" w:pos="308" w:val="left"/>
        </w:tabs>
        <w:numPr>
          <w:ilvl w:val="0"/>
          <w:numId w:val="2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REFERENCES TO PLAN. All references to the Plan shall be deemed references to the Plan as may be amended from time to time.</w:t>
      </w:r>
    </w:p>
    <w:p>
      <w:pPr>
        <w:spacing w:after="0" w:line="9" w:lineRule="exact"/>
        <w:rPr>
          <w:rFonts w:ascii="Courier New" w:cs="Courier New" w:eastAsia="Courier New" w:hAnsi="Courier New"/>
          <w:sz w:val="13"/>
          <w:szCs w:val="13"/>
          <w:color w:val="auto"/>
        </w:rPr>
      </w:pPr>
    </w:p>
    <w:p>
      <w:pPr>
        <w:ind w:left="-612" w:right="4099" w:firstLine="612"/>
        <w:spacing w:after="0" w:line="254" w:lineRule="auto"/>
        <w:tabs>
          <w:tab w:leader="none" w:pos="308" w:val="left"/>
        </w:tabs>
        <w:numPr>
          <w:ilvl w:val="0"/>
          <w:numId w:val="2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SECTION 409A COMPLIANCE. To the extent applicable, it is intended that the Plan and this Agreement comply with the requirements of Section 409A of the Internal Revenue Code of 1986, as amended (the "Code") and any related regulations or other guidance promulgated with respect to such Section by the U.S. Department of the Treasury or the Internal Revenue Service ("Section 409A"). Any provision of the Plan or this Agreement that would cause this Award to fail to satisfy Section 409A shall have no force or effect until amended to comply with Section 409A, which amendment may be retroactive to the extent permitted by Section 409A.</w:t>
      </w:r>
    </w:p>
    <w:p>
      <w:pPr>
        <w:spacing w:after="0" w:line="367" w:lineRule="exact"/>
        <w:rPr>
          <w:sz w:val="20"/>
          <w:szCs w:val="20"/>
          <w:color w:val="auto"/>
        </w:rPr>
      </w:pPr>
    </w:p>
    <w:p>
      <w:pPr>
        <w:ind w:left="2308"/>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9627"/>
          </w:cols>
          <w:pgMar w:left="832" w:top="540" w:right="1440" w:bottom="1440" w:gutter="0" w:footer="0" w:header="0"/>
        </w:sectPr>
      </w:pPr>
    </w:p>
    <w:bookmarkStart w:id="228" w:name="page229"/>
    <w:bookmarkEnd w:id="228"/>
    <w:p>
      <w:pPr>
        <w:ind w:left="5141"/>
        <w:spacing w:after="0"/>
        <w:rPr>
          <w:sz w:val="20"/>
          <w:szCs w:val="20"/>
          <w:color w:val="auto"/>
        </w:rPr>
      </w:pPr>
      <w:r>
        <w:rPr>
          <w:rFonts w:ascii="Courier New" w:cs="Courier New" w:eastAsia="Courier New" w:hAnsi="Courier New"/>
          <w:sz w:val="13"/>
          <w:szCs w:val="13"/>
          <w:color w:val="auto"/>
        </w:rPr>
        <w:t>EXHIBIT 10.17</w:t>
      </w:r>
    </w:p>
    <w:p>
      <w:pPr>
        <w:spacing w:after="0" w:line="148" w:lineRule="exact"/>
        <w:rPr>
          <w:sz w:val="20"/>
          <w:szCs w:val="20"/>
          <w:color w:val="auto"/>
        </w:rPr>
      </w:pPr>
    </w:p>
    <w:p>
      <w:pPr>
        <w:jc w:val="center"/>
        <w:ind w:right="4038"/>
        <w:spacing w:after="0"/>
        <w:rPr>
          <w:sz w:val="20"/>
          <w:szCs w:val="20"/>
          <w:color w:val="auto"/>
        </w:rPr>
      </w:pPr>
      <w:r>
        <w:rPr>
          <w:rFonts w:ascii="Courier New" w:cs="Courier New" w:eastAsia="Courier New" w:hAnsi="Courier New"/>
          <w:sz w:val="13"/>
          <w:szCs w:val="13"/>
          <w:color w:val="auto"/>
        </w:rPr>
        <w:t>FIDELITY NATIONAL TITLE GROUP, INC.</w:t>
      </w:r>
    </w:p>
    <w:p>
      <w:pPr>
        <w:spacing w:after="0" w:line="24" w:lineRule="exact"/>
        <w:rPr>
          <w:sz w:val="20"/>
          <w:szCs w:val="20"/>
          <w:color w:val="auto"/>
        </w:rPr>
      </w:pPr>
    </w:p>
    <w:p>
      <w:pPr>
        <w:jc w:val="center"/>
        <w:ind w:right="4038"/>
        <w:spacing w:after="0"/>
        <w:rPr>
          <w:sz w:val="20"/>
          <w:szCs w:val="20"/>
          <w:color w:val="auto"/>
        </w:rPr>
      </w:pPr>
      <w:r>
        <w:rPr>
          <w:rFonts w:ascii="Courier New" w:cs="Courier New" w:eastAsia="Courier New" w:hAnsi="Courier New"/>
          <w:sz w:val="13"/>
          <w:szCs w:val="13"/>
          <w:color w:val="auto"/>
        </w:rPr>
        <w:t>2005 OMNIBUS INCENTIVE PLAN</w:t>
      </w:r>
    </w:p>
    <w:p>
      <w:pPr>
        <w:spacing w:after="0" w:line="124" w:lineRule="exact"/>
        <w:rPr>
          <w:sz w:val="20"/>
          <w:szCs w:val="20"/>
          <w:color w:val="auto"/>
        </w:rPr>
      </w:pPr>
    </w:p>
    <w:p>
      <w:pPr>
        <w:ind w:left="2001"/>
        <w:spacing w:after="0"/>
        <w:rPr>
          <w:sz w:val="20"/>
          <w:szCs w:val="20"/>
          <w:color w:val="auto"/>
        </w:rPr>
      </w:pPr>
      <w:r>
        <w:rPr>
          <w:rFonts w:ascii="Courier New" w:cs="Courier New" w:eastAsia="Courier New" w:hAnsi="Courier New"/>
          <w:sz w:val="13"/>
          <w:szCs w:val="13"/>
          <w:color w:val="auto"/>
        </w:rPr>
        <w:t>NOTICE OF STOCK OPTION GRANT</w:t>
      </w:r>
    </w:p>
    <w:p>
      <w:pPr>
        <w:spacing w:after="0" w:line="148" w:lineRule="exact"/>
        <w:rPr>
          <w:sz w:val="20"/>
          <w:szCs w:val="20"/>
          <w:color w:val="auto"/>
        </w:rPr>
      </w:pPr>
    </w:p>
    <w:p>
      <w:pPr>
        <w:ind w:left="1" w:right="4099" w:firstLine="613"/>
        <w:spacing w:after="0" w:line="295" w:lineRule="auto"/>
        <w:rPr>
          <w:sz w:val="20"/>
          <w:szCs w:val="20"/>
          <w:color w:val="auto"/>
        </w:rPr>
      </w:pPr>
      <w:r>
        <w:rPr>
          <w:rFonts w:ascii="Courier New" w:cs="Courier New" w:eastAsia="Courier New" w:hAnsi="Courier New"/>
          <w:sz w:val="12"/>
          <w:szCs w:val="12"/>
          <w:color w:val="auto"/>
        </w:rPr>
        <w:t>You (the "Optionee") have been granted the following option to purchase Class A Common Stock of Fidelity National Title Group, Inc. (the "Company"), par value $0.0001 per share ("Share"), pursuant to the Fidelity National Title Group, Inc. 2005 Omnibus Incentive Plan (the "FNT Plan") according to the attached Personnel Grant Sheet ("PGS") incorporated herein by reference:</w:t>
      </w:r>
    </w:p>
    <w:p>
      <w:pPr>
        <w:spacing w:after="0" w:line="344" w:lineRule="exact"/>
        <w:rPr>
          <w:sz w:val="20"/>
          <w:szCs w:val="20"/>
          <w:color w:val="auto"/>
        </w:rPr>
      </w:pPr>
    </w:p>
    <w:p>
      <w:pPr>
        <w:ind w:left="161" w:hanging="161"/>
        <w:spacing w:after="0"/>
        <w:tabs>
          <w:tab w:leader="none" w:pos="161" w:val="left"/>
        </w:tabs>
        <w:numPr>
          <w:ilvl w:val="0"/>
          <w:numId w:val="2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spacing w:after="0" w:line="35" w:lineRule="exact"/>
        <w:rPr>
          <w:rFonts w:ascii="Courier New" w:cs="Courier New" w:eastAsia="Courier New" w:hAnsi="Courier New"/>
          <w:sz w:val="12"/>
          <w:szCs w:val="12"/>
          <w:color w:val="auto"/>
        </w:rPr>
      </w:pPr>
    </w:p>
    <w:p>
      <w:pPr>
        <w:ind w:left="1"/>
        <w:spacing w:after="0"/>
        <w:rPr>
          <w:rFonts w:ascii="Courier New" w:cs="Courier New" w:eastAsia="Courier New" w:hAnsi="Courier New"/>
          <w:sz w:val="12"/>
          <w:szCs w:val="12"/>
          <w:color w:val="auto"/>
        </w:rPr>
      </w:pPr>
      <w:r>
        <w:rPr>
          <w:rFonts w:ascii="Courier New" w:cs="Courier New" w:eastAsia="Courier New" w:hAnsi="Courier New"/>
          <w:sz w:val="13"/>
          <w:szCs w:val="13"/>
          <w:color w:val="auto"/>
        </w:rPr>
        <w:t>Name of Optionee:</w:t>
      </w:r>
    </w:p>
    <w:p>
      <w:pPr>
        <w:spacing w:after="0" w:line="123" w:lineRule="exact"/>
        <w:rPr>
          <w:rFonts w:ascii="Courier New" w:cs="Courier New" w:eastAsia="Courier New" w:hAnsi="Courier New"/>
          <w:sz w:val="12"/>
          <w:szCs w:val="12"/>
          <w:color w:val="auto"/>
        </w:rPr>
      </w:pPr>
    </w:p>
    <w:p>
      <w:pPr>
        <w:ind w:left="161" w:hanging="161"/>
        <w:spacing w:after="0"/>
        <w:tabs>
          <w:tab w:leader="none" w:pos="161" w:val="left"/>
        </w:tabs>
        <w:numPr>
          <w:ilvl w:val="0"/>
          <w:numId w:val="2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spacing w:after="0" w:line="36" w:lineRule="exact"/>
        <w:rPr>
          <w:sz w:val="20"/>
          <w:szCs w:val="20"/>
          <w:color w:val="auto"/>
        </w:rPr>
      </w:pPr>
    </w:p>
    <w:p>
      <w:pPr>
        <w:ind w:left="1"/>
        <w:spacing w:after="0"/>
        <w:tabs>
          <w:tab w:leader="none" w:pos="3581" w:val="left"/>
        </w:tabs>
        <w:rPr>
          <w:sz w:val="20"/>
          <w:szCs w:val="20"/>
          <w:color w:val="auto"/>
        </w:rPr>
      </w:pPr>
      <w:r>
        <w:rPr>
          <w:rFonts w:ascii="Courier New" w:cs="Courier New" w:eastAsia="Courier New" w:hAnsi="Courier New"/>
          <w:sz w:val="13"/>
          <w:szCs w:val="13"/>
          <w:color w:val="auto"/>
        </w:rPr>
        <w:t>Total Number of Shares Subject to Option:</w:t>
      </w:r>
      <w:r>
        <w:rPr>
          <w:sz w:val="20"/>
          <w:szCs w:val="20"/>
          <w:color w:val="auto"/>
        </w:rPr>
        <w:tab/>
      </w:r>
      <w:r>
        <w:rPr>
          <w:rFonts w:ascii="Courier New" w:cs="Courier New" w:eastAsia="Courier New" w:hAnsi="Courier New"/>
          <w:sz w:val="12"/>
          <w:szCs w:val="12"/>
          <w:color w:val="auto"/>
        </w:rPr>
        <w:t>As shown on attached PGS Sheet</w:t>
      </w:r>
    </w:p>
    <w:p>
      <w:pPr>
        <w:spacing w:after="0" w:line="124" w:lineRule="exact"/>
        <w:rPr>
          <w:sz w:val="20"/>
          <w:szCs w:val="20"/>
          <w:color w:val="auto"/>
        </w:rPr>
      </w:pPr>
    </w:p>
    <w:p>
      <w:pPr>
        <w:ind w:left="1"/>
        <w:spacing w:after="0"/>
        <w:rPr>
          <w:sz w:val="20"/>
          <w:szCs w:val="20"/>
          <w:color w:val="auto"/>
        </w:rPr>
      </w:pPr>
      <w:r>
        <w:rPr>
          <w:rFonts w:ascii="Courier New" w:cs="Courier New" w:eastAsia="Courier New" w:hAnsi="Courier New"/>
          <w:sz w:val="12"/>
          <w:szCs w:val="12"/>
          <w:color w:val="auto"/>
        </w:rPr>
        <w:t>- ---------------------------------------------- ---------------------------------------------</w:t>
      </w:r>
    </w:p>
    <w:p>
      <w:pPr>
        <w:spacing w:after="0" w:line="36" w:lineRule="exact"/>
        <w:rPr>
          <w:sz w:val="20"/>
          <w:szCs w:val="20"/>
          <w:color w:val="auto"/>
        </w:rPr>
      </w:pPr>
    </w:p>
    <w:p>
      <w:pPr>
        <w:ind w:left="1"/>
        <w:spacing w:after="0"/>
        <w:tabs>
          <w:tab w:leader="none" w:pos="3581" w:val="left"/>
        </w:tabs>
        <w:rPr>
          <w:sz w:val="20"/>
          <w:szCs w:val="20"/>
          <w:color w:val="auto"/>
        </w:rPr>
      </w:pPr>
      <w:r>
        <w:rPr>
          <w:rFonts w:ascii="Courier New" w:cs="Courier New" w:eastAsia="Courier New" w:hAnsi="Courier New"/>
          <w:sz w:val="13"/>
          <w:szCs w:val="13"/>
          <w:color w:val="auto"/>
        </w:rPr>
        <w:t>Type of Option:</w:t>
      </w:r>
      <w:r>
        <w:rPr>
          <w:sz w:val="20"/>
          <w:szCs w:val="20"/>
          <w:color w:val="auto"/>
        </w:rPr>
        <w:tab/>
      </w:r>
      <w:r>
        <w:rPr>
          <w:rFonts w:ascii="Courier New" w:cs="Courier New" w:eastAsia="Courier New" w:hAnsi="Courier New"/>
          <w:sz w:val="12"/>
          <w:szCs w:val="12"/>
          <w:color w:val="auto"/>
        </w:rPr>
        <w:t>Nonqualified</w:t>
      </w:r>
    </w:p>
    <w:p>
      <w:pPr>
        <w:spacing w:after="0" w:line="124" w:lineRule="exact"/>
        <w:rPr>
          <w:sz w:val="20"/>
          <w:szCs w:val="20"/>
          <w:color w:val="auto"/>
        </w:rPr>
      </w:pPr>
    </w:p>
    <w:p>
      <w:pPr>
        <w:ind w:left="1"/>
        <w:spacing w:after="0"/>
        <w:rPr>
          <w:sz w:val="20"/>
          <w:szCs w:val="20"/>
          <w:color w:val="auto"/>
        </w:rPr>
      </w:pPr>
      <w:r>
        <w:rPr>
          <w:rFonts w:ascii="Courier New" w:cs="Courier New" w:eastAsia="Courier New" w:hAnsi="Courier New"/>
          <w:sz w:val="12"/>
          <w:szCs w:val="12"/>
          <w:color w:val="auto"/>
        </w:rPr>
        <w:t>- ---------------------------------------------- ---------------------------------------------</w:t>
      </w:r>
    </w:p>
    <w:p>
      <w:pPr>
        <w:spacing w:after="0" w:line="36" w:lineRule="exact"/>
        <w:rPr>
          <w:sz w:val="20"/>
          <w:szCs w:val="20"/>
          <w:color w:val="auto"/>
        </w:rPr>
      </w:pPr>
    </w:p>
    <w:p>
      <w:pPr>
        <w:ind w:left="1"/>
        <w:spacing w:after="0"/>
        <w:tabs>
          <w:tab w:leader="none" w:pos="3581" w:val="left"/>
        </w:tabs>
        <w:rPr>
          <w:sz w:val="20"/>
          <w:szCs w:val="20"/>
          <w:color w:val="auto"/>
        </w:rPr>
      </w:pPr>
      <w:r>
        <w:rPr>
          <w:rFonts w:ascii="Courier New" w:cs="Courier New" w:eastAsia="Courier New" w:hAnsi="Courier New"/>
          <w:sz w:val="13"/>
          <w:szCs w:val="13"/>
          <w:color w:val="auto"/>
        </w:rPr>
        <w:t>Exercise Price Per Share:</w:t>
      </w:r>
      <w:r>
        <w:rPr>
          <w:sz w:val="20"/>
          <w:szCs w:val="20"/>
          <w:color w:val="auto"/>
        </w:rPr>
        <w:tab/>
      </w:r>
      <w:r>
        <w:rPr>
          <w:rFonts w:ascii="Courier New" w:cs="Courier New" w:eastAsia="Courier New" w:hAnsi="Courier New"/>
          <w:sz w:val="12"/>
          <w:szCs w:val="12"/>
          <w:color w:val="auto"/>
        </w:rPr>
        <w:t>As shown on attached PGS Sheet</w:t>
      </w:r>
    </w:p>
    <w:p>
      <w:pPr>
        <w:spacing w:after="0" w:line="124" w:lineRule="exact"/>
        <w:rPr>
          <w:sz w:val="20"/>
          <w:szCs w:val="20"/>
          <w:color w:val="auto"/>
        </w:rPr>
      </w:pPr>
    </w:p>
    <w:p>
      <w:pPr>
        <w:ind w:left="1"/>
        <w:spacing w:after="0"/>
        <w:rPr>
          <w:sz w:val="20"/>
          <w:szCs w:val="20"/>
          <w:color w:val="auto"/>
        </w:rPr>
      </w:pPr>
      <w:r>
        <w:rPr>
          <w:rFonts w:ascii="Courier New" w:cs="Courier New" w:eastAsia="Courier New" w:hAnsi="Courier New"/>
          <w:sz w:val="12"/>
          <w:szCs w:val="12"/>
          <w:color w:val="auto"/>
        </w:rPr>
        <w:t>- ---------------------------------------------- ---------------------------------------------</w:t>
      </w:r>
    </w:p>
    <w:p>
      <w:pPr>
        <w:spacing w:after="0" w:line="36" w:lineRule="exact"/>
        <w:rPr>
          <w:sz w:val="20"/>
          <w:szCs w:val="20"/>
          <w:color w:val="auto"/>
        </w:rPr>
      </w:pPr>
    </w:p>
    <w:p>
      <w:pPr>
        <w:ind w:left="1"/>
        <w:spacing w:after="0"/>
        <w:tabs>
          <w:tab w:leader="none" w:pos="3581" w:val="left"/>
        </w:tabs>
        <w:rPr>
          <w:sz w:val="20"/>
          <w:szCs w:val="20"/>
          <w:color w:val="auto"/>
        </w:rPr>
      </w:pPr>
      <w:r>
        <w:rPr>
          <w:rFonts w:ascii="Courier New" w:cs="Courier New" w:eastAsia="Courier New" w:hAnsi="Courier New"/>
          <w:sz w:val="13"/>
          <w:szCs w:val="13"/>
          <w:color w:val="auto"/>
        </w:rPr>
        <w:t>Effective Date of Grant:</w:t>
      </w:r>
      <w:r>
        <w:rPr>
          <w:sz w:val="20"/>
          <w:szCs w:val="20"/>
          <w:color w:val="auto"/>
        </w:rPr>
        <w:tab/>
      </w:r>
      <w:r>
        <w:rPr>
          <w:rFonts w:ascii="Courier New" w:cs="Courier New" w:eastAsia="Courier New" w:hAnsi="Courier New"/>
          <w:sz w:val="12"/>
          <w:szCs w:val="12"/>
          <w:color w:val="auto"/>
        </w:rPr>
        <w:t>As shown on attached PGS Sheet</w:t>
      </w:r>
    </w:p>
    <w:p>
      <w:pPr>
        <w:spacing w:after="0" w:line="124" w:lineRule="exact"/>
        <w:rPr>
          <w:sz w:val="20"/>
          <w:szCs w:val="20"/>
          <w:color w:val="auto"/>
        </w:rPr>
      </w:pPr>
    </w:p>
    <w:p>
      <w:pPr>
        <w:ind w:left="1"/>
        <w:spacing w:after="0"/>
        <w:rPr>
          <w:sz w:val="20"/>
          <w:szCs w:val="20"/>
          <w:color w:val="auto"/>
        </w:rPr>
      </w:pPr>
      <w:r>
        <w:rPr>
          <w:rFonts w:ascii="Courier New" w:cs="Courier New" w:eastAsia="Courier New" w:hAnsi="Courier New"/>
          <w:sz w:val="12"/>
          <w:szCs w:val="12"/>
          <w:color w:val="auto"/>
        </w:rPr>
        <w:t>- ---------------------------------------------- ---------------------------------------------</w:t>
      </w:r>
    </w:p>
    <w:p>
      <w:pPr>
        <w:spacing w:after="0" w:line="306" w:lineRule="exact"/>
        <w:rPr>
          <w:sz w:val="20"/>
          <w:szCs w:val="20"/>
          <w:color w:val="auto"/>
        </w:rPr>
      </w:pPr>
    </w:p>
    <w:p>
      <w:pPr>
        <w:ind w:left="1" w:right="4099"/>
        <w:spacing w:after="0" w:line="259" w:lineRule="auto"/>
        <w:rPr>
          <w:sz w:val="20"/>
          <w:szCs w:val="20"/>
          <w:color w:val="auto"/>
        </w:rPr>
      </w:pPr>
      <w:r>
        <w:rPr>
          <w:rFonts w:ascii="Courier New" w:cs="Courier New" w:eastAsia="Courier New" w:hAnsi="Courier New"/>
          <w:sz w:val="13"/>
          <w:szCs w:val="13"/>
          <w:color w:val="auto"/>
        </w:rPr>
        <w:t>By your signature below, you and the Company agree and acknowledge that this option is granted under and governed by the terms and conditions of the FNT Plan and the Stock Option Agreement, which are incorporated herein by reference, and that you have been provided a copy of the FNT Plan and the Stock Option Agreement. In the event of any conflict between the terms of the plan under which your option was originally granted and the FNT Plan, the provisions of the FNT Plan shall govern.</w:t>
      </w:r>
    </w:p>
    <w:p>
      <w:pPr>
        <w:spacing w:after="0" w:line="67" w:lineRule="exact"/>
        <w:rPr>
          <w:sz w:val="20"/>
          <w:szCs w:val="20"/>
          <w:color w:val="auto"/>
        </w:rPr>
      </w:pPr>
    </w:p>
    <w:p>
      <w:pPr>
        <w:ind w:left="1"/>
        <w:spacing w:after="0"/>
        <w:rPr>
          <w:sz w:val="20"/>
          <w:szCs w:val="20"/>
          <w:color w:val="auto"/>
        </w:rPr>
      </w:pPr>
      <w:r>
        <w:rPr>
          <w:rFonts w:ascii="Courier New" w:cs="Courier New" w:eastAsia="Courier New" w:hAnsi="Courier New"/>
          <w:sz w:val="13"/>
          <w:szCs w:val="13"/>
          <w:color w:val="auto"/>
        </w:rPr>
        <w:t>OPTIONEE:</w:t>
      </w:r>
    </w:p>
    <w:p>
      <w:pPr>
        <w:spacing w:after="0" w:line="200" w:lineRule="exact"/>
        <w:rPr>
          <w:sz w:val="20"/>
          <w:szCs w:val="20"/>
          <w:color w:val="auto"/>
        </w:rPr>
      </w:pPr>
    </w:p>
    <w:p>
      <w:pPr>
        <w:spacing w:after="0" w:line="242" w:lineRule="exact"/>
        <w:rPr>
          <w:sz w:val="20"/>
          <w:szCs w:val="20"/>
          <w:color w:val="auto"/>
        </w:rPr>
      </w:pPr>
    </w:p>
    <w:p>
      <w:pPr>
        <w:ind w:left="161" w:hanging="161"/>
        <w:spacing w:after="0"/>
        <w:tabs>
          <w:tab w:leader="none" w:pos="161" w:val="left"/>
        </w:tabs>
        <w:numPr>
          <w:ilvl w:val="0"/>
          <w:numId w:val="224"/>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24" w:lineRule="exact"/>
        <w:rPr>
          <w:rFonts w:ascii="Courier New" w:cs="Courier New" w:eastAsia="Courier New" w:hAnsi="Courier New"/>
          <w:sz w:val="13"/>
          <w:szCs w:val="13"/>
          <w:color w:val="auto"/>
        </w:rPr>
      </w:pPr>
    </w:p>
    <w:p>
      <w:pPr>
        <w:ind w:left="1"/>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Date:</w:t>
      </w:r>
    </w:p>
    <w:p>
      <w:pPr>
        <w:ind w:left="381"/>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ind w:left="1"/>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Address:</w:t>
      </w:r>
    </w:p>
    <w:p>
      <w:pPr>
        <w:ind w:left="621"/>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124" w:lineRule="exact"/>
        <w:rPr>
          <w:sz w:val="20"/>
          <w:szCs w:val="20"/>
          <w:color w:val="auto"/>
        </w:rPr>
      </w:pPr>
    </w:p>
    <w:p>
      <w:pPr>
        <w:ind w:left="621"/>
        <w:spacing w:after="0"/>
        <w:rPr>
          <w:sz w:val="20"/>
          <w:szCs w:val="20"/>
          <w:color w:val="auto"/>
        </w:rPr>
      </w:pPr>
      <w:r>
        <w:rPr>
          <w:rFonts w:ascii="Courier New" w:cs="Courier New" w:eastAsia="Courier New" w:hAnsi="Courier New"/>
          <w:sz w:val="13"/>
          <w:szCs w:val="13"/>
          <w:color w:val="auto"/>
        </w:rPr>
        <w:t>--------------------------</w:t>
      </w:r>
    </w:p>
    <w:p>
      <w:pPr>
        <w:sectPr>
          <w:pgSz w:w="11900" w:h="16838" w:orient="portrait"/>
          <w:cols w:equalWidth="0" w:num="1">
            <w:col w:w="10241"/>
          </w:cols>
          <w:pgMar w:left="219" w:top="264" w:right="1440" w:bottom="1440" w:gutter="0" w:footer="0" w:header="0"/>
        </w:sectPr>
      </w:pPr>
    </w:p>
    <w:bookmarkStart w:id="229" w:name="page230"/>
    <w:bookmarkEnd w:id="229"/>
    <w:p>
      <w:pPr>
        <w:ind w:left="5220"/>
        <w:spacing w:after="0"/>
        <w:rPr>
          <w:sz w:val="20"/>
          <w:szCs w:val="20"/>
          <w:color w:val="auto"/>
        </w:rPr>
      </w:pPr>
      <w:r>
        <w:rPr>
          <w:rFonts w:ascii="Courier New" w:cs="Courier New" w:eastAsia="Courier New" w:hAnsi="Courier New"/>
          <w:sz w:val="12"/>
          <w:szCs w:val="12"/>
          <w:color w:val="auto"/>
        </w:rPr>
        <w:t>EXHIBIT 21.1</w:t>
      </w:r>
    </w:p>
    <w:p>
      <w:pPr>
        <w:spacing w:after="0" w:line="159" w:lineRule="exact"/>
        <w:rPr>
          <w:sz w:val="20"/>
          <w:szCs w:val="20"/>
          <w:color w:val="auto"/>
        </w:rPr>
      </w:pPr>
    </w:p>
    <w:p>
      <w:pPr>
        <w:ind w:left="1840"/>
        <w:spacing w:after="0"/>
        <w:rPr>
          <w:sz w:val="20"/>
          <w:szCs w:val="20"/>
          <w:color w:val="auto"/>
        </w:rPr>
      </w:pPr>
      <w:r>
        <w:rPr>
          <w:rFonts w:ascii="Courier New" w:cs="Courier New" w:eastAsia="Courier New" w:hAnsi="Courier New"/>
          <w:sz w:val="13"/>
          <w:szCs w:val="13"/>
          <w:color w:val="auto"/>
        </w:rPr>
        <w:t>FIDELITY NATIONAL FINANCIAL, INC.</w:t>
      </w:r>
    </w:p>
    <w:p>
      <w:pPr>
        <w:spacing w:after="0" w:line="24" w:lineRule="exact"/>
        <w:rPr>
          <w:sz w:val="20"/>
          <w:szCs w:val="20"/>
          <w:color w:val="auto"/>
        </w:rPr>
      </w:pPr>
    </w:p>
    <w:p>
      <w:pPr>
        <w:ind w:left="1300"/>
        <w:spacing w:after="0"/>
        <w:rPr>
          <w:sz w:val="20"/>
          <w:szCs w:val="20"/>
          <w:color w:val="auto"/>
        </w:rPr>
      </w:pPr>
      <w:r>
        <w:rPr>
          <w:rFonts w:ascii="Courier New" w:cs="Courier New" w:eastAsia="Courier New" w:hAnsi="Courier New"/>
          <w:sz w:val="13"/>
          <w:szCs w:val="13"/>
          <w:color w:val="auto"/>
        </w:rPr>
        <w:t>(formerly Fidelity National Title Group, Inc.)</w:t>
      </w:r>
    </w:p>
    <w:p>
      <w:pPr>
        <w:ind w:left="2300"/>
        <w:spacing w:after="0"/>
        <w:rPr>
          <w:sz w:val="20"/>
          <w:szCs w:val="20"/>
          <w:color w:val="auto"/>
        </w:rPr>
      </w:pPr>
      <w:r>
        <w:rPr>
          <w:rFonts w:ascii="Courier New" w:cs="Courier New" w:eastAsia="Courier New" w:hAnsi="Courier New"/>
          <w:sz w:val="13"/>
          <w:szCs w:val="13"/>
          <w:color w:val="auto"/>
        </w:rPr>
        <w:t>List of subsidiaries</w:t>
      </w:r>
    </w:p>
    <w:p>
      <w:pPr>
        <w:spacing w:after="0" w:line="124" w:lineRule="exact"/>
        <w:rPr>
          <w:sz w:val="20"/>
          <w:szCs w:val="20"/>
          <w:color w:val="auto"/>
        </w:rPr>
      </w:pPr>
    </w:p>
    <w:p>
      <w:pPr>
        <w:ind w:left="2680"/>
        <w:spacing w:after="0"/>
        <w:rPr>
          <w:sz w:val="20"/>
          <w:szCs w:val="20"/>
          <w:color w:val="auto"/>
        </w:rPr>
      </w:pPr>
      <w:r>
        <w:rPr>
          <w:rFonts w:ascii="Courier New" w:cs="Courier New" w:eastAsia="Courier New" w:hAnsi="Courier New"/>
          <w:sz w:val="13"/>
          <w:szCs w:val="13"/>
          <w:color w:val="auto"/>
        </w:rPr>
        <w:t>12/31/2006</w:t>
      </w:r>
    </w:p>
    <w:p>
      <w:pPr>
        <w:spacing w:after="0" w:line="24" w:lineRule="exact"/>
        <w:rPr>
          <w:sz w:val="20"/>
          <w:szCs w:val="20"/>
          <w:color w:val="auto"/>
        </w:rPr>
      </w:pPr>
    </w:p>
    <w:p>
      <w:pPr>
        <w:ind w:left="2460"/>
        <w:spacing w:after="0"/>
        <w:rPr>
          <w:sz w:val="20"/>
          <w:szCs w:val="20"/>
          <w:color w:val="auto"/>
        </w:rPr>
      </w:pPr>
      <w:r>
        <w:rPr>
          <w:rFonts w:ascii="Courier New" w:cs="Courier New" w:eastAsia="Courier New" w:hAnsi="Courier New"/>
          <w:sz w:val="13"/>
          <w:szCs w:val="13"/>
          <w:color w:val="auto"/>
        </w:rPr>
        <w:t>24 subsidiaries</w:t>
      </w:r>
    </w:p>
    <w:p>
      <w:pPr>
        <w:sectPr>
          <w:pgSz w:w="11900" w:h="16838" w:orient="portrait"/>
          <w:cols w:equalWidth="0" w:num="1">
            <w:col w:w="10239"/>
          </w:cols>
          <w:pgMar w:left="220" w:top="265"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COMPANY</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w:t>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Alamo Title Company</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Alamo Title Holding Company</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Alamo Title Insurance</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ANFI, LLC</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Cascade Timberlands LLC (70.72%)</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Chicago Title and Trust Company</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Chicago Title Company</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Chicago Title Insurance Company</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Fidelity National Home Warranty Company</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Fidelity National Indemnity Insurance Company</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Fidelity National Insurance Company</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Fidelity National Insurance Services, Inc.</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Fidelity National Property and Casualty Insurance Company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Fidelity National Title Group, Inc.</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Fidelity Sedgwick Corporation</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Fidelity Sedgwick Holdings, Inc. (40%)</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National Alliance Marketing Group, Inc.</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Rocky Mountain Aviation, LLC</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Rocky Mountain Support Services, Inc.</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Security Union Title Insurance Company</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Sedgwick Claims Management Services, Inc.</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Sedgwick CMS Holdings, Inc.</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Ticor Title Insurance Company</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Ticor Title Insurance Company of Florida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INCORPORATION</w:t>
      </w:r>
    </w:p>
    <w:p>
      <w:pPr>
        <w:spacing w:after="0" w:line="24"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Texas</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Texas</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Texas</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California</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Delaware</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Illinois</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California</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Missouri</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California</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Texas</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California</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California</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New York</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Delaware</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Delaware</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Delaware</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California</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Arizona</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Arizona</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California</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Illinois</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Delaware</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California</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Florida</w:t>
      </w:r>
    </w:p>
    <w:p>
      <w:pPr>
        <w:spacing w:after="0" w:line="200" w:lineRule="exact"/>
        <w:rPr>
          <w:sz w:val="20"/>
          <w:szCs w:val="20"/>
          <w:color w:val="auto"/>
        </w:rPr>
      </w:pPr>
    </w:p>
    <w:p>
      <w:pPr>
        <w:sectPr>
          <w:pgSz w:w="11900" w:h="16838" w:orient="portrait"/>
          <w:cols w:equalWidth="0" w:num="2">
            <w:col w:w="4420" w:space="720"/>
            <w:col w:w="5099"/>
          </w:cols>
          <w:pgMar w:left="220" w:top="265" w:right="1440" w:bottom="1440" w:gutter="0" w:footer="0" w:header="0"/>
          <w:type w:val="continuous"/>
        </w:sectPr>
      </w:pPr>
    </w:p>
    <w:p>
      <w:pPr>
        <w:spacing w:after="0" w:line="95"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39"/>
          </w:cols>
          <w:pgMar w:left="220" w:top="265" w:right="1440" w:bottom="1440" w:gutter="0" w:footer="0" w:header="0"/>
          <w:type w:val="continuous"/>
        </w:sectPr>
      </w:pPr>
    </w:p>
    <w:bookmarkStart w:id="230" w:name="page231"/>
    <w:bookmarkEnd w:id="230"/>
    <w:p>
      <w:pPr>
        <w:jc w:val="right"/>
        <w:spacing w:after="0"/>
        <w:rPr>
          <w:sz w:val="20"/>
          <w:szCs w:val="20"/>
          <w:color w:val="auto"/>
        </w:rPr>
      </w:pPr>
      <w:r>
        <w:rPr>
          <w:rFonts w:ascii="Times New Roman" w:cs="Times New Roman" w:eastAsia="Times New Roman" w:hAnsi="Times New Roman"/>
          <w:sz w:val="13"/>
          <w:szCs w:val="13"/>
          <w:color w:val="auto"/>
        </w:rPr>
        <w:t>Exhibit 23.1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Consent of Independent Registered Public Accounting Firm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Fidelity National Financial, Inc.:</w:t>
      </w:r>
    </w:p>
    <w:p>
      <w:pPr>
        <w:spacing w:after="0" w:line="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3"/>
          <w:szCs w:val="13"/>
          <w:color w:val="auto"/>
        </w:rPr>
        <w:t>We consent to the incorporation by reference in Registration Statements (No. 333-132843, 333-138254, 333-129886, 333-129016) of Fidelity National Financial, Inc. of our reports dated March 1, 2007, with respect to the Consolidated Balance Sheets of Fidelity National Financial, Inc. as of December 31, 2006 and 2005, and the related Consolidated Statements of Earnings, Comprehensive Earnings, Stockholders’ Equity and Cash Flows for each of the years in the three-year period ended December 31, 2006, and all related financial statement schedules, management’s assessment of the effectiveness of internal control over financial reporting as of December 31, 2006, and the effectiveness of internal control over financial reporting as of December 31, 2006, which reports appear in the December 31, 2006 annual report on Form 10-K of Fidelity National Financial, Inc.</w:t>
      </w:r>
    </w:p>
    <w:p>
      <w:pPr>
        <w:spacing w:after="0" w:line="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3"/>
          <w:szCs w:val="13"/>
          <w:color w:val="auto"/>
        </w:rPr>
        <w:t>Our reports on Fidelity National Financial, Inc.’s consolidated financial statements and related schedules refer to a change, effective January 1, 2006, in the method of accounting for share-based employee compensation and to a change, effective December 31, 2006, in the method of accounting for defined benefit pension and other postretirement plans.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KPMG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 2007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Jacksonville, Florida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Certified Public Accountants</w:t>
      </w:r>
    </w:p>
    <w:p>
      <w:pPr>
        <w:sectPr>
          <w:pgSz w:w="11900" w:h="16838" w:orient="portrait"/>
          <w:cols w:equalWidth="0" w:num="1">
            <w:col w:w="11460"/>
          </w:cols>
          <w:pgMar w:left="220" w:top="716" w:right="21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CERTIFICATIONS</w:t>
      </w:r>
    </w:p>
    <w:p>
      <w:pPr>
        <w:spacing w:after="0" w:line="8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I, William P. Foley, II, certify that:</w:t>
      </w:r>
    </w:p>
    <w:p>
      <w:pPr>
        <w:spacing w:after="0" w:line="86" w:lineRule="exact"/>
        <w:rPr>
          <w:sz w:val="20"/>
          <w:szCs w:val="20"/>
          <w:color w:val="auto"/>
        </w:rPr>
      </w:pPr>
    </w:p>
    <w:p>
      <w:pPr>
        <w:ind w:left="121" w:hanging="121"/>
        <w:spacing w:after="0"/>
        <w:tabs>
          <w:tab w:leader="none" w:pos="121"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Fidelity National Financial, Inc.;</w:t>
      </w:r>
    </w:p>
    <w:p>
      <w:pPr>
        <w:spacing w:after="0" w:line="86" w:lineRule="exact"/>
        <w:rPr>
          <w:rFonts w:ascii="Times New Roman" w:cs="Times New Roman" w:eastAsia="Times New Roman" w:hAnsi="Times New Roman"/>
          <w:sz w:val="13"/>
          <w:szCs w:val="13"/>
          <w:color w:val="auto"/>
        </w:rPr>
      </w:pPr>
    </w:p>
    <w:p>
      <w:pPr>
        <w:ind w:left="1" w:right="300" w:hanging="1"/>
        <w:spacing w:after="0" w:line="286" w:lineRule="auto"/>
        <w:tabs>
          <w:tab w:leader="none" w:pos="132"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 w:lineRule="exact"/>
        <w:rPr>
          <w:rFonts w:ascii="Times New Roman" w:cs="Times New Roman" w:eastAsia="Times New Roman" w:hAnsi="Times New Roman"/>
          <w:sz w:val="13"/>
          <w:szCs w:val="13"/>
          <w:color w:val="auto"/>
        </w:rPr>
      </w:pPr>
    </w:p>
    <w:p>
      <w:pPr>
        <w:ind w:left="1" w:right="400" w:hanging="1"/>
        <w:spacing w:after="0" w:line="286" w:lineRule="auto"/>
        <w:tabs>
          <w:tab w:leader="none" w:pos="132"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Times New Roman" w:cs="Times New Roman" w:eastAsia="Times New Roman" w:hAnsi="Times New Roman"/>
          <w:sz w:val="13"/>
          <w:szCs w:val="13"/>
          <w:color w:val="auto"/>
        </w:rPr>
      </w:pPr>
    </w:p>
    <w:p>
      <w:pPr>
        <w:ind w:left="1" w:right="60" w:hanging="1"/>
        <w:spacing w:after="0" w:line="286" w:lineRule="auto"/>
        <w:tabs>
          <w:tab w:leader="none" w:pos="132"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rFonts w:ascii="Times New Roman" w:cs="Times New Roman" w:eastAsia="Times New Roman" w:hAnsi="Times New Roman"/>
          <w:sz w:val="13"/>
          <w:szCs w:val="13"/>
          <w:color w:val="auto"/>
        </w:rPr>
      </w:pPr>
    </w:p>
    <w:p>
      <w:pPr>
        <w:ind w:left="681" w:right="340" w:hanging="455"/>
        <w:spacing w:after="0" w:line="286" w:lineRule="auto"/>
        <w:tabs>
          <w:tab w:leader="none" w:pos="681" w:val="left"/>
        </w:tabs>
        <w:numPr>
          <w:ilvl w:val="1"/>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Times New Roman" w:cs="Times New Roman" w:eastAsia="Times New Roman" w:hAnsi="Times New Roman"/>
          <w:sz w:val="13"/>
          <w:szCs w:val="13"/>
          <w:color w:val="auto"/>
        </w:rPr>
      </w:pPr>
    </w:p>
    <w:p>
      <w:pPr>
        <w:ind w:left="681" w:right="20" w:hanging="455"/>
        <w:spacing w:after="0" w:line="286" w:lineRule="auto"/>
        <w:tabs>
          <w:tab w:leader="none" w:pos="681" w:val="left"/>
        </w:tabs>
        <w:numPr>
          <w:ilvl w:val="1"/>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Times New Roman" w:cs="Times New Roman" w:eastAsia="Times New Roman" w:hAnsi="Times New Roman"/>
          <w:sz w:val="13"/>
          <w:szCs w:val="13"/>
          <w:color w:val="auto"/>
        </w:rPr>
      </w:pPr>
    </w:p>
    <w:p>
      <w:pPr>
        <w:ind w:left="681" w:right="120" w:hanging="455"/>
        <w:spacing w:after="0" w:line="286" w:lineRule="auto"/>
        <w:tabs>
          <w:tab w:leader="none" w:pos="681" w:val="left"/>
        </w:tabs>
        <w:numPr>
          <w:ilvl w:val="1"/>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Times New Roman" w:cs="Times New Roman" w:eastAsia="Times New Roman" w:hAnsi="Times New Roman"/>
          <w:sz w:val="13"/>
          <w:szCs w:val="13"/>
          <w:color w:val="auto"/>
        </w:rPr>
      </w:pPr>
    </w:p>
    <w:p>
      <w:pPr>
        <w:ind w:left="681" w:hanging="455"/>
        <w:spacing w:after="0" w:line="286" w:lineRule="auto"/>
        <w:tabs>
          <w:tab w:leader="none" w:pos="681" w:val="left"/>
        </w:tabs>
        <w:numPr>
          <w:ilvl w:val="1"/>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6" w:lineRule="exact"/>
        <w:rPr>
          <w:rFonts w:ascii="Times New Roman" w:cs="Times New Roman" w:eastAsia="Times New Roman" w:hAnsi="Times New Roman"/>
          <w:sz w:val="13"/>
          <w:szCs w:val="13"/>
          <w:color w:val="auto"/>
        </w:rPr>
      </w:pPr>
    </w:p>
    <w:p>
      <w:pPr>
        <w:ind w:left="1" w:right="40" w:hanging="1"/>
        <w:spacing w:after="0" w:line="286" w:lineRule="auto"/>
        <w:tabs>
          <w:tab w:leader="none" w:pos="132"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 w:lineRule="exact"/>
        <w:rPr>
          <w:rFonts w:ascii="Times New Roman" w:cs="Times New Roman" w:eastAsia="Times New Roman" w:hAnsi="Times New Roman"/>
          <w:sz w:val="13"/>
          <w:szCs w:val="13"/>
          <w:color w:val="auto"/>
        </w:rPr>
      </w:pPr>
    </w:p>
    <w:p>
      <w:pPr>
        <w:ind w:left="681" w:right="280" w:hanging="455"/>
        <w:spacing w:after="0" w:line="286" w:lineRule="auto"/>
        <w:tabs>
          <w:tab w:leader="none" w:pos="681" w:val="left"/>
        </w:tabs>
        <w:numPr>
          <w:ilvl w:val="1"/>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6" w:lineRule="exact"/>
        <w:rPr>
          <w:rFonts w:ascii="Times New Roman" w:cs="Times New Roman" w:eastAsia="Times New Roman" w:hAnsi="Times New Roman"/>
          <w:sz w:val="13"/>
          <w:szCs w:val="13"/>
          <w:color w:val="auto"/>
        </w:rPr>
      </w:pPr>
    </w:p>
    <w:p>
      <w:pPr>
        <w:ind w:left="681" w:hanging="455"/>
        <w:spacing w:after="0"/>
        <w:tabs>
          <w:tab w:leader="none" w:pos="681" w:val="left"/>
        </w:tabs>
        <w:numPr>
          <w:ilvl w:val="1"/>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Date: March 1, 2007</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70"/>
        </w:trPr>
        <w:tc>
          <w:tcPr>
            <w:tcW w:w="46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William P. Foley, II</w:t>
            </w:r>
          </w:p>
        </w:tc>
      </w:tr>
      <w:tr>
        <w:trPr>
          <w:trHeight w:val="134"/>
        </w:trPr>
        <w:tc>
          <w:tcPr>
            <w:tcW w:w="460" w:type="dxa"/>
            <w:vAlign w:val="bottom"/>
          </w:tcPr>
          <w:p>
            <w:pPr>
              <w:spacing w:after="0"/>
              <w:rPr>
                <w:sz w:val="11"/>
                <w:szCs w:val="11"/>
                <w:color w:val="auto"/>
              </w:rPr>
            </w:pPr>
          </w:p>
        </w:tc>
        <w:tc>
          <w:tcPr>
            <w:tcW w:w="1220" w:type="dxa"/>
            <w:vAlign w:val="bottom"/>
            <w:tcBorders>
              <w:top w:val="single" w:sz="8" w:color="auto"/>
            </w:tcBorders>
          </w:tcPr>
          <w:p>
            <w:pPr>
              <w:spacing w:after="0" w:line="134" w:lineRule="exact"/>
              <w:rPr>
                <w:sz w:val="20"/>
                <w:szCs w:val="20"/>
                <w:color w:val="auto"/>
              </w:rPr>
            </w:pPr>
            <w:r>
              <w:rPr>
                <w:rFonts w:ascii="Times New Roman" w:cs="Times New Roman" w:eastAsia="Times New Roman" w:hAnsi="Times New Roman"/>
                <w:sz w:val="13"/>
                <w:szCs w:val="13"/>
                <w:color w:val="auto"/>
              </w:rPr>
              <w:t>William P. Foley, II</w:t>
            </w:r>
          </w:p>
        </w:tc>
        <w:tc>
          <w:tcPr>
            <w:tcW w:w="1500" w:type="dxa"/>
            <w:vAlign w:val="bottom"/>
          </w:tcPr>
          <w:p>
            <w:pPr>
              <w:spacing w:after="0"/>
              <w:rPr>
                <w:sz w:val="11"/>
                <w:szCs w:val="11"/>
                <w:color w:val="auto"/>
              </w:rPr>
            </w:pPr>
          </w:p>
        </w:tc>
      </w:tr>
      <w:tr>
        <w:trPr>
          <w:trHeight w:val="171"/>
        </w:trPr>
        <w:tc>
          <w:tcPr>
            <w:tcW w:w="46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Chairman of the Board and Chief Executive Officer</w:t>
            </w:r>
          </w:p>
        </w:tc>
      </w:tr>
    </w:tbl>
    <w:p>
      <w:pPr>
        <w:sectPr>
          <w:pgSz w:w="11900" w:h="16838" w:orient="portrait"/>
          <w:cols w:equalWidth="0" w:num="1">
            <w:col w:w="11461"/>
          </w:cols>
          <w:pgMar w:left="219" w:top="715" w:right="21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CERTIFICATIONS</w:t>
      </w:r>
    </w:p>
    <w:p>
      <w:pPr>
        <w:spacing w:after="0" w:line="8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I, Anthony J. Park, certify that:</w:t>
      </w:r>
    </w:p>
    <w:p>
      <w:pPr>
        <w:spacing w:after="0" w:line="86" w:lineRule="exact"/>
        <w:rPr>
          <w:sz w:val="20"/>
          <w:szCs w:val="20"/>
          <w:color w:val="auto"/>
        </w:rPr>
      </w:pPr>
    </w:p>
    <w:p>
      <w:pPr>
        <w:ind w:left="121" w:hanging="121"/>
        <w:spacing w:after="0"/>
        <w:tabs>
          <w:tab w:leader="none" w:pos="121"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Fidelity National Financial, Inc.;</w:t>
      </w:r>
    </w:p>
    <w:p>
      <w:pPr>
        <w:spacing w:after="0" w:line="86" w:lineRule="exact"/>
        <w:rPr>
          <w:rFonts w:ascii="Times New Roman" w:cs="Times New Roman" w:eastAsia="Times New Roman" w:hAnsi="Times New Roman"/>
          <w:sz w:val="13"/>
          <w:szCs w:val="13"/>
          <w:color w:val="auto"/>
        </w:rPr>
      </w:pPr>
    </w:p>
    <w:p>
      <w:pPr>
        <w:ind w:left="1" w:right="300" w:hanging="1"/>
        <w:spacing w:after="0" w:line="286" w:lineRule="auto"/>
        <w:tabs>
          <w:tab w:leader="none" w:pos="132"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 w:lineRule="exact"/>
        <w:rPr>
          <w:rFonts w:ascii="Times New Roman" w:cs="Times New Roman" w:eastAsia="Times New Roman" w:hAnsi="Times New Roman"/>
          <w:sz w:val="13"/>
          <w:szCs w:val="13"/>
          <w:color w:val="auto"/>
        </w:rPr>
      </w:pPr>
    </w:p>
    <w:p>
      <w:pPr>
        <w:ind w:left="1" w:right="400" w:hanging="1"/>
        <w:spacing w:after="0" w:line="286" w:lineRule="auto"/>
        <w:tabs>
          <w:tab w:leader="none" w:pos="132"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Times New Roman" w:cs="Times New Roman" w:eastAsia="Times New Roman" w:hAnsi="Times New Roman"/>
          <w:sz w:val="13"/>
          <w:szCs w:val="13"/>
          <w:color w:val="auto"/>
        </w:rPr>
      </w:pPr>
    </w:p>
    <w:p>
      <w:pPr>
        <w:ind w:left="1" w:right="60" w:hanging="1"/>
        <w:spacing w:after="0" w:line="286" w:lineRule="auto"/>
        <w:tabs>
          <w:tab w:leader="none" w:pos="132"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rFonts w:ascii="Times New Roman" w:cs="Times New Roman" w:eastAsia="Times New Roman" w:hAnsi="Times New Roman"/>
          <w:sz w:val="13"/>
          <w:szCs w:val="13"/>
          <w:color w:val="auto"/>
        </w:rPr>
      </w:pPr>
    </w:p>
    <w:p>
      <w:pPr>
        <w:ind w:left="681" w:right="340" w:hanging="455"/>
        <w:spacing w:after="0" w:line="286" w:lineRule="auto"/>
        <w:tabs>
          <w:tab w:leader="none" w:pos="681"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Times New Roman" w:cs="Times New Roman" w:eastAsia="Times New Roman" w:hAnsi="Times New Roman"/>
          <w:sz w:val="13"/>
          <w:szCs w:val="13"/>
          <w:color w:val="auto"/>
        </w:rPr>
      </w:pPr>
    </w:p>
    <w:p>
      <w:pPr>
        <w:ind w:left="681" w:right="20" w:hanging="455"/>
        <w:spacing w:after="0" w:line="286" w:lineRule="auto"/>
        <w:tabs>
          <w:tab w:leader="none" w:pos="681"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Times New Roman" w:cs="Times New Roman" w:eastAsia="Times New Roman" w:hAnsi="Times New Roman"/>
          <w:sz w:val="13"/>
          <w:szCs w:val="13"/>
          <w:color w:val="auto"/>
        </w:rPr>
      </w:pPr>
    </w:p>
    <w:p>
      <w:pPr>
        <w:ind w:left="681" w:right="120" w:hanging="455"/>
        <w:spacing w:after="0" w:line="286" w:lineRule="auto"/>
        <w:tabs>
          <w:tab w:leader="none" w:pos="681"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Times New Roman" w:cs="Times New Roman" w:eastAsia="Times New Roman" w:hAnsi="Times New Roman"/>
          <w:sz w:val="13"/>
          <w:szCs w:val="13"/>
          <w:color w:val="auto"/>
        </w:rPr>
      </w:pPr>
    </w:p>
    <w:p>
      <w:pPr>
        <w:ind w:left="681" w:hanging="455"/>
        <w:spacing w:after="0" w:line="286" w:lineRule="auto"/>
        <w:tabs>
          <w:tab w:leader="none" w:pos="681"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6" w:lineRule="exact"/>
        <w:rPr>
          <w:rFonts w:ascii="Times New Roman" w:cs="Times New Roman" w:eastAsia="Times New Roman" w:hAnsi="Times New Roman"/>
          <w:sz w:val="13"/>
          <w:szCs w:val="13"/>
          <w:color w:val="auto"/>
        </w:rPr>
      </w:pPr>
    </w:p>
    <w:p>
      <w:pPr>
        <w:ind w:left="1" w:right="40" w:hanging="1"/>
        <w:spacing w:after="0" w:line="286" w:lineRule="auto"/>
        <w:tabs>
          <w:tab w:leader="none" w:pos="132"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 w:lineRule="exact"/>
        <w:rPr>
          <w:rFonts w:ascii="Times New Roman" w:cs="Times New Roman" w:eastAsia="Times New Roman" w:hAnsi="Times New Roman"/>
          <w:sz w:val="13"/>
          <w:szCs w:val="13"/>
          <w:color w:val="auto"/>
        </w:rPr>
      </w:pPr>
    </w:p>
    <w:p>
      <w:pPr>
        <w:ind w:left="681" w:right="280" w:hanging="455"/>
        <w:spacing w:after="0" w:line="286" w:lineRule="auto"/>
        <w:tabs>
          <w:tab w:leader="none" w:pos="681"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6" w:lineRule="exact"/>
        <w:rPr>
          <w:rFonts w:ascii="Times New Roman" w:cs="Times New Roman" w:eastAsia="Times New Roman" w:hAnsi="Times New Roman"/>
          <w:sz w:val="13"/>
          <w:szCs w:val="13"/>
          <w:color w:val="auto"/>
        </w:rPr>
      </w:pPr>
    </w:p>
    <w:p>
      <w:pPr>
        <w:ind w:left="681" w:hanging="455"/>
        <w:spacing w:after="0"/>
        <w:tabs>
          <w:tab w:leader="none" w:pos="681"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Date: March 1, 2007</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70"/>
        </w:trPr>
        <w:tc>
          <w:tcPr>
            <w:tcW w:w="46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Anthony J. Park</w:t>
            </w:r>
          </w:p>
        </w:tc>
      </w:tr>
      <w:tr>
        <w:trPr>
          <w:trHeight w:val="134"/>
        </w:trPr>
        <w:tc>
          <w:tcPr>
            <w:tcW w:w="460" w:type="dxa"/>
            <w:vAlign w:val="bottom"/>
          </w:tcPr>
          <w:p>
            <w:pPr>
              <w:spacing w:after="0"/>
              <w:rPr>
                <w:sz w:val="11"/>
                <w:szCs w:val="11"/>
                <w:color w:val="auto"/>
              </w:rPr>
            </w:pPr>
          </w:p>
        </w:tc>
        <w:tc>
          <w:tcPr>
            <w:tcW w:w="1040" w:type="dxa"/>
            <w:vAlign w:val="bottom"/>
            <w:tcBorders>
              <w:top w:val="single" w:sz="8" w:color="auto"/>
            </w:tcBorders>
          </w:tcPr>
          <w:p>
            <w:pPr>
              <w:spacing w:after="0" w:line="134" w:lineRule="exact"/>
              <w:rPr>
                <w:sz w:val="20"/>
                <w:szCs w:val="20"/>
                <w:color w:val="auto"/>
              </w:rPr>
            </w:pPr>
            <w:r>
              <w:rPr>
                <w:rFonts w:ascii="Times New Roman" w:cs="Times New Roman" w:eastAsia="Times New Roman" w:hAnsi="Times New Roman"/>
                <w:sz w:val="13"/>
                <w:szCs w:val="13"/>
                <w:color w:val="auto"/>
              </w:rPr>
              <w:t>Anthony J. Park</w:t>
            </w:r>
          </w:p>
        </w:tc>
        <w:tc>
          <w:tcPr>
            <w:tcW w:w="180" w:type="dxa"/>
            <w:vAlign w:val="bottom"/>
          </w:tcPr>
          <w:p>
            <w:pPr>
              <w:spacing w:after="0"/>
              <w:rPr>
                <w:sz w:val="11"/>
                <w:szCs w:val="11"/>
                <w:color w:val="auto"/>
              </w:rPr>
            </w:pPr>
          </w:p>
        </w:tc>
      </w:tr>
      <w:tr>
        <w:trPr>
          <w:trHeight w:val="171"/>
        </w:trPr>
        <w:tc>
          <w:tcPr>
            <w:tcW w:w="46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8"/>
              </w:rPr>
              <w:t>Chief Financial Officer</w:t>
            </w:r>
          </w:p>
        </w:tc>
      </w:tr>
    </w:tbl>
    <w:p>
      <w:pPr>
        <w:sectPr>
          <w:pgSz w:w="11900" w:h="16838" w:orient="portrait"/>
          <w:cols w:equalWidth="0" w:num="1">
            <w:col w:w="11461"/>
          </w:cols>
          <w:pgMar w:left="219" w:top="714" w:right="21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88" w:lineRule="exact"/>
        <w:rPr>
          <w:sz w:val="20"/>
          <w:szCs w:val="20"/>
          <w:color w:val="auto"/>
        </w:rPr>
      </w:pPr>
    </w:p>
    <w:p>
      <w:pPr>
        <w:ind w:left="161"/>
        <w:spacing w:after="0"/>
        <w:rPr>
          <w:sz w:val="20"/>
          <w:szCs w:val="20"/>
          <w:color w:val="auto"/>
        </w:rPr>
      </w:pPr>
      <w:r>
        <w:rPr>
          <w:rFonts w:ascii="Times New Roman" w:cs="Times New Roman" w:eastAsia="Times New Roman" w:hAnsi="Times New Roman"/>
          <w:sz w:val="13"/>
          <w:szCs w:val="13"/>
          <w:color w:val="auto"/>
        </w:rPr>
        <w:t>CERTIFICATION OF PERIODIC FINANCIAL REPORTS PURSUANT TO 18 U.S.C. §1350</w:t>
      </w:r>
    </w:p>
    <w:p>
      <w:pPr>
        <w:spacing w:after="0" w:line="86" w:lineRule="exact"/>
        <w:rPr>
          <w:sz w:val="20"/>
          <w:szCs w:val="20"/>
          <w:color w:val="auto"/>
        </w:rPr>
      </w:pPr>
    </w:p>
    <w:p>
      <w:pPr>
        <w:ind w:left="161"/>
        <w:spacing w:after="0"/>
        <w:rPr>
          <w:sz w:val="20"/>
          <w:szCs w:val="20"/>
          <w:color w:val="auto"/>
        </w:rPr>
      </w:pPr>
      <w:r>
        <w:rPr>
          <w:rFonts w:ascii="Times New Roman" w:cs="Times New Roman" w:eastAsia="Times New Roman" w:hAnsi="Times New Roman"/>
          <w:sz w:val="13"/>
          <w:szCs w:val="13"/>
          <w:color w:val="auto"/>
        </w:rPr>
        <w:t>The undersigned hereby certifies that he is the duly appointed and acting Chief Executive Officer of Fidelity National Financial, Inc., a Delaware corporation (the “Company”), and hereby further certifies as follows.</w:t>
      </w:r>
    </w:p>
    <w:p>
      <w:pPr>
        <w:spacing w:after="0" w:line="86" w:lineRule="exact"/>
        <w:rPr>
          <w:sz w:val="20"/>
          <w:szCs w:val="20"/>
          <w:color w:val="auto"/>
        </w:rPr>
      </w:pPr>
    </w:p>
    <w:p>
      <w:pPr>
        <w:ind w:left="221" w:hanging="221"/>
        <w:spacing w:after="0"/>
        <w:tabs>
          <w:tab w:leader="none" w:pos="221"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periodic report containing financial statements to which this certificate is an exhibit fully complies with the requirements of Section 13(a) or 15(d) of the Securities Exchange Act of 1934.</w:t>
      </w:r>
    </w:p>
    <w:p>
      <w:pPr>
        <w:spacing w:after="0" w:line="86" w:lineRule="exact"/>
        <w:rPr>
          <w:rFonts w:ascii="Times New Roman" w:cs="Times New Roman" w:eastAsia="Times New Roman" w:hAnsi="Times New Roman"/>
          <w:sz w:val="13"/>
          <w:szCs w:val="13"/>
          <w:color w:val="auto"/>
        </w:rPr>
      </w:pPr>
    </w:p>
    <w:p>
      <w:pPr>
        <w:ind w:left="161" w:right="1280" w:hanging="161"/>
        <w:spacing w:after="0" w:line="378" w:lineRule="auto"/>
        <w:tabs>
          <w:tab w:leader="none" w:pos="214"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periodic report to which this certificate is an exhibit fairly presents, in all material respects, the financial condition and results of operations of the Company. In witness whereof, the undersigned has executed and delivered this certificate as of the date set forth opposite his signature below.</w:t>
      </w:r>
    </w:p>
    <w:p>
      <w:pPr>
        <w:spacing w:after="0" w:line="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Date: 03/01/07</w:t>
      </w:r>
    </w:p>
    <w:p>
      <w:pPr>
        <w:spacing w:after="0" w:line="165" w:lineRule="exact"/>
        <w:rPr>
          <w:sz w:val="20"/>
          <w:szCs w:val="20"/>
          <w:color w:val="auto"/>
        </w:rPr>
      </w:pPr>
    </w:p>
    <w:p>
      <w:pPr>
        <w:ind w:left="5961"/>
        <w:spacing w:after="0"/>
        <w:rPr>
          <w:sz w:val="20"/>
          <w:szCs w:val="20"/>
          <w:color w:val="auto"/>
        </w:rPr>
      </w:pPr>
      <w:r>
        <w:rPr>
          <w:rFonts w:ascii="Times New Roman" w:cs="Times New Roman" w:eastAsia="Times New Roman" w:hAnsi="Times New Roman"/>
          <w:sz w:val="13"/>
          <w:szCs w:val="13"/>
          <w:u w:val="single" w:color="auto"/>
          <w:color w:val="auto"/>
        </w:rPr>
        <w:t>/s/ William P. Foley, II</w:t>
      </w:r>
    </w:p>
    <w:p>
      <w:pPr>
        <w:spacing w:after="0" w:line="21" w:lineRule="exact"/>
        <w:rPr>
          <w:sz w:val="20"/>
          <w:szCs w:val="20"/>
          <w:color w:val="auto"/>
        </w:rPr>
      </w:pPr>
    </w:p>
    <w:p>
      <w:pPr>
        <w:ind w:left="5961"/>
        <w:spacing w:after="0"/>
        <w:rPr>
          <w:sz w:val="20"/>
          <w:szCs w:val="20"/>
          <w:color w:val="auto"/>
        </w:rPr>
      </w:pPr>
      <w:r>
        <w:rPr>
          <w:rFonts w:ascii="Times New Roman" w:cs="Times New Roman" w:eastAsia="Times New Roman" w:hAnsi="Times New Roman"/>
          <w:sz w:val="13"/>
          <w:szCs w:val="13"/>
          <w:color w:val="auto"/>
        </w:rPr>
        <w:t>William P. Foley, II</w:t>
      </w:r>
    </w:p>
    <w:p>
      <w:pPr>
        <w:spacing w:after="0" w:line="18" w:lineRule="exact"/>
        <w:rPr>
          <w:sz w:val="20"/>
          <w:szCs w:val="20"/>
          <w:color w:val="auto"/>
        </w:rPr>
      </w:pPr>
    </w:p>
    <w:p>
      <w:pPr>
        <w:ind w:left="5961"/>
        <w:spacing w:after="0"/>
        <w:rPr>
          <w:sz w:val="20"/>
          <w:szCs w:val="20"/>
          <w:color w:val="auto"/>
        </w:rPr>
      </w:pPr>
      <w:r>
        <w:rPr>
          <w:rFonts w:ascii="Times New Roman" w:cs="Times New Roman" w:eastAsia="Times New Roman" w:hAnsi="Times New Roman"/>
          <w:sz w:val="13"/>
          <w:szCs w:val="13"/>
          <w:color w:val="auto"/>
        </w:rPr>
        <w:t>Chief Executive Officer</w:t>
      </w:r>
    </w:p>
    <w:p>
      <w:pPr>
        <w:sectPr>
          <w:pgSz w:w="11900" w:h="16838" w:orient="portrait"/>
          <w:cols w:equalWidth="0" w:num="1">
            <w:col w:w="11461"/>
          </w:cols>
          <w:pgMar w:left="219" w:top="715" w:right="21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3"/>
          <w:szCs w:val="13"/>
          <w:b w:val="1"/>
          <w:bCs w:val="1"/>
          <w:color w:val="auto"/>
        </w:rPr>
        <w:t>Exhibit 32.2</w:t>
      </w:r>
    </w:p>
    <w:p>
      <w:pPr>
        <w:spacing w:after="0" w:line="88" w:lineRule="exact"/>
        <w:rPr>
          <w:sz w:val="20"/>
          <w:szCs w:val="20"/>
          <w:color w:val="auto"/>
        </w:rPr>
      </w:pPr>
    </w:p>
    <w:p>
      <w:pPr>
        <w:ind w:left="161"/>
        <w:spacing w:after="0"/>
        <w:rPr>
          <w:sz w:val="20"/>
          <w:szCs w:val="20"/>
          <w:color w:val="auto"/>
        </w:rPr>
      </w:pPr>
      <w:r>
        <w:rPr>
          <w:rFonts w:ascii="Times New Roman" w:cs="Times New Roman" w:eastAsia="Times New Roman" w:hAnsi="Times New Roman"/>
          <w:sz w:val="13"/>
          <w:szCs w:val="13"/>
          <w:color w:val="auto"/>
        </w:rPr>
        <w:t>CERTIFICATION OF PERIODIC FINANCIAL REPORTS PURSUANT TO 18 U.S.C. §1350</w:t>
      </w:r>
    </w:p>
    <w:p>
      <w:pPr>
        <w:spacing w:after="0" w:line="86" w:lineRule="exact"/>
        <w:rPr>
          <w:sz w:val="20"/>
          <w:szCs w:val="20"/>
          <w:color w:val="auto"/>
        </w:rPr>
      </w:pPr>
    </w:p>
    <w:p>
      <w:pPr>
        <w:ind w:left="161"/>
        <w:spacing w:after="0"/>
        <w:rPr>
          <w:sz w:val="20"/>
          <w:szCs w:val="20"/>
          <w:color w:val="auto"/>
        </w:rPr>
      </w:pPr>
      <w:r>
        <w:rPr>
          <w:rFonts w:ascii="Times New Roman" w:cs="Times New Roman" w:eastAsia="Times New Roman" w:hAnsi="Times New Roman"/>
          <w:sz w:val="13"/>
          <w:szCs w:val="13"/>
          <w:color w:val="auto"/>
        </w:rPr>
        <w:t>The undersigned hereby certifies that he is the duly appointed and acting Chief Financial Officer of Fidelity National Financial, Inc., a Delaware corporation (the “Company”), and hereby further certifies as follows.</w:t>
      </w:r>
    </w:p>
    <w:p>
      <w:pPr>
        <w:spacing w:after="0" w:line="86" w:lineRule="exact"/>
        <w:rPr>
          <w:sz w:val="20"/>
          <w:szCs w:val="20"/>
          <w:color w:val="auto"/>
        </w:rPr>
      </w:pPr>
    </w:p>
    <w:p>
      <w:pPr>
        <w:ind w:left="221" w:hanging="221"/>
        <w:spacing w:after="0"/>
        <w:tabs>
          <w:tab w:leader="none" w:pos="221"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periodic report containing financial statements to which this certificate is an exhibit fully complies with the requirements of Section 13(a) or 15(d) of the Securities Exchange Act of 1934.</w:t>
      </w:r>
    </w:p>
    <w:p>
      <w:pPr>
        <w:spacing w:after="0" w:line="86" w:lineRule="exact"/>
        <w:rPr>
          <w:rFonts w:ascii="Times New Roman" w:cs="Times New Roman" w:eastAsia="Times New Roman" w:hAnsi="Times New Roman"/>
          <w:sz w:val="13"/>
          <w:szCs w:val="13"/>
          <w:color w:val="auto"/>
        </w:rPr>
      </w:pPr>
    </w:p>
    <w:p>
      <w:pPr>
        <w:ind w:left="161" w:right="1280" w:hanging="161"/>
        <w:spacing w:after="0" w:line="378" w:lineRule="auto"/>
        <w:tabs>
          <w:tab w:leader="none" w:pos="214"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periodic report to which this certificate is an exhibit fairly presents, in all material respects, the financial condition and results of operations of the Company. In witness whereof, the undersigned has executed and delivered this certificate as of the date set forth opposite his signature below.</w:t>
      </w:r>
    </w:p>
    <w:p>
      <w:pPr>
        <w:spacing w:after="0" w:line="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Date: 03/01/07</w:t>
      </w:r>
    </w:p>
    <w:p>
      <w:pPr>
        <w:spacing w:after="0" w:line="165" w:lineRule="exact"/>
        <w:rPr>
          <w:sz w:val="20"/>
          <w:szCs w:val="20"/>
          <w:color w:val="auto"/>
        </w:rPr>
      </w:pPr>
    </w:p>
    <w:p>
      <w:pPr>
        <w:ind w:left="5961"/>
        <w:spacing w:after="0"/>
        <w:rPr>
          <w:sz w:val="20"/>
          <w:szCs w:val="20"/>
          <w:color w:val="auto"/>
        </w:rPr>
      </w:pPr>
      <w:r>
        <w:rPr>
          <w:rFonts w:ascii="Times New Roman" w:cs="Times New Roman" w:eastAsia="Times New Roman" w:hAnsi="Times New Roman"/>
          <w:sz w:val="13"/>
          <w:szCs w:val="13"/>
          <w:u w:val="single" w:color="auto"/>
          <w:color w:val="auto"/>
        </w:rPr>
        <w:t>/s/ Anthony J. Park</w:t>
      </w:r>
    </w:p>
    <w:p>
      <w:pPr>
        <w:spacing w:after="0" w:line="21" w:lineRule="exact"/>
        <w:rPr>
          <w:sz w:val="20"/>
          <w:szCs w:val="20"/>
          <w:color w:val="auto"/>
        </w:rPr>
      </w:pPr>
    </w:p>
    <w:p>
      <w:pPr>
        <w:ind w:left="5961"/>
        <w:spacing w:after="0"/>
        <w:rPr>
          <w:sz w:val="20"/>
          <w:szCs w:val="20"/>
          <w:color w:val="auto"/>
        </w:rPr>
      </w:pPr>
      <w:r>
        <w:rPr>
          <w:rFonts w:ascii="Times New Roman" w:cs="Times New Roman" w:eastAsia="Times New Roman" w:hAnsi="Times New Roman"/>
          <w:sz w:val="13"/>
          <w:szCs w:val="13"/>
          <w:color w:val="auto"/>
        </w:rPr>
        <w:t>Anthony J. Park</w:t>
      </w:r>
    </w:p>
    <w:p>
      <w:pPr>
        <w:spacing w:after="0" w:line="18" w:lineRule="exact"/>
        <w:rPr>
          <w:sz w:val="20"/>
          <w:szCs w:val="20"/>
          <w:color w:val="auto"/>
        </w:rPr>
      </w:pPr>
    </w:p>
    <w:p>
      <w:pPr>
        <w:ind w:left="5961"/>
        <w:spacing w:after="0"/>
        <w:rPr>
          <w:sz w:val="20"/>
          <w:szCs w:val="20"/>
          <w:color w:val="auto"/>
        </w:rPr>
      </w:pPr>
      <w:r>
        <w:rPr>
          <w:rFonts w:ascii="Times New Roman" w:cs="Times New Roman" w:eastAsia="Times New Roman" w:hAnsi="Times New Roman"/>
          <w:sz w:val="13"/>
          <w:szCs w:val="13"/>
          <w:color w:val="auto"/>
        </w:rPr>
        <w:t>Chief Financial Officer</w:t>
      </w:r>
    </w:p>
    <w:sectPr>
      <w:pgSz w:w="11900" w:h="16838" w:orient="portrait"/>
      <w:cols w:equalWidth="0" w:num="1">
        <w:col w:w="11461"/>
      </w:cols>
      <w:pgMar w:left="219" w:top="71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C5991AA"/>
    <w:multiLevelType w:val="hybridMultilevel"/>
    <w:lvl w:ilvl="0">
      <w:lvlJc w:val="left"/>
      <w:lvlText w:val="☑"/>
      <w:numFmt w:val="bullet"/>
      <w:start w:val="1"/>
    </w:lvl>
  </w:abstractNum>
  <w:abstractNum w:abstractNumId="1">
    <w:nsid w:val="4BD8591A"/>
    <w:multiLevelType w:val="hybridMultilevel"/>
    <w:lvl w:ilvl="0">
      <w:lvlJc w:val="left"/>
      <w:lvlText w:val="o"/>
      <w:numFmt w:val="bullet"/>
      <w:start w:val="1"/>
    </w:lvl>
  </w:abstractNum>
  <w:abstractNum w:abstractNumId="2">
    <w:nsid w:val="78DF6A55"/>
    <w:multiLevelType w:val="hybridMultilevel"/>
    <w:lvl w:ilvl="0">
      <w:lvlJc w:val="left"/>
      <w:lvlText w:val="•"/>
      <w:numFmt w:val="bullet"/>
      <w:start w:val="1"/>
    </w:lvl>
  </w:abstractNum>
  <w:abstractNum w:abstractNumId="3">
    <w:nsid w:val="39B7AAA2"/>
    <w:multiLevelType w:val="hybridMultilevel"/>
    <w:lvl w:ilvl="0">
      <w:lvlJc w:val="left"/>
      <w:lvlText w:val="•"/>
      <w:numFmt w:val="bullet"/>
      <w:start w:val="1"/>
    </w:lvl>
  </w:abstractNum>
  <w:abstractNum w:abstractNumId="4">
    <w:nsid w:val="2B0D8DBE"/>
    <w:multiLevelType w:val="hybridMultilevel"/>
    <w:lvl w:ilvl="0">
      <w:lvlJc w:val="left"/>
      <w:lvlText w:val="•"/>
      <w:numFmt w:val="bullet"/>
      <w:start w:val="1"/>
    </w:lvl>
  </w:abstractNum>
  <w:abstractNum w:abstractNumId="5">
    <w:nsid w:val="6C80EC70"/>
    <w:multiLevelType w:val="hybridMultilevel"/>
    <w:lvl w:ilvl="0">
      <w:lvlJc w:val="left"/>
      <w:lvlText w:val="•"/>
      <w:numFmt w:val="bullet"/>
      <w:start w:val="1"/>
    </w:lvl>
  </w:abstractNum>
  <w:abstractNum w:abstractNumId="6">
    <w:nsid w:val="379E21B5"/>
    <w:multiLevelType w:val="hybridMultilevel"/>
    <w:lvl w:ilvl="0">
      <w:lvlJc w:val="left"/>
      <w:lvlText w:val="•"/>
      <w:numFmt w:val="bullet"/>
      <w:start w:val="1"/>
    </w:lvl>
  </w:abstractNum>
  <w:abstractNum w:abstractNumId="7">
    <w:nsid w:val="69E373"/>
    <w:multiLevelType w:val="hybridMultilevel"/>
    <w:lvl w:ilvl="0">
      <w:lvlJc w:val="left"/>
      <w:lvlText w:val="•"/>
      <w:numFmt w:val="bullet"/>
      <w:start w:val="1"/>
    </w:lvl>
  </w:abstractNum>
  <w:abstractNum w:abstractNumId="8">
    <w:nsid w:val="2C27173B"/>
    <w:multiLevelType w:val="hybridMultilevel"/>
    <w:lvl w:ilvl="0">
      <w:lvlJc w:val="left"/>
      <w:lvlText w:val="•"/>
      <w:numFmt w:val="bullet"/>
      <w:start w:val="1"/>
    </w:lvl>
  </w:abstractNum>
  <w:abstractNum w:abstractNumId="9">
    <w:nsid w:val="4C9B0904"/>
    <w:multiLevelType w:val="hybridMultilevel"/>
    <w:lvl w:ilvl="0">
      <w:lvlJc w:val="left"/>
      <w:lvlText w:val="(%1)"/>
      <w:numFmt w:val="decimal"/>
      <w:start w:val="1"/>
    </w:lvl>
  </w:abstractNum>
  <w:abstractNum w:abstractNumId="10">
    <w:nsid w:val="6AA7B75C"/>
    <w:multiLevelType w:val="hybridMultilevel"/>
    <w:lvl w:ilvl="0">
      <w:lvlJc w:val="left"/>
      <w:lvlText w:val="•"/>
      <w:numFmt w:val="bullet"/>
      <w:start w:val="1"/>
    </w:lvl>
  </w:abstractNum>
  <w:abstractNum w:abstractNumId="11">
    <w:nsid w:val="1DF029D3"/>
    <w:multiLevelType w:val="hybridMultilevel"/>
    <w:lvl w:ilvl="0">
      <w:lvlJc w:val="left"/>
      <w:lvlText w:val="•"/>
      <w:numFmt w:val="bullet"/>
      <w:start w:val="1"/>
    </w:lvl>
  </w:abstractNum>
  <w:abstractNum w:abstractNumId="12">
    <w:nsid w:val="5675FF36"/>
    <w:multiLevelType w:val="hybridMultilevel"/>
    <w:lvl w:ilvl="0">
      <w:lvlJc w:val="left"/>
      <w:lvlText w:val="•"/>
      <w:numFmt w:val="bullet"/>
      <w:start w:val="1"/>
    </w:lvl>
  </w:abstractNum>
  <w:abstractNum w:abstractNumId="13">
    <w:nsid w:val="3DD15094"/>
    <w:multiLevelType w:val="hybridMultilevel"/>
    <w:lvl w:ilvl="0">
      <w:lvlJc w:val="left"/>
      <w:lvlText w:val="•"/>
      <w:numFmt w:val="bullet"/>
      <w:start w:val="1"/>
    </w:lvl>
  </w:abstractNum>
  <w:abstractNum w:abstractNumId="14">
    <w:nsid w:val="3DB012B3"/>
    <w:multiLevelType w:val="hybridMultilevel"/>
    <w:lvl w:ilvl="0">
      <w:lvlJc w:val="left"/>
      <w:lvlText w:val="•"/>
      <w:numFmt w:val="bullet"/>
      <w:start w:val="1"/>
    </w:lvl>
  </w:abstractNum>
  <w:abstractNum w:abstractNumId="15">
    <w:nsid w:val="2708C9AF"/>
    <w:multiLevelType w:val="hybridMultilevel"/>
    <w:lvl w:ilvl="0">
      <w:lvlJc w:val="left"/>
      <w:lvlText w:val="•"/>
      <w:numFmt w:val="bullet"/>
      <w:start w:val="1"/>
    </w:lvl>
  </w:abstractNum>
  <w:abstractNum w:abstractNumId="16">
    <w:nsid w:val="5B25ACE2"/>
    <w:multiLevelType w:val="hybridMultilevel"/>
    <w:lvl w:ilvl="0">
      <w:lvlJc w:val="left"/>
      <w:lvlText w:val="(%1)"/>
      <w:numFmt w:val="lowerLetter"/>
      <w:start w:val="1"/>
    </w:lvl>
  </w:abstractNum>
  <w:abstractNum w:abstractNumId="17">
    <w:nsid w:val="175DFCF0"/>
    <w:multiLevelType w:val="hybridMultilevel"/>
    <w:lvl w:ilvl="0">
      <w:lvlJc w:val="left"/>
      <w:lvlText w:val="(%1)"/>
      <w:numFmt w:val="decimal"/>
      <w:start w:val="1"/>
    </w:lvl>
  </w:abstractNum>
  <w:abstractNum w:abstractNumId="18">
    <w:nsid w:val="4F97E3E4"/>
    <w:multiLevelType w:val="hybridMultilevel"/>
    <w:lvl w:ilvl="0">
      <w:lvlJc w:val="left"/>
      <w:lvlText w:val="(%1)"/>
      <w:numFmt w:val="decimal"/>
      <w:start w:val="3"/>
    </w:lvl>
  </w:abstractNum>
  <w:abstractNum w:abstractNumId="19">
    <w:nsid w:val="53B0A9E"/>
    <w:multiLevelType w:val="hybridMultilevel"/>
    <w:lvl w:ilvl="0">
      <w:lvlJc w:val="left"/>
      <w:lvlText w:val="(%1)"/>
      <w:numFmt w:val="decimal"/>
      <w:start w:val="1"/>
    </w:lvl>
  </w:abstractNum>
  <w:abstractNum w:abstractNumId="20">
    <w:nsid w:val="34FD6B4F"/>
    <w:multiLevelType w:val="hybridMultilevel"/>
    <w:lvl w:ilvl="0">
      <w:lvlJc w:val="left"/>
      <w:lvlText w:val="(%1)"/>
      <w:numFmt w:val="decimal"/>
      <w:start w:val="2"/>
    </w:lvl>
  </w:abstractNum>
  <w:abstractNum w:abstractNumId="21">
    <w:nsid w:val="5915FF32"/>
    <w:multiLevelType w:val="hybridMultilevel"/>
    <w:lvl w:ilvl="0">
      <w:lvlJc w:val="left"/>
      <w:lvlText w:val="•"/>
      <w:numFmt w:val="bullet"/>
      <w:start w:val="1"/>
    </w:lvl>
  </w:abstractNum>
  <w:abstractNum w:abstractNumId="22">
    <w:nsid w:val="56438D15"/>
    <w:multiLevelType w:val="hybridMultilevel"/>
    <w:lvl w:ilvl="0">
      <w:lvlJc w:val="left"/>
      <w:lvlText w:val="•"/>
      <w:numFmt w:val="bullet"/>
      <w:start w:val="1"/>
    </w:lvl>
  </w:abstractNum>
  <w:abstractNum w:abstractNumId="23">
    <w:nsid w:val="519E3149"/>
    <w:multiLevelType w:val="hybridMultilevel"/>
    <w:lvl w:ilvl="0">
      <w:lvlJc w:val="left"/>
      <w:lvlText w:val="(%1)"/>
      <w:numFmt w:val="decimal"/>
      <w:start w:val="1"/>
    </w:lvl>
  </w:abstractNum>
  <w:abstractNum w:abstractNumId="24">
    <w:nsid w:val="2C6E4AFD"/>
    <w:multiLevelType w:val="hybridMultilevel"/>
    <w:lvl w:ilvl="0">
      <w:lvlJc w:val="left"/>
      <w:lvlText w:val="(%1)"/>
      <w:numFmt w:val="decimal"/>
      <w:start w:val="1"/>
    </w:lvl>
  </w:abstractNum>
  <w:abstractNum w:abstractNumId="25">
    <w:nsid w:val="17A1B582"/>
    <w:multiLevelType w:val="hybridMultilevel"/>
    <w:lvl w:ilvl="0">
      <w:lvlJc w:val="left"/>
      <w:lvlText w:val="•"/>
      <w:numFmt w:val="bullet"/>
      <w:start w:val="1"/>
    </w:lvl>
  </w:abstractNum>
  <w:abstractNum w:abstractNumId="26">
    <w:nsid w:val="4DF72E4E"/>
    <w:multiLevelType w:val="hybridMultilevel"/>
    <w:lvl w:ilvl="0">
      <w:lvlJc w:val="left"/>
      <w:lvlText w:val="(%1)"/>
      <w:numFmt w:val="decimal"/>
      <w:start w:val="1"/>
    </w:lvl>
  </w:abstractNum>
  <w:abstractNum w:abstractNumId="27">
    <w:nsid w:val="5046B5A9"/>
    <w:multiLevelType w:val="hybridMultilevel"/>
    <w:lvl w:ilvl="0">
      <w:lvlJc w:val="left"/>
      <w:lvlText w:val="%1."/>
      <w:numFmt w:val="upperLetter"/>
      <w:start w:val="1"/>
    </w:lvl>
  </w:abstractNum>
  <w:abstractNum w:abstractNumId="28">
    <w:nsid w:val="5D888A08"/>
    <w:multiLevelType w:val="hybridMultilevel"/>
    <w:lvl w:ilvl="0">
      <w:lvlJc w:val="left"/>
      <w:lvlText w:val="•"/>
      <w:numFmt w:val="bullet"/>
      <w:start w:val="1"/>
    </w:lvl>
  </w:abstractNum>
  <w:abstractNum w:abstractNumId="29">
    <w:nsid w:val="2A082C70"/>
    <w:multiLevelType w:val="hybridMultilevel"/>
    <w:lvl w:ilvl="0">
      <w:lvlJc w:val="left"/>
      <w:lvlText w:val="(%1)"/>
      <w:numFmt w:val="decimal"/>
      <w:start w:val="1"/>
    </w:lvl>
  </w:abstractNum>
  <w:abstractNum w:abstractNumId="30">
    <w:nsid w:val="5EC6AFD4"/>
    <w:multiLevelType w:val="hybridMultilevel"/>
    <w:lvl w:ilvl="0">
      <w:lvlJc w:val="left"/>
      <w:lvlText w:val="%1."/>
      <w:numFmt w:val="upperLetter"/>
      <w:start w:val="2"/>
    </w:lvl>
  </w:abstractNum>
  <w:abstractNum w:abstractNumId="31">
    <w:nsid w:val="19E21BB2"/>
    <w:multiLevelType w:val="hybridMultilevel"/>
    <w:lvl w:ilvl="0">
      <w:lvlJc w:val="left"/>
      <w:lvlText w:val="%1."/>
      <w:numFmt w:val="upperLetter"/>
      <w:start w:val="3"/>
    </w:lvl>
  </w:abstractNum>
  <w:abstractNum w:abstractNumId="32">
    <w:nsid w:val="75E0858A"/>
    <w:multiLevelType w:val="hybridMultilevel"/>
    <w:lvl w:ilvl="0">
      <w:lvlJc w:val="left"/>
      <w:lvlText w:val="%1."/>
      <w:numFmt w:val="upperLetter"/>
      <w:start w:val="4"/>
    </w:lvl>
  </w:abstractNum>
  <w:abstractNum w:abstractNumId="33">
    <w:nsid w:val="57A61A29"/>
    <w:multiLevelType w:val="hybridMultilevel"/>
    <w:lvl w:ilvl="0">
      <w:lvlJc w:val="left"/>
      <w:lvlText w:val="%1."/>
      <w:numFmt w:val="upperLetter"/>
      <w:start w:val="5"/>
    </w:lvl>
  </w:abstractNum>
  <w:abstractNum w:abstractNumId="34">
    <w:nsid w:val="5399C654"/>
    <w:multiLevelType w:val="hybridMultilevel"/>
    <w:lvl w:ilvl="0">
      <w:lvlJc w:val="left"/>
      <w:lvlText w:val="%1."/>
      <w:numFmt w:val="upperLetter"/>
      <w:start w:val="7"/>
    </w:lvl>
  </w:abstractNum>
  <w:abstractNum w:abstractNumId="35">
    <w:nsid w:val="20EE1348"/>
    <w:multiLevelType w:val="hybridMultilevel"/>
    <w:lvl w:ilvl="0">
      <w:lvlJc w:val="left"/>
      <w:lvlText w:val="(%1)"/>
      <w:numFmt w:val="decimal"/>
      <w:start w:val="1"/>
    </w:lvl>
  </w:abstractNum>
  <w:abstractNum w:abstractNumId="36">
    <w:nsid w:val="4427069A"/>
    <w:multiLevelType w:val="hybridMultilevel"/>
    <w:lvl w:ilvl="0">
      <w:lvlJc w:val="left"/>
      <w:lvlText w:val="%1."/>
      <w:numFmt w:val="upperLetter"/>
      <w:start w:val="11"/>
    </w:lvl>
  </w:abstractNum>
  <w:abstractNum w:abstractNumId="37">
    <w:nsid w:val="B37E80A"/>
    <w:multiLevelType w:val="hybridMultilevel"/>
    <w:lvl w:ilvl="0">
      <w:lvlJc w:val="left"/>
      <w:lvlText w:val="•"/>
      <w:numFmt w:val="bullet"/>
      <w:start w:val="1"/>
    </w:lvl>
  </w:abstractNum>
  <w:abstractNum w:abstractNumId="38">
    <w:nsid w:val="2157F6BC"/>
    <w:multiLevelType w:val="hybridMultilevel"/>
    <w:lvl w:ilvl="0">
      <w:lvlJc w:val="left"/>
      <w:lvlText w:val="•"/>
      <w:numFmt w:val="bullet"/>
      <w:start w:val="1"/>
    </w:lvl>
  </w:abstractNum>
  <w:abstractNum w:abstractNumId="39">
    <w:nsid w:val="704E1DD5"/>
    <w:multiLevelType w:val="hybridMultilevel"/>
    <w:lvl w:ilvl="0">
      <w:lvlJc w:val="left"/>
      <w:lvlText w:val="%1."/>
      <w:numFmt w:val="upperLetter"/>
      <w:start w:val="12"/>
    </w:lvl>
  </w:abstractNum>
  <w:abstractNum w:abstractNumId="40">
    <w:nsid w:val="57D2F10E"/>
    <w:multiLevelType w:val="hybridMultilevel"/>
    <w:lvl w:ilvl="0">
      <w:lvlJc w:val="left"/>
      <w:lvlText w:val="%1."/>
      <w:numFmt w:val="upperLetter"/>
      <w:start w:val="13"/>
    </w:lvl>
  </w:abstractNum>
  <w:abstractNum w:abstractNumId="41">
    <w:nsid w:val="BFFAE18"/>
    <w:multiLevelType w:val="hybridMultilevel"/>
    <w:lvl w:ilvl="0">
      <w:lvlJc w:val="left"/>
      <w:lvlText w:val="(%1)"/>
      <w:numFmt w:val="lowerLetter"/>
      <w:start w:val="1"/>
    </w:lvl>
  </w:abstractNum>
  <w:abstractNum w:abstractNumId="42">
    <w:nsid w:val="E3E47A8"/>
    <w:multiLevelType w:val="hybridMultilevel"/>
    <w:lvl w:ilvl="0">
      <w:lvlJc w:val="left"/>
      <w:lvlText w:val="(%1)"/>
      <w:numFmt w:val="lowerLetter"/>
      <w:start w:val="1"/>
    </w:lvl>
  </w:abstractNum>
  <w:abstractNum w:abstractNumId="43">
    <w:nsid w:val="2E48F044"/>
    <w:multiLevelType w:val="hybridMultilevel"/>
    <w:lvl w:ilvl="0">
      <w:lvlJc w:val="left"/>
      <w:lvlText w:val="%1."/>
      <w:numFmt w:val="upperLetter"/>
      <w:start w:val="14"/>
    </w:lvl>
  </w:abstractNum>
  <w:abstractNum w:abstractNumId="44">
    <w:nsid w:val="49D0FEAC"/>
    <w:multiLevelType w:val="hybridMultilevel"/>
    <w:lvl w:ilvl="0">
      <w:lvlJc w:val="left"/>
      <w:lvlText w:val="%1."/>
      <w:numFmt w:val="upperLetter"/>
      <w:start w:val="15"/>
    </w:lvl>
  </w:abstractNum>
  <w:abstractNum w:abstractNumId="45">
    <w:nsid w:val="4BEE5A5B"/>
    <w:multiLevelType w:val="hybridMultilevel"/>
    <w:lvl w:ilvl="0">
      <w:lvlJc w:val="left"/>
      <w:lvlText w:val="%1."/>
      <w:numFmt w:val="upperLetter"/>
      <w:start w:val="16"/>
    </w:lvl>
  </w:abstractNum>
  <w:abstractNum w:abstractNumId="46">
    <w:nsid w:val="5551B9F3"/>
    <w:multiLevelType w:val="hybridMultilevel"/>
    <w:lvl w:ilvl="0">
      <w:lvlJc w:val="left"/>
      <w:lvlText w:val="%1."/>
      <w:numFmt w:val="upperLetter"/>
      <w:start w:val="17"/>
    </w:lvl>
  </w:abstractNum>
  <w:abstractNum w:abstractNumId="47">
    <w:nsid w:val="24F6AB8E"/>
    <w:multiLevelType w:val="hybridMultilevel"/>
    <w:lvl w:ilvl="0">
      <w:lvlJc w:val="left"/>
      <w:lvlText w:val="(%1)"/>
      <w:numFmt w:val="lowerLetter"/>
      <w:start w:val="1"/>
    </w:lvl>
  </w:abstractNum>
  <w:abstractNum w:abstractNumId="48">
    <w:nsid w:val="634C574C"/>
    <w:multiLevelType w:val="hybridMultilevel"/>
    <w:lvl w:ilvl="0">
      <w:lvlJc w:val="left"/>
      <w:lvlText w:val="(%1)"/>
      <w:numFmt w:val="lowerLetter"/>
      <w:start w:val="1"/>
    </w:lvl>
  </w:abstractNum>
  <w:abstractNum w:abstractNumId="49">
    <w:nsid w:val="24E99DD7"/>
    <w:multiLevelType w:val="hybridMultilevel"/>
    <w:lvl w:ilvl="0">
      <w:lvlJc w:val="left"/>
      <w:lvlText w:val="†"/>
      <w:numFmt w:val="bullet"/>
      <w:start w:val="1"/>
    </w:lvl>
  </w:abstractNum>
  <w:abstractNum w:abstractNumId="50">
    <w:nsid w:val="2A31B62D"/>
    <w:multiLevelType w:val="hybridMultilevel"/>
    <w:lvl w:ilvl="0">
      <w:lvlJc w:val="left"/>
      <w:lvlText w:val="(%1)"/>
      <w:numFmt w:val="decimal"/>
      <w:start w:val="1"/>
    </w:lvl>
  </w:abstractNum>
  <w:abstractNum w:abstractNumId="51">
    <w:nsid w:val="1849C29B"/>
    <w:multiLevelType w:val="hybridMultilevel"/>
    <w:lvl w:ilvl="0">
      <w:lvlJc w:val="left"/>
      <w:lvlText w:val="(%1)"/>
      <w:numFmt w:val="decimal"/>
      <w:start w:val="1"/>
    </w:lvl>
  </w:abstractNum>
  <w:abstractNum w:abstractNumId="52">
    <w:nsid w:val="7DFF9D09"/>
    <w:multiLevelType w:val="hybridMultilevel"/>
    <w:lvl w:ilvl="0">
      <w:lvlJc w:val="left"/>
      <w:lvlText w:val="†"/>
      <w:numFmt w:val="bullet"/>
      <w:start w:val="1"/>
    </w:lvl>
  </w:abstractNum>
  <w:abstractNum w:abstractNumId="53">
    <w:nsid w:val="754342"/>
    <w:multiLevelType w:val="hybridMultilevel"/>
    <w:lvl w:ilvl="0">
      <w:lvlJc w:val="left"/>
      <w:lvlText w:val="(%1)"/>
      <w:numFmt w:val="decimal"/>
      <w:start w:val="1"/>
    </w:lvl>
  </w:abstractNum>
  <w:abstractNum w:abstractNumId="54">
    <w:nsid w:val="69E7F3E5"/>
    <w:multiLevelType w:val="hybridMultilevel"/>
    <w:lvl w:ilvl="0">
      <w:lvlJc w:val="left"/>
      <w:lvlText w:val="%1."/>
      <w:numFmt w:val="decimal"/>
      <w:start w:val="1"/>
    </w:lvl>
  </w:abstractNum>
  <w:abstractNum w:abstractNumId="55">
    <w:nsid w:val="2A6DE806"/>
    <w:multiLevelType w:val="hybridMultilevel"/>
    <w:lvl w:ilvl="0">
      <w:lvlJc w:val="left"/>
      <w:lvlText w:val="(%1)"/>
      <w:numFmt w:val="lowerLetter"/>
      <w:start w:val="1"/>
    </w:lvl>
  </w:abstractNum>
  <w:abstractNum w:abstractNumId="56">
    <w:nsid w:val="1816F8C4"/>
    <w:multiLevelType w:val="hybridMultilevel"/>
    <w:lvl w:ilvl="0">
      <w:lvlJc w:val="left"/>
      <w:lvlText w:val="(%1)"/>
      <w:numFmt w:val="lowerLetter"/>
      <w:start w:val="3"/>
    </w:lvl>
  </w:abstractNum>
  <w:abstractNum w:abstractNumId="57">
    <w:nsid w:val="37DF2233"/>
    <w:multiLevelType w:val="hybridMultilevel"/>
    <w:lvl w:ilvl="0">
      <w:lvlJc w:val="left"/>
      <w:lvlText w:val="%1."/>
      <w:numFmt w:val="decimal"/>
      <w:start w:val="5"/>
    </w:lvl>
  </w:abstractNum>
  <w:abstractNum w:abstractNumId="58">
    <w:nsid w:val="7AB49DAF"/>
    <w:multiLevelType w:val="hybridMultilevel"/>
    <w:lvl w:ilvl="0">
      <w:lvlJc w:val="left"/>
      <w:lvlText w:val="(%1)"/>
      <w:numFmt w:val="lowerLetter"/>
      <w:start w:val="1"/>
    </w:lvl>
  </w:abstractNum>
  <w:abstractNum w:abstractNumId="59">
    <w:nsid w:val="759F82CD"/>
    <w:multiLevelType w:val="hybridMultilevel"/>
    <w:lvl w:ilvl="0">
      <w:lvlJc w:val="left"/>
      <w:lvlText w:val="(%1)"/>
      <w:numFmt w:val="lowerLetter"/>
      <w:start w:val="2"/>
    </w:lvl>
    <w:lvl w:ilvl="1">
      <w:lvlJc w:val="left"/>
      <w:lvlText w:val="(%2)"/>
      <w:numFmt w:val="lowerLetter"/>
      <w:start w:val="9"/>
    </w:lvl>
  </w:abstractNum>
  <w:abstractNum w:abstractNumId="60">
    <w:nsid w:val="61E74EA3"/>
    <w:multiLevelType w:val="hybridMultilevel"/>
    <w:lvl w:ilvl="0">
      <w:lvlJc w:val="left"/>
      <w:lvlText w:val="(%1)"/>
      <w:numFmt w:val="lowerLetter"/>
      <w:start w:val="6"/>
    </w:lvl>
    <w:lvl w:ilvl="1">
      <w:lvlJc w:val="left"/>
      <w:lvlText w:val="(%2)"/>
      <w:numFmt w:val="lowerRoman"/>
      <w:start w:val="1"/>
    </w:lvl>
  </w:abstractNum>
  <w:abstractNum w:abstractNumId="61">
    <w:nsid w:val="597B4D84"/>
    <w:multiLevelType w:val="hybridMultilevel"/>
    <w:lvl w:ilvl="0">
      <w:lvlJc w:val="left"/>
      <w:lvlText w:val="(%1)"/>
      <w:numFmt w:val="lowerLetter"/>
      <w:start w:val="1"/>
    </w:lvl>
    <w:lvl w:ilvl="1">
      <w:lvlJc w:val="left"/>
      <w:lvlText w:val="(%2)"/>
      <w:numFmt w:val="lowerRoman"/>
      <w:start w:val="1"/>
    </w:lvl>
  </w:abstractNum>
  <w:abstractNum w:abstractNumId="62">
    <w:nsid w:val="F819E7F"/>
    <w:multiLevelType w:val="hybridMultilevel"/>
    <w:lvl w:ilvl="0">
      <w:lvlJc w:val="left"/>
      <w:lvlText w:val="(%1)"/>
      <w:numFmt w:val="lowerRoman"/>
      <w:start w:val="2"/>
    </w:lvl>
    <w:lvl w:ilvl="1">
      <w:lvlJc w:val="left"/>
      <w:lvlText w:val="(%2)"/>
      <w:numFmt w:val="upperLetter"/>
      <w:start w:val="2"/>
    </w:lvl>
  </w:abstractNum>
  <w:abstractNum w:abstractNumId="63">
    <w:nsid w:val="57C7D42D"/>
    <w:multiLevelType w:val="hybridMultilevel"/>
    <w:lvl w:ilvl="0">
      <w:lvlJc w:val="left"/>
      <w:lvlText w:val="(%1)"/>
      <w:numFmt w:val="lowerLetter"/>
      <w:start w:val="2"/>
    </w:lvl>
    <w:lvl w:ilvl="1">
      <w:lvlJc w:val="left"/>
      <w:lvlText w:val="(%2)"/>
      <w:numFmt w:val="lowerRoman"/>
      <w:start w:val="1"/>
    </w:lvl>
  </w:abstractNum>
  <w:abstractNum w:abstractNumId="64">
    <w:nsid w:val="312167AD"/>
    <w:multiLevelType w:val="hybridMultilevel"/>
    <w:lvl w:ilvl="0">
      <w:lvlJc w:val="left"/>
      <w:lvlText w:val="(%1)"/>
      <w:numFmt w:val="lowerRoman"/>
      <w:start w:val="4"/>
    </w:lvl>
  </w:abstractNum>
  <w:abstractNum w:abstractNumId="65">
    <w:nsid w:val="631B64D4"/>
    <w:multiLevelType w:val="hybridMultilevel"/>
    <w:lvl w:ilvl="0">
      <w:lvlJc w:val="left"/>
      <w:lvlText w:val="%1."/>
      <w:numFmt w:val="decimal"/>
      <w:start w:val="9"/>
    </w:lvl>
  </w:abstractNum>
  <w:abstractNum w:abstractNumId="66">
    <w:nsid w:val="78B5E776"/>
    <w:multiLevelType w:val="hybridMultilevel"/>
    <w:lvl w:ilvl="0">
      <w:lvlJc w:val="left"/>
      <w:lvlText w:val="(%1)"/>
      <w:numFmt w:val="lowerLetter"/>
      <w:start w:val="1"/>
    </w:lvl>
  </w:abstractNum>
  <w:abstractNum w:abstractNumId="67">
    <w:nsid w:val="75486E47"/>
    <w:multiLevelType w:val="hybridMultilevel"/>
    <w:lvl w:ilvl="0">
      <w:lvlJc w:val="left"/>
      <w:lvlText w:val="%1"/>
      <w:numFmt w:val="lowerLetter"/>
      <w:start w:val="1"/>
    </w:lvl>
    <w:lvl w:ilvl="1">
      <w:lvlJc w:val="left"/>
      <w:lvlText w:val="(%2)"/>
      <w:numFmt w:val="lowerLetter"/>
      <w:start w:val="35"/>
    </w:lvl>
  </w:abstractNum>
  <w:abstractNum w:abstractNumId="68">
    <w:nsid w:val="6E534CDE"/>
    <w:multiLevelType w:val="hybridMultilevel"/>
    <w:lvl w:ilvl="0">
      <w:lvlJc w:val="left"/>
      <w:lvlText w:val="(%1)"/>
      <w:numFmt w:val="lowerLetter"/>
      <w:start w:val="3"/>
    </w:lvl>
    <w:lvl w:ilvl="1">
      <w:lvlJc w:val="left"/>
      <w:lvlText w:val="%2"/>
      <w:numFmt w:val="lowerLetter"/>
      <w:start w:val="1"/>
    </w:lvl>
  </w:abstractNum>
  <w:abstractNum w:abstractNumId="69">
    <w:nsid w:val="1A0DDE32"/>
    <w:multiLevelType w:val="hybridMultilevel"/>
    <w:lvl w:ilvl="0">
      <w:lvlJc w:val="left"/>
      <w:lvlText w:val="(%1)"/>
      <w:numFmt w:val="lowerLetter"/>
      <w:start w:val="5"/>
    </w:lvl>
    <w:lvl w:ilvl="1">
      <w:lvlJc w:val="left"/>
      <w:lvlText w:val="(%2)"/>
      <w:numFmt w:val="lowerRoman"/>
      <w:start w:val="1"/>
    </w:lvl>
  </w:abstractNum>
  <w:abstractNum w:abstractNumId="70">
    <w:nsid w:val="65968C1C"/>
    <w:multiLevelType w:val="hybridMultilevel"/>
    <w:lvl w:ilvl="0">
      <w:lvlJc w:val="left"/>
      <w:lvlText w:val="(%1)"/>
      <w:numFmt w:val="lowerRoman"/>
      <w:start w:val="4"/>
    </w:lvl>
  </w:abstractNum>
  <w:abstractNum w:abstractNumId="71">
    <w:nsid w:val="46263DEC"/>
    <w:multiLevelType w:val="hybridMultilevel"/>
    <w:lvl w:ilvl="0">
      <w:lvlJc w:val="left"/>
      <w:lvlText w:val="(%1)"/>
      <w:numFmt w:val="lowerLetter"/>
      <w:start w:val="6"/>
    </w:lvl>
  </w:abstractNum>
  <w:abstractNum w:abstractNumId="72">
    <w:nsid w:val="260D8C4A"/>
    <w:multiLevelType w:val="hybridMultilevel"/>
    <w:lvl w:ilvl="0">
      <w:lvlJc w:val="left"/>
      <w:lvlText w:val="%1."/>
      <w:numFmt w:val="decimal"/>
      <w:start w:val="10"/>
    </w:lvl>
  </w:abstractNum>
  <w:abstractNum w:abstractNumId="73">
    <w:nsid w:val="73D4D3C4"/>
    <w:multiLevelType w:val="hybridMultilevel"/>
    <w:lvl w:ilvl="0">
      <w:lvlJc w:val="left"/>
      <w:lvlText w:val="%1"/>
      <w:numFmt w:val="decimal"/>
      <w:start w:val="1"/>
    </w:lvl>
    <w:lvl w:ilvl="1">
      <w:lvlJc w:val="left"/>
      <w:lvlText w:val="%2."/>
      <w:numFmt w:val="decimal"/>
      <w:start w:val="12"/>
    </w:lvl>
  </w:abstractNum>
  <w:abstractNum w:abstractNumId="74">
    <w:nsid w:val="746F2E30"/>
    <w:multiLevelType w:val="hybridMultilevel"/>
    <w:lvl w:ilvl="0">
      <w:lvlJc w:val="left"/>
      <w:lvlText w:val="(%1)"/>
      <w:numFmt w:val="decimal"/>
      <w:start w:val="1"/>
    </w:lvl>
    <w:lvl w:ilvl="1">
      <w:lvlJc w:val="left"/>
      <w:lvlText w:val="%2"/>
      <w:numFmt w:val="decimal"/>
      <w:start w:val="1"/>
    </w:lvl>
  </w:abstractNum>
  <w:abstractNum w:abstractNumId="75">
    <w:nsid w:val="6FDE8AF6"/>
    <w:multiLevelType w:val="hybridMultilevel"/>
    <w:lvl w:ilvl="0">
      <w:lvlJc w:val="left"/>
      <w:lvlText w:val="(%1)"/>
      <w:numFmt w:val="lowerLetter"/>
      <w:start w:val="1"/>
    </w:lvl>
  </w:abstractNum>
  <w:abstractNum w:abstractNumId="76">
    <w:nsid w:val="3FC32E20"/>
    <w:multiLevelType w:val="hybridMultilevel"/>
    <w:lvl w:ilvl="0">
      <w:lvlJc w:val="left"/>
      <w:lvlText w:val="%1."/>
      <w:numFmt w:val="decimal"/>
      <w:start w:val="14"/>
    </w:lvl>
  </w:abstractNum>
  <w:abstractNum w:abstractNumId="77">
    <w:nsid w:val="49C0E823"/>
    <w:multiLevelType w:val="hybridMultilevel"/>
    <w:lvl w:ilvl="0">
      <w:lvlJc w:val="left"/>
      <w:lvlText w:val="%1."/>
      <w:numFmt w:val="decimal"/>
      <w:start w:val="18"/>
    </w:lvl>
  </w:abstractNum>
  <w:abstractNum w:abstractNumId="78">
    <w:nsid w:val="14D53685"/>
    <w:multiLevelType w:val="hybridMultilevel"/>
    <w:lvl w:ilvl="0">
      <w:lvlJc w:val="left"/>
      <w:lvlText w:val="%1"/>
      <w:numFmt w:val="decimal"/>
      <w:start w:val="1"/>
    </w:lvl>
    <w:lvl w:ilvl="1">
      <w:lvlJc w:val="left"/>
      <w:lvlText w:val="%2."/>
      <w:numFmt w:val="decimal"/>
      <w:start w:val="24"/>
    </w:lvl>
  </w:abstractNum>
  <w:abstractNum w:abstractNumId="79">
    <w:nsid w:val="230F856C"/>
    <w:multiLevelType w:val="hybridMultilevel"/>
    <w:lvl w:ilvl="0">
      <w:lvlJc w:val="left"/>
      <w:lvlText w:val="(%1)"/>
      <w:numFmt w:val="decimal"/>
      <w:start w:val="3"/>
    </w:lvl>
    <w:lvl w:ilvl="1">
      <w:lvlJc w:val="left"/>
      <w:lvlText w:val="%2"/>
      <w:numFmt w:val="decimal"/>
      <w:start w:val="1"/>
    </w:lvl>
  </w:abstractNum>
  <w:abstractNum w:abstractNumId="80">
    <w:nsid w:val="6EAA85FB"/>
    <w:multiLevelType w:val="hybridMultilevel"/>
    <w:lvl w:ilvl="0">
      <w:lvlJc w:val="left"/>
      <w:lvlText w:val="%1."/>
      <w:numFmt w:val="decimal"/>
      <w:start w:val="26"/>
    </w:lvl>
  </w:abstractNum>
  <w:abstractNum w:abstractNumId="81">
    <w:nsid w:val="3F06ECB2"/>
    <w:multiLevelType w:val="hybridMultilevel"/>
    <w:lvl w:ilvl="0">
      <w:lvlJc w:val="left"/>
      <w:lvlText w:val="%1."/>
      <w:numFmt w:val="decimal"/>
      <w:start w:val="1"/>
    </w:lvl>
  </w:abstractNum>
  <w:abstractNum w:abstractNumId="82">
    <w:nsid w:val="3B594807"/>
    <w:multiLevelType w:val="hybridMultilevel"/>
    <w:lvl w:ilvl="0">
      <w:lvlJc w:val="left"/>
      <w:lvlText w:val="(%1)"/>
      <w:numFmt w:val="lowerLetter"/>
      <w:start w:val="1"/>
    </w:lvl>
  </w:abstractNum>
  <w:abstractNum w:abstractNumId="83">
    <w:nsid w:val="6CAA2304"/>
    <w:multiLevelType w:val="hybridMultilevel"/>
    <w:lvl w:ilvl="0">
      <w:lvlJc w:val="left"/>
      <w:lvlText w:val="(%1)"/>
      <w:numFmt w:val="lowerLetter"/>
      <w:start w:val="3"/>
    </w:lvl>
  </w:abstractNum>
  <w:abstractNum w:abstractNumId="84">
    <w:nsid w:val="3F7C2FF4"/>
    <w:multiLevelType w:val="hybridMultilevel"/>
    <w:lvl w:ilvl="0">
      <w:lvlJc w:val="left"/>
      <w:lvlText w:val="%1."/>
      <w:numFmt w:val="decimal"/>
      <w:start w:val="5"/>
    </w:lvl>
  </w:abstractNum>
  <w:abstractNum w:abstractNumId="85">
    <w:nsid w:val="25413BEC"/>
    <w:multiLevelType w:val="hybridMultilevel"/>
    <w:lvl w:ilvl="0">
      <w:lvlJc w:val="left"/>
      <w:lvlText w:val="(%1)"/>
      <w:numFmt w:val="lowerLetter"/>
      <w:start w:val="1"/>
    </w:lvl>
  </w:abstractNum>
  <w:abstractNum w:abstractNumId="86">
    <w:nsid w:val="17180B0B"/>
    <w:multiLevelType w:val="hybridMultilevel"/>
    <w:lvl w:ilvl="0">
      <w:lvlJc w:val="left"/>
      <w:lvlText w:val="(%1)"/>
      <w:numFmt w:val="lowerLetter"/>
      <w:start w:val="2"/>
    </w:lvl>
    <w:lvl w:ilvl="1">
      <w:lvlJc w:val="left"/>
      <w:lvlText w:val="(%2)"/>
      <w:numFmt w:val="lowerLetter"/>
      <w:start w:val="9"/>
    </w:lvl>
  </w:abstractNum>
  <w:abstractNum w:abstractNumId="87">
    <w:nsid w:val="579328B9"/>
    <w:multiLevelType w:val="hybridMultilevel"/>
    <w:lvl w:ilvl="0">
      <w:lvlJc w:val="left"/>
      <w:lvlText w:val="(%1)"/>
      <w:numFmt w:val="lowerLetter"/>
      <w:start w:val="6"/>
    </w:lvl>
    <w:lvl w:ilvl="1">
      <w:lvlJc w:val="left"/>
      <w:lvlText w:val="(%2)"/>
      <w:numFmt w:val="lowerRoman"/>
      <w:start w:val="1"/>
    </w:lvl>
  </w:abstractNum>
  <w:abstractNum w:abstractNumId="88">
    <w:nsid w:val="5D205E20"/>
    <w:multiLevelType w:val="hybridMultilevel"/>
    <w:lvl w:ilvl="0">
      <w:lvlJc w:val="left"/>
      <w:lvlText w:val="(%1)"/>
      <w:numFmt w:val="lowerLetter"/>
      <w:start w:val="1"/>
    </w:lvl>
    <w:lvl w:ilvl="1">
      <w:lvlJc w:val="left"/>
      <w:lvlText w:val="(%2)"/>
      <w:numFmt w:val="lowerRoman"/>
      <w:start w:val="1"/>
    </w:lvl>
  </w:abstractNum>
  <w:abstractNum w:abstractNumId="89">
    <w:nsid w:val="11CCA8BA"/>
    <w:multiLevelType w:val="hybridMultilevel"/>
    <w:lvl w:ilvl="0">
      <w:lvlJc w:val="left"/>
      <w:lvlText w:val="(%1)"/>
      <w:numFmt w:val="lowerRoman"/>
      <w:start w:val="2"/>
    </w:lvl>
    <w:lvl w:ilvl="1">
      <w:lvlJc w:val="left"/>
      <w:lvlText w:val="(%2)"/>
      <w:numFmt w:val="upperLetter"/>
      <w:start w:val="2"/>
    </w:lvl>
  </w:abstractNum>
  <w:abstractNum w:abstractNumId="90">
    <w:nsid w:val="4D32AB86"/>
    <w:multiLevelType w:val="hybridMultilevel"/>
    <w:lvl w:ilvl="0">
      <w:lvlJc w:val="left"/>
      <w:lvlText w:val="(%1)"/>
      <w:numFmt w:val="lowerLetter"/>
      <w:start w:val="2"/>
    </w:lvl>
    <w:lvl w:ilvl="1">
      <w:lvlJc w:val="left"/>
      <w:lvlText w:val="(%2)"/>
      <w:numFmt w:val="lowerRoman"/>
      <w:start w:val="1"/>
    </w:lvl>
  </w:abstractNum>
  <w:abstractNum w:abstractNumId="91">
    <w:nsid w:val="3F07ACC3"/>
    <w:multiLevelType w:val="hybridMultilevel"/>
    <w:lvl w:ilvl="0">
      <w:lvlJc w:val="left"/>
      <w:lvlText w:val="(%1)"/>
      <w:numFmt w:val="lowerRoman"/>
      <w:start w:val="4"/>
    </w:lvl>
  </w:abstractNum>
  <w:abstractNum w:abstractNumId="92">
    <w:nsid w:val="6B47F63E"/>
    <w:multiLevelType w:val="hybridMultilevel"/>
    <w:lvl w:ilvl="0">
      <w:lvlJc w:val="left"/>
      <w:lvlText w:val="%1."/>
      <w:numFmt w:val="decimal"/>
      <w:start w:val="9"/>
    </w:lvl>
  </w:abstractNum>
  <w:abstractNum w:abstractNumId="93">
    <w:nsid w:val="5CB44A05"/>
    <w:multiLevelType w:val="hybridMultilevel"/>
    <w:lvl w:ilvl="0">
      <w:lvlJc w:val="left"/>
      <w:lvlText w:val="(%1)"/>
      <w:numFmt w:val="lowerLetter"/>
      <w:start w:val="1"/>
    </w:lvl>
  </w:abstractNum>
  <w:abstractNum w:abstractNumId="94">
    <w:nsid w:val="16CF80F1"/>
    <w:multiLevelType w:val="hybridMultilevel"/>
    <w:lvl w:ilvl="0">
      <w:lvlJc w:val="left"/>
      <w:lvlText w:val="(%1)"/>
      <w:numFmt w:val="lowerLetter"/>
      <w:start w:val="2"/>
    </w:lvl>
  </w:abstractNum>
  <w:abstractNum w:abstractNumId="95">
    <w:nsid w:val="1C695DEC"/>
    <w:multiLevelType w:val="hybridMultilevel"/>
    <w:lvl w:ilvl="0">
      <w:lvlJc w:val="left"/>
      <w:lvlText w:val="(%1)"/>
      <w:numFmt w:val="lowerLetter"/>
      <w:start w:val="3"/>
    </w:lvl>
  </w:abstractNum>
  <w:abstractNum w:abstractNumId="96">
    <w:nsid w:val="3FCFAED9"/>
    <w:multiLevelType w:val="hybridMultilevel"/>
    <w:lvl w:ilvl="0">
      <w:lvlJc w:val="left"/>
      <w:lvlText w:val="(%1)"/>
      <w:numFmt w:val="lowerRoman"/>
      <w:start w:val="1"/>
    </w:lvl>
  </w:abstractNum>
  <w:abstractNum w:abstractNumId="97">
    <w:nsid w:val="F856867"/>
    <w:multiLevelType w:val="hybridMultilevel"/>
    <w:lvl w:ilvl="0">
      <w:lvlJc w:val="left"/>
      <w:lvlText w:val="(%1)"/>
      <w:numFmt w:val="lowerLetter"/>
      <w:start w:val="6"/>
    </w:lvl>
  </w:abstractNum>
  <w:abstractNum w:abstractNumId="98">
    <w:nsid w:val="11B1CC33"/>
    <w:multiLevelType w:val="hybridMultilevel"/>
    <w:lvl w:ilvl="0">
      <w:lvlJc w:val="left"/>
      <w:lvlText w:val="%1."/>
      <w:numFmt w:val="decimal"/>
      <w:start w:val="10"/>
    </w:lvl>
  </w:abstractNum>
  <w:abstractNum w:abstractNumId="99">
    <w:nsid w:val="2E22FBB7"/>
    <w:multiLevelType w:val="hybridMultilevel"/>
    <w:lvl w:ilvl="0">
      <w:lvlJc w:val="left"/>
      <w:lvlText w:val="(%1)"/>
      <w:numFmt w:val="lowerLetter"/>
      <w:start w:val="1"/>
    </w:lvl>
  </w:abstractNum>
  <w:abstractNum w:abstractNumId="100">
    <w:nsid w:val="29934699"/>
    <w:multiLevelType w:val="hybridMultilevel"/>
    <w:lvl w:ilvl="0">
      <w:lvlJc w:val="left"/>
      <w:lvlText w:val="%1."/>
      <w:numFmt w:val="decimal"/>
      <w:start w:val="14"/>
    </w:lvl>
  </w:abstractNum>
  <w:abstractNum w:abstractNumId="101">
    <w:nsid w:val="77485850"/>
    <w:multiLevelType w:val="hybridMultilevel"/>
    <w:lvl w:ilvl="0">
      <w:lvlJc w:val="left"/>
      <w:lvlText w:val="%1."/>
      <w:numFmt w:val="decimal"/>
      <w:start w:val="17"/>
    </w:lvl>
  </w:abstractNum>
  <w:abstractNum w:abstractNumId="102">
    <w:nsid w:val="744939A3"/>
    <w:multiLevelType w:val="hybridMultilevel"/>
    <w:lvl w:ilvl="0">
      <w:lvlJc w:val="left"/>
      <w:lvlText w:val="%1"/>
      <w:numFmt w:val="decimal"/>
      <w:start w:val="1"/>
    </w:lvl>
    <w:lvl w:ilvl="1">
      <w:lvlJc w:val="left"/>
      <w:lvlText w:val="%2."/>
      <w:numFmt w:val="decimal"/>
      <w:start w:val="24"/>
    </w:lvl>
  </w:abstractNum>
  <w:abstractNum w:abstractNumId="103">
    <w:nsid w:val="4FA0D2E3"/>
    <w:multiLevelType w:val="hybridMultilevel"/>
    <w:lvl w:ilvl="0">
      <w:lvlJc w:val="left"/>
      <w:lvlText w:val="(%1)"/>
      <w:numFmt w:val="decimal"/>
      <w:start w:val="3"/>
    </w:lvl>
    <w:lvl w:ilvl="1">
      <w:lvlJc w:val="left"/>
      <w:lvlText w:val="%2"/>
      <w:numFmt w:val="decimal"/>
      <w:start w:val="1"/>
    </w:lvl>
  </w:abstractNum>
  <w:abstractNum w:abstractNumId="104">
    <w:nsid w:val="6B1D2C14"/>
    <w:multiLevelType w:val="hybridMultilevel"/>
    <w:lvl w:ilvl="0">
      <w:lvlJc w:val="left"/>
      <w:lvlText w:val="%1."/>
      <w:numFmt w:val="decimal"/>
      <w:start w:val="26"/>
    </w:lvl>
  </w:abstractNum>
  <w:abstractNum w:abstractNumId="105">
    <w:nsid w:val="68B867D3"/>
    <w:multiLevelType w:val="hybridMultilevel"/>
    <w:lvl w:ilvl="0">
      <w:lvlJc w:val="left"/>
      <w:lvlText w:val="%1."/>
      <w:numFmt w:val="decimal"/>
      <w:start w:val="27"/>
    </w:lvl>
  </w:abstractNum>
  <w:abstractNum w:abstractNumId="106">
    <w:nsid w:val="3F7F5DD9"/>
    <w:multiLevelType w:val="hybridMultilevel"/>
    <w:lvl w:ilvl="0">
      <w:lvlJc w:val="left"/>
      <w:lvlText w:val="%1."/>
      <w:numFmt w:val="decimal"/>
      <w:start w:val="1"/>
    </w:lvl>
  </w:abstractNum>
  <w:abstractNum w:abstractNumId="107">
    <w:nsid w:val="2AE05A34"/>
    <w:multiLevelType w:val="hybridMultilevel"/>
    <w:lvl w:ilvl="0">
      <w:lvlJc w:val="left"/>
      <w:lvlText w:val="(%1)"/>
      <w:numFmt w:val="lowerLetter"/>
      <w:start w:val="1"/>
    </w:lvl>
  </w:abstractNum>
  <w:abstractNum w:abstractNumId="108">
    <w:nsid w:val="32794FF7"/>
    <w:multiLevelType w:val="hybridMultilevel"/>
    <w:lvl w:ilvl="0">
      <w:lvlJc w:val="left"/>
      <w:lvlText w:val="(%1)"/>
      <w:numFmt w:val="lowerLetter"/>
      <w:start w:val="3"/>
    </w:lvl>
  </w:abstractNum>
  <w:abstractNum w:abstractNumId="109">
    <w:nsid w:val="5454945E"/>
    <w:multiLevelType w:val="hybridMultilevel"/>
    <w:lvl w:ilvl="0">
      <w:lvlJc w:val="left"/>
      <w:lvlText w:val="%1."/>
      <w:numFmt w:val="decimal"/>
      <w:start w:val="5"/>
    </w:lvl>
  </w:abstractNum>
  <w:abstractNum w:abstractNumId="110">
    <w:nsid w:val="4DEFDFA0"/>
    <w:multiLevelType w:val="hybridMultilevel"/>
    <w:lvl w:ilvl="0">
      <w:lvlJc w:val="left"/>
      <w:lvlText w:val="(%1)"/>
      <w:numFmt w:val="lowerLetter"/>
      <w:start w:val="1"/>
    </w:lvl>
  </w:abstractNum>
  <w:abstractNum w:abstractNumId="111">
    <w:nsid w:val="2123D5F2"/>
    <w:multiLevelType w:val="hybridMultilevel"/>
    <w:lvl w:ilvl="0">
      <w:lvlJc w:val="left"/>
      <w:lvlText w:val="(%1)"/>
      <w:numFmt w:val="lowerLetter"/>
      <w:start w:val="2"/>
    </w:lvl>
    <w:lvl w:ilvl="1">
      <w:lvlJc w:val="left"/>
      <w:lvlText w:val="(%2)"/>
      <w:numFmt w:val="lowerLetter"/>
      <w:start w:val="9"/>
    </w:lvl>
  </w:abstractNum>
  <w:abstractNum w:abstractNumId="112">
    <w:nsid w:val="135B8110"/>
    <w:multiLevelType w:val="hybridMultilevel"/>
    <w:lvl w:ilvl="0">
      <w:lvlJc w:val="left"/>
      <w:lvlText w:val="(%1)"/>
      <w:numFmt w:val="lowerLetter"/>
      <w:start w:val="6"/>
    </w:lvl>
    <w:lvl w:ilvl="1">
      <w:lvlJc w:val="left"/>
      <w:lvlText w:val="(%2)"/>
      <w:numFmt w:val="lowerRoman"/>
      <w:start w:val="1"/>
    </w:lvl>
  </w:abstractNum>
  <w:abstractNum w:abstractNumId="113">
    <w:nsid w:val="94927A8"/>
    <w:multiLevelType w:val="hybridMultilevel"/>
    <w:lvl w:ilvl="0">
      <w:lvlJc w:val="left"/>
      <w:lvlText w:val="%1."/>
      <w:numFmt w:val="decimal"/>
      <w:start w:val="8"/>
    </w:lvl>
  </w:abstractNum>
  <w:abstractNum w:abstractNumId="114">
    <w:nsid w:val="DCDF8F6"/>
    <w:multiLevelType w:val="hybridMultilevel"/>
    <w:lvl w:ilvl="0">
      <w:lvlJc w:val="left"/>
      <w:lvlText w:val="(%1)"/>
      <w:numFmt w:val="lowerLetter"/>
      <w:start w:val="1"/>
    </w:lvl>
    <w:lvl w:ilvl="1">
      <w:lvlJc w:val="left"/>
      <w:lvlText w:val="(%2)"/>
      <w:numFmt w:val="lowerRoman"/>
      <w:start w:val="1"/>
    </w:lvl>
  </w:abstractNum>
  <w:abstractNum w:abstractNumId="115">
    <w:nsid w:val="52D7B105"/>
    <w:multiLevelType w:val="hybridMultilevel"/>
    <w:lvl w:ilvl="0">
      <w:lvlJc w:val="left"/>
      <w:lvlText w:val="(%1)"/>
      <w:numFmt w:val="lowerRoman"/>
      <w:start w:val="2"/>
    </w:lvl>
    <w:lvl w:ilvl="1">
      <w:lvlJc w:val="left"/>
      <w:lvlText w:val="(%2)"/>
      <w:numFmt w:val="upperLetter"/>
      <w:start w:val="2"/>
    </w:lvl>
  </w:abstractNum>
  <w:abstractNum w:abstractNumId="116">
    <w:nsid w:val="2E8A6394"/>
    <w:multiLevelType w:val="hybridMultilevel"/>
    <w:lvl w:ilvl="0">
      <w:lvlJc w:val="left"/>
      <w:lvlText w:val="(%1)"/>
      <w:numFmt w:val="lowerLetter"/>
      <w:start w:val="2"/>
    </w:lvl>
    <w:lvl w:ilvl="1">
      <w:lvlJc w:val="left"/>
      <w:lvlText w:val="(%2)"/>
      <w:numFmt w:val="lowerRoman"/>
      <w:start w:val="1"/>
    </w:lvl>
  </w:abstractNum>
  <w:abstractNum w:abstractNumId="117">
    <w:nsid w:val="24E60401"/>
    <w:multiLevelType w:val="hybridMultilevel"/>
    <w:lvl w:ilvl="0">
      <w:lvlJc w:val="left"/>
      <w:lvlText w:val="(%1)"/>
      <w:numFmt w:val="lowerRoman"/>
      <w:start w:val="4"/>
    </w:lvl>
  </w:abstractNum>
  <w:abstractNum w:abstractNumId="118">
    <w:nsid w:val="2A6AD9BE"/>
    <w:multiLevelType w:val="hybridMultilevel"/>
    <w:lvl w:ilvl="0">
      <w:lvlJc w:val="left"/>
      <w:lvlText w:val="%1."/>
      <w:numFmt w:val="decimal"/>
      <w:start w:val="9"/>
    </w:lvl>
  </w:abstractNum>
  <w:abstractNum w:abstractNumId="119">
    <w:nsid w:val="BAAC1B4"/>
    <w:multiLevelType w:val="hybridMultilevel"/>
    <w:lvl w:ilvl="0">
      <w:lvlJc w:val="left"/>
      <w:lvlText w:val="(%1)"/>
      <w:numFmt w:val="lowerLetter"/>
      <w:start w:val="1"/>
    </w:lvl>
  </w:abstractNum>
  <w:abstractNum w:abstractNumId="120">
    <w:nsid w:val="36B2ACBC"/>
    <w:multiLevelType w:val="hybridMultilevel"/>
    <w:lvl w:ilvl="0">
      <w:lvlJc w:val="left"/>
      <w:lvlText w:val="(%1)"/>
      <w:numFmt w:val="lowerLetter"/>
      <w:start w:val="2"/>
    </w:lvl>
  </w:abstractNum>
  <w:abstractNum w:abstractNumId="121">
    <w:nsid w:val="779D8544"/>
    <w:multiLevelType w:val="hybridMultilevel"/>
    <w:lvl w:ilvl="0">
      <w:lvlJc w:val="left"/>
      <w:lvlText w:val="(%1)"/>
      <w:numFmt w:val="lowerLetter"/>
      <w:start w:val="3"/>
    </w:lvl>
  </w:abstractNum>
  <w:abstractNum w:abstractNumId="122">
    <w:nsid w:val="4AB26E78"/>
    <w:multiLevelType w:val="hybridMultilevel"/>
    <w:lvl w:ilvl="0">
      <w:lvlJc w:val="left"/>
      <w:lvlText w:val="(%1)"/>
      <w:numFmt w:val="lowerRoman"/>
      <w:start w:val="1"/>
    </w:lvl>
  </w:abstractNum>
  <w:abstractNum w:abstractNumId="123">
    <w:nsid w:val="21FAA2FA"/>
    <w:multiLevelType w:val="hybridMultilevel"/>
    <w:lvl w:ilvl="0">
      <w:lvlJc w:val="left"/>
      <w:lvlText w:val="(%1)"/>
      <w:numFmt w:val="lowerLetter"/>
      <w:start w:val="6"/>
    </w:lvl>
  </w:abstractNum>
  <w:abstractNum w:abstractNumId="124">
    <w:nsid w:val="5451CF49"/>
    <w:multiLevelType w:val="hybridMultilevel"/>
    <w:lvl w:ilvl="0">
      <w:lvlJc w:val="left"/>
      <w:lvlText w:val="%1."/>
      <w:numFmt w:val="decimal"/>
      <w:start w:val="10"/>
    </w:lvl>
  </w:abstractNum>
  <w:abstractNum w:abstractNumId="125">
    <w:nsid w:val="6181EF69"/>
    <w:multiLevelType w:val="hybridMultilevel"/>
    <w:lvl w:ilvl="0">
      <w:lvlJc w:val="left"/>
      <w:lvlText w:val="%1"/>
      <w:numFmt w:val="decimal"/>
      <w:start w:val="1"/>
    </w:lvl>
    <w:lvl w:ilvl="1">
      <w:lvlJc w:val="left"/>
      <w:lvlText w:val="%2."/>
      <w:numFmt w:val="decimal"/>
      <w:start w:val="13"/>
    </w:lvl>
  </w:abstractNum>
  <w:abstractNum w:abstractNumId="126">
    <w:nsid w:val="3E6400E6"/>
    <w:multiLevelType w:val="hybridMultilevel"/>
    <w:lvl w:ilvl="0">
      <w:lvlJc w:val="left"/>
      <w:lvlText w:val="(%1)"/>
      <w:numFmt w:val="decimal"/>
      <w:start w:val="1"/>
    </w:lvl>
    <w:lvl w:ilvl="1">
      <w:lvlJc w:val="left"/>
      <w:lvlText w:val="%2"/>
      <w:numFmt w:val="decimal"/>
      <w:start w:val="1"/>
    </w:lvl>
  </w:abstractNum>
  <w:abstractNum w:abstractNumId="127">
    <w:nsid w:val="14217E23"/>
    <w:multiLevelType w:val="hybridMultilevel"/>
    <w:lvl w:ilvl="0">
      <w:lvlJc w:val="left"/>
      <w:lvlText w:val="(%1)"/>
      <w:numFmt w:val="lowerLetter"/>
      <w:start w:val="1"/>
    </w:lvl>
  </w:abstractNum>
  <w:abstractNum w:abstractNumId="128">
    <w:nsid w:val="710757D0"/>
    <w:multiLevelType w:val="hybridMultilevel"/>
    <w:lvl w:ilvl="0">
      <w:lvlJc w:val="left"/>
      <w:lvlText w:val="%1."/>
      <w:numFmt w:val="decimal"/>
      <w:start w:val="14"/>
    </w:lvl>
  </w:abstractNum>
  <w:abstractNum w:abstractNumId="129">
    <w:nsid w:val="5015CD1A"/>
    <w:multiLevelType w:val="hybridMultilevel"/>
    <w:lvl w:ilvl="0">
      <w:lvlJc w:val="left"/>
      <w:lvlText w:val="%1."/>
      <w:numFmt w:val="decimal"/>
      <w:start w:val="17"/>
    </w:lvl>
  </w:abstractNum>
  <w:abstractNum w:abstractNumId="130">
    <w:nsid w:val="424479DA"/>
    <w:multiLevelType w:val="hybridMultilevel"/>
    <w:lvl w:ilvl="0">
      <w:lvlJc w:val="left"/>
      <w:lvlText w:val="%1"/>
      <w:numFmt w:val="decimal"/>
      <w:start w:val="1"/>
    </w:lvl>
    <w:lvl w:ilvl="1">
      <w:lvlJc w:val="left"/>
      <w:lvlText w:val="%2."/>
      <w:numFmt w:val="decimal"/>
      <w:start w:val="22"/>
    </w:lvl>
  </w:abstractNum>
  <w:abstractNum w:abstractNumId="131">
    <w:nsid w:val="1A9A9E69"/>
    <w:multiLevelType w:val="hybridMultilevel"/>
    <w:lvl w:ilvl="0">
      <w:lvlJc w:val="left"/>
      <w:lvlText w:val="(%1)"/>
      <w:numFmt w:val="decimal"/>
      <w:start w:val="3"/>
    </w:lvl>
    <w:lvl w:ilvl="1">
      <w:lvlJc w:val="left"/>
      <w:lvlText w:val="%2"/>
      <w:numFmt w:val="decimal"/>
      <w:start w:val="1"/>
    </w:lvl>
  </w:abstractNum>
  <w:abstractNum w:abstractNumId="132">
    <w:nsid w:val="475E256A"/>
    <w:multiLevelType w:val="hybridMultilevel"/>
    <w:lvl w:ilvl="0">
      <w:lvlJc w:val="left"/>
      <w:lvlText w:val="%1."/>
      <w:numFmt w:val="decimal"/>
      <w:start w:val="26"/>
    </w:lvl>
  </w:abstractNum>
  <w:abstractNum w:abstractNumId="133">
    <w:nsid w:val="368DB37E"/>
    <w:multiLevelType w:val="hybridMultilevel"/>
    <w:lvl w:ilvl="0">
      <w:lvlJc w:val="left"/>
      <w:lvlText w:val="%1."/>
      <w:numFmt w:val="decimal"/>
      <w:start w:val="1"/>
    </w:lvl>
  </w:abstractNum>
  <w:abstractNum w:abstractNumId="134">
    <w:nsid w:val="6A3B714C"/>
    <w:multiLevelType w:val="hybridMultilevel"/>
    <w:lvl w:ilvl="0">
      <w:lvlJc w:val="left"/>
      <w:lvlText w:val="(%1)"/>
      <w:numFmt w:val="lowerLetter"/>
      <w:start w:val="1"/>
    </w:lvl>
  </w:abstractNum>
  <w:abstractNum w:abstractNumId="135">
    <w:nsid w:val="327B517E"/>
    <w:multiLevelType w:val="hybridMultilevel"/>
    <w:lvl w:ilvl="0">
      <w:lvlJc w:val="left"/>
      <w:lvlText w:val="(%1)"/>
      <w:numFmt w:val="lowerLetter"/>
      <w:start w:val="3"/>
    </w:lvl>
  </w:abstractNum>
  <w:abstractNum w:abstractNumId="136">
    <w:nsid w:val="1F461B51"/>
    <w:multiLevelType w:val="hybridMultilevel"/>
    <w:lvl w:ilvl="0">
      <w:lvlJc w:val="left"/>
      <w:lvlText w:val="%1."/>
      <w:numFmt w:val="decimal"/>
      <w:start w:val="5"/>
    </w:lvl>
  </w:abstractNum>
  <w:abstractNum w:abstractNumId="137">
    <w:nsid w:val="29BACF25"/>
    <w:multiLevelType w:val="hybridMultilevel"/>
    <w:lvl w:ilvl="0">
      <w:lvlJc w:val="left"/>
      <w:lvlText w:val="(%1)"/>
      <w:numFmt w:val="lowerLetter"/>
      <w:start w:val="1"/>
    </w:lvl>
  </w:abstractNum>
  <w:abstractNum w:abstractNumId="138">
    <w:nsid w:val="5D5BABB3"/>
    <w:multiLevelType w:val="hybridMultilevel"/>
    <w:lvl w:ilvl="0">
      <w:lvlJc w:val="left"/>
      <w:lvlText w:val="(%1)"/>
      <w:numFmt w:val="lowerLetter"/>
      <w:start w:val="2"/>
    </w:lvl>
    <w:lvl w:ilvl="1">
      <w:lvlJc w:val="left"/>
      <w:lvlText w:val="(%2)"/>
      <w:numFmt w:val="lowerLetter"/>
      <w:start w:val="9"/>
    </w:lvl>
  </w:abstractNum>
  <w:abstractNum w:abstractNumId="139">
    <w:nsid w:val="51BF6B48"/>
    <w:multiLevelType w:val="hybridMultilevel"/>
    <w:lvl w:ilvl="0">
      <w:lvlJc w:val="left"/>
      <w:lvlText w:val="(%1)"/>
      <w:numFmt w:val="lowerLetter"/>
      <w:start w:val="6"/>
    </w:lvl>
    <w:lvl w:ilvl="1">
      <w:lvlJc w:val="left"/>
      <w:lvlText w:val="(%2)"/>
      <w:numFmt w:val="lowerRoman"/>
      <w:start w:val="1"/>
    </w:lvl>
  </w:abstractNum>
  <w:abstractNum w:abstractNumId="140">
    <w:nsid w:val="7E0F6384"/>
    <w:multiLevelType w:val="hybridMultilevel"/>
    <w:lvl w:ilvl="0">
      <w:lvlJc w:val="left"/>
      <w:lvlText w:val="(%1)"/>
      <w:numFmt w:val="lowerLetter"/>
      <w:start w:val="1"/>
    </w:lvl>
    <w:lvl w:ilvl="1">
      <w:lvlJc w:val="left"/>
      <w:lvlText w:val="(%2)"/>
      <w:numFmt w:val="lowerRoman"/>
      <w:start w:val="1"/>
    </w:lvl>
  </w:abstractNum>
  <w:abstractNum w:abstractNumId="141">
    <w:nsid w:val="2B4B8B53"/>
    <w:multiLevelType w:val="hybridMultilevel"/>
    <w:lvl w:ilvl="0">
      <w:lvlJc w:val="left"/>
      <w:lvlText w:val="(%1)"/>
      <w:numFmt w:val="lowerRoman"/>
      <w:start w:val="2"/>
    </w:lvl>
    <w:lvl w:ilvl="1">
      <w:lvlJc w:val="left"/>
      <w:lvlText w:val="(%2)"/>
      <w:numFmt w:val="upperLetter"/>
      <w:start w:val="2"/>
    </w:lvl>
  </w:abstractNum>
  <w:abstractNum w:abstractNumId="142">
    <w:nsid w:val="72E3413A"/>
    <w:multiLevelType w:val="hybridMultilevel"/>
    <w:lvl w:ilvl="0">
      <w:lvlJc w:val="left"/>
      <w:lvlText w:val="(%1)"/>
      <w:numFmt w:val="lowerLetter"/>
      <w:start w:val="2"/>
    </w:lvl>
    <w:lvl w:ilvl="1">
      <w:lvlJc w:val="left"/>
      <w:lvlText w:val="(%2)"/>
      <w:numFmt w:val="lowerRoman"/>
      <w:start w:val="1"/>
    </w:lvl>
  </w:abstractNum>
  <w:abstractNum w:abstractNumId="143">
    <w:nsid w:val="116AE494"/>
    <w:multiLevelType w:val="hybridMultilevel"/>
    <w:lvl w:ilvl="0">
      <w:lvlJc w:val="left"/>
      <w:lvlText w:val="(%1)"/>
      <w:numFmt w:val="lowerRoman"/>
      <w:start w:val="4"/>
    </w:lvl>
  </w:abstractNum>
  <w:abstractNum w:abstractNumId="144">
    <w:nsid w:val="3494B2FB"/>
    <w:multiLevelType w:val="hybridMultilevel"/>
    <w:lvl w:ilvl="0">
      <w:lvlJc w:val="left"/>
      <w:lvlText w:val="(%1)"/>
      <w:numFmt w:val="lowerLetter"/>
      <w:start w:val="1"/>
    </w:lvl>
  </w:abstractNum>
  <w:abstractNum w:abstractNumId="145">
    <w:nsid w:val="B13A31"/>
    <w:multiLevelType w:val="hybridMultilevel"/>
    <w:lvl w:ilvl="0">
      <w:lvlJc w:val="left"/>
      <w:lvlText w:val="(%1)"/>
      <w:numFmt w:val="lowerLetter"/>
      <w:start w:val="2"/>
    </w:lvl>
  </w:abstractNum>
  <w:abstractNum w:abstractNumId="146">
    <w:nsid w:val="64429599"/>
    <w:multiLevelType w:val="hybridMultilevel"/>
    <w:lvl w:ilvl="0">
      <w:lvlJc w:val="left"/>
      <w:lvlText w:val="(%1)"/>
      <w:numFmt w:val="lowerLetter"/>
      <w:start w:val="3"/>
    </w:lvl>
  </w:abstractNum>
  <w:abstractNum w:abstractNumId="147">
    <w:nsid w:val="631F1690"/>
    <w:multiLevelType w:val="hybridMultilevel"/>
    <w:lvl w:ilvl="0">
      <w:lvlJc w:val="left"/>
      <w:lvlText w:val="(%1)"/>
      <w:numFmt w:val="lowerRoman"/>
      <w:start w:val="1"/>
    </w:lvl>
  </w:abstractNum>
  <w:abstractNum w:abstractNumId="148">
    <w:nsid w:val="25973E32"/>
    <w:multiLevelType w:val="hybridMultilevel"/>
    <w:lvl w:ilvl="0">
      <w:lvlJc w:val="left"/>
      <w:lvlText w:val="(%1)"/>
      <w:numFmt w:val="lowerLetter"/>
      <w:start w:val="6"/>
    </w:lvl>
  </w:abstractNum>
  <w:abstractNum w:abstractNumId="149">
    <w:nsid w:val="EAD6F57"/>
    <w:multiLevelType w:val="hybridMultilevel"/>
    <w:lvl w:ilvl="0">
      <w:lvlJc w:val="left"/>
      <w:lvlText w:val="%1."/>
      <w:numFmt w:val="decimal"/>
      <w:start w:val="10"/>
    </w:lvl>
  </w:abstractNum>
  <w:abstractNum w:abstractNumId="150">
    <w:nsid w:val="6EC9D844"/>
    <w:multiLevelType w:val="hybridMultilevel"/>
    <w:lvl w:ilvl="0">
      <w:lvlJc w:val="left"/>
      <w:lvlText w:val="(%1)"/>
      <w:numFmt w:val="lowerLetter"/>
      <w:start w:val="1"/>
    </w:lvl>
  </w:abstractNum>
  <w:abstractNum w:abstractNumId="151">
    <w:nsid w:val="5C49EAEE"/>
    <w:multiLevelType w:val="hybridMultilevel"/>
    <w:lvl w:ilvl="0">
      <w:lvlJc w:val="left"/>
      <w:lvlText w:val="%1."/>
      <w:numFmt w:val="decimal"/>
      <w:start w:val="14"/>
    </w:lvl>
  </w:abstractNum>
  <w:abstractNum w:abstractNumId="152">
    <w:nsid w:val="64AF49B"/>
    <w:multiLevelType w:val="hybridMultilevel"/>
    <w:lvl w:ilvl="0">
      <w:lvlJc w:val="left"/>
      <w:lvlText w:val="%1."/>
      <w:numFmt w:val="decimal"/>
      <w:start w:val="17"/>
    </w:lvl>
  </w:abstractNum>
  <w:abstractNum w:abstractNumId="153">
    <w:nsid w:val="397C46BC"/>
    <w:multiLevelType w:val="hybridMultilevel"/>
    <w:lvl w:ilvl="0">
      <w:lvlJc w:val="left"/>
      <w:lvlText w:val="%1"/>
      <w:numFmt w:val="decimal"/>
      <w:start w:val="1"/>
    </w:lvl>
    <w:lvl w:ilvl="1">
      <w:lvlJc w:val="left"/>
      <w:lvlText w:val="%2."/>
      <w:numFmt w:val="decimal"/>
      <w:start w:val="24"/>
    </w:lvl>
  </w:abstractNum>
  <w:abstractNum w:abstractNumId="154">
    <w:nsid w:val="7E448DE9"/>
    <w:multiLevelType w:val="hybridMultilevel"/>
    <w:lvl w:ilvl="0">
      <w:lvlJc w:val="left"/>
      <w:lvlText w:val="(%1)"/>
      <w:numFmt w:val="decimal"/>
      <w:start w:val="3"/>
    </w:lvl>
    <w:lvl w:ilvl="1">
      <w:lvlJc w:val="left"/>
      <w:lvlText w:val="%2"/>
      <w:numFmt w:val="decimal"/>
      <w:start w:val="1"/>
    </w:lvl>
  </w:abstractNum>
  <w:abstractNum w:abstractNumId="155">
    <w:nsid w:val="5A9CC3E5"/>
    <w:multiLevelType w:val="hybridMultilevel"/>
    <w:lvl w:ilvl="0">
      <w:lvlJc w:val="left"/>
      <w:lvlText w:val="%1."/>
      <w:numFmt w:val="decimal"/>
      <w:start w:val="26"/>
    </w:lvl>
  </w:abstractNum>
  <w:abstractNum w:abstractNumId="156">
    <w:nsid w:val="1AFE3625"/>
    <w:multiLevelType w:val="hybridMultilevel"/>
    <w:lvl w:ilvl="0">
      <w:lvlJc w:val="left"/>
      <w:lvlText w:val="%1."/>
      <w:numFmt w:val="decimal"/>
      <w:start w:val="27"/>
    </w:lvl>
  </w:abstractNum>
  <w:abstractNum w:abstractNumId="157">
    <w:nsid w:val="3CA88ECF"/>
    <w:multiLevelType w:val="hybridMultilevel"/>
    <w:lvl w:ilvl="0">
      <w:lvlJc w:val="left"/>
      <w:lvlText w:val="%1."/>
      <w:numFmt w:val="decimal"/>
      <w:start w:val="1"/>
    </w:lvl>
  </w:abstractNum>
  <w:abstractNum w:abstractNumId="158">
    <w:nsid w:val="6EBE4208"/>
    <w:multiLevelType w:val="hybridMultilevel"/>
    <w:lvl w:ilvl="0">
      <w:lvlJc w:val="left"/>
      <w:lvlText w:val="%1."/>
      <w:numFmt w:val="decimal"/>
      <w:start w:val="1"/>
    </w:lvl>
  </w:abstractNum>
  <w:abstractNum w:abstractNumId="159">
    <w:nsid w:val="C058DF5"/>
    <w:multiLevelType w:val="hybridMultilevel"/>
    <w:lvl w:ilvl="0">
      <w:lvlJc w:val="left"/>
      <w:lvlText w:val="(%1)"/>
      <w:numFmt w:val="lowerLetter"/>
      <w:start w:val="1"/>
    </w:lvl>
  </w:abstractNum>
  <w:abstractNum w:abstractNumId="160">
    <w:nsid w:val="CBE5BE9"/>
    <w:multiLevelType w:val="hybridMultilevel"/>
    <w:lvl w:ilvl="0">
      <w:lvlJc w:val="left"/>
      <w:lvlText w:val="(%1)"/>
      <w:numFmt w:val="lowerLetter"/>
      <w:start w:val="3"/>
    </w:lvl>
  </w:abstractNum>
  <w:abstractNum w:abstractNumId="161">
    <w:nsid w:val="3102BBE2"/>
    <w:multiLevelType w:val="hybridMultilevel"/>
    <w:lvl w:ilvl="0">
      <w:lvlJc w:val="left"/>
      <w:lvlText w:val="%1."/>
      <w:numFmt w:val="decimal"/>
      <w:start w:val="5"/>
    </w:lvl>
  </w:abstractNum>
  <w:abstractNum w:abstractNumId="162">
    <w:nsid w:val="26A02C5E"/>
    <w:multiLevelType w:val="hybridMultilevel"/>
    <w:lvl w:ilvl="0">
      <w:lvlJc w:val="left"/>
      <w:lvlText w:val="(%1)"/>
      <w:numFmt w:val="lowerLetter"/>
      <w:start w:val="1"/>
    </w:lvl>
  </w:abstractNum>
  <w:abstractNum w:abstractNumId="163">
    <w:nsid w:val="541C8153"/>
    <w:multiLevelType w:val="hybridMultilevel"/>
    <w:lvl w:ilvl="0">
      <w:lvlJc w:val="left"/>
      <w:lvlText w:val="(%1)"/>
      <w:numFmt w:val="lowerLetter"/>
      <w:start w:val="2"/>
    </w:lvl>
    <w:lvl w:ilvl="1">
      <w:lvlJc w:val="left"/>
      <w:lvlText w:val="(%2)"/>
      <w:numFmt w:val="lowerLetter"/>
      <w:start w:val="9"/>
    </w:lvl>
  </w:abstractNum>
  <w:abstractNum w:abstractNumId="164">
    <w:nsid w:val="67906F60"/>
    <w:multiLevelType w:val="hybridMultilevel"/>
    <w:lvl w:ilvl="0">
      <w:lvlJc w:val="left"/>
      <w:lvlText w:val="(%1)"/>
      <w:numFmt w:val="lowerLetter"/>
      <w:start w:val="6"/>
    </w:lvl>
    <w:lvl w:ilvl="1">
      <w:lvlJc w:val="left"/>
      <w:lvlText w:val="(%2)"/>
      <w:numFmt w:val="lowerRoman"/>
      <w:start w:val="1"/>
    </w:lvl>
  </w:abstractNum>
  <w:abstractNum w:abstractNumId="165">
    <w:nsid w:val="10DB9DAA"/>
    <w:multiLevelType w:val="hybridMultilevel"/>
    <w:lvl w:ilvl="0">
      <w:lvlJc w:val="left"/>
      <w:lvlText w:val="%1."/>
      <w:numFmt w:val="decimal"/>
      <w:start w:val="8"/>
    </w:lvl>
  </w:abstractNum>
  <w:abstractNum w:abstractNumId="166">
    <w:nsid w:val="697D2D2"/>
    <w:multiLevelType w:val="hybridMultilevel"/>
    <w:lvl w:ilvl="0">
      <w:lvlJc w:val="left"/>
      <w:lvlText w:val="(%1)"/>
      <w:numFmt w:val="lowerLetter"/>
      <w:start w:val="1"/>
    </w:lvl>
    <w:lvl w:ilvl="1">
      <w:lvlJc w:val="left"/>
      <w:lvlText w:val="(%2)"/>
      <w:numFmt w:val="lowerRoman"/>
      <w:start w:val="1"/>
    </w:lvl>
  </w:abstractNum>
  <w:abstractNum w:abstractNumId="167">
    <w:nsid w:val="6D68AB2"/>
    <w:multiLevelType w:val="hybridMultilevel"/>
    <w:lvl w:ilvl="0">
      <w:lvlJc w:val="left"/>
      <w:lvlText w:val="(%1)"/>
      <w:numFmt w:val="lowerRoman"/>
      <w:start w:val="2"/>
    </w:lvl>
    <w:lvl w:ilvl="1">
      <w:lvlJc w:val="left"/>
      <w:lvlText w:val="(%2)"/>
      <w:numFmt w:val="upperLetter"/>
      <w:start w:val="2"/>
    </w:lvl>
  </w:abstractNum>
  <w:abstractNum w:abstractNumId="168">
    <w:nsid w:val="3A966CD0"/>
    <w:multiLevelType w:val="hybridMultilevel"/>
    <w:lvl w:ilvl="0">
      <w:lvlJc w:val="left"/>
      <w:lvlText w:val="(%1)"/>
      <w:numFmt w:val="lowerLetter"/>
      <w:start w:val="2"/>
    </w:lvl>
    <w:lvl w:ilvl="1">
      <w:lvlJc w:val="left"/>
      <w:lvlText w:val="(%2)"/>
      <w:numFmt w:val="lowerRoman"/>
      <w:start w:val="1"/>
    </w:lvl>
  </w:abstractNum>
  <w:abstractNum w:abstractNumId="169">
    <w:nsid w:val="63F37E85"/>
    <w:multiLevelType w:val="hybridMultilevel"/>
    <w:lvl w:ilvl="0">
      <w:lvlJc w:val="left"/>
      <w:lvlText w:val="(%1)"/>
      <w:numFmt w:val="lowerRoman"/>
      <w:start w:val="4"/>
    </w:lvl>
  </w:abstractNum>
  <w:abstractNum w:abstractNumId="170">
    <w:nsid w:val="5895F5FA"/>
    <w:multiLevelType w:val="hybridMultilevel"/>
    <w:lvl w:ilvl="0">
      <w:lvlJc w:val="left"/>
      <w:lvlText w:val="%1."/>
      <w:numFmt w:val="decimal"/>
      <w:start w:val="9"/>
    </w:lvl>
  </w:abstractNum>
  <w:abstractNum w:abstractNumId="171">
    <w:nsid w:val="38A5D054"/>
    <w:multiLevelType w:val="hybridMultilevel"/>
    <w:lvl w:ilvl="0">
      <w:lvlJc w:val="left"/>
      <w:lvlText w:val="(%1)"/>
      <w:numFmt w:val="lowerLetter"/>
      <w:start w:val="1"/>
    </w:lvl>
  </w:abstractNum>
  <w:abstractNum w:abstractNumId="172">
    <w:nsid w:val="F3F09D8"/>
    <w:multiLevelType w:val="hybridMultilevel"/>
    <w:lvl w:ilvl="0">
      <w:lvlJc w:val="left"/>
      <w:lvlText w:val="(%1)"/>
      <w:numFmt w:val="lowerLetter"/>
      <w:start w:val="2"/>
    </w:lvl>
  </w:abstractNum>
  <w:abstractNum w:abstractNumId="173">
    <w:nsid w:val="4B793735"/>
    <w:multiLevelType w:val="hybridMultilevel"/>
    <w:lvl w:ilvl="0">
      <w:lvlJc w:val="left"/>
      <w:lvlText w:val="(%1)"/>
      <w:numFmt w:val="lowerLetter"/>
      <w:start w:val="3"/>
    </w:lvl>
  </w:abstractNum>
  <w:abstractNum w:abstractNumId="174">
    <w:nsid w:val="4A10B4E8"/>
    <w:multiLevelType w:val="hybridMultilevel"/>
    <w:lvl w:ilvl="0">
      <w:lvlJc w:val="left"/>
      <w:lvlText w:val="(%1)"/>
      <w:numFmt w:val="lowerRoman"/>
      <w:start w:val="1"/>
    </w:lvl>
  </w:abstractNum>
  <w:abstractNum w:abstractNumId="175">
    <w:nsid w:val="43D3BCD4"/>
    <w:multiLevelType w:val="hybridMultilevel"/>
    <w:lvl w:ilvl="0">
      <w:lvlJc w:val="left"/>
      <w:lvlText w:val="(%1)"/>
      <w:numFmt w:val="lowerLetter"/>
      <w:start w:val="6"/>
    </w:lvl>
  </w:abstractNum>
  <w:abstractNum w:abstractNumId="176">
    <w:nsid w:val="4C2A7166"/>
    <w:multiLevelType w:val="hybridMultilevel"/>
    <w:lvl w:ilvl="0">
      <w:lvlJc w:val="left"/>
      <w:lvlText w:val="%1."/>
      <w:numFmt w:val="decimal"/>
      <w:start w:val="10"/>
    </w:lvl>
  </w:abstractNum>
  <w:abstractNum w:abstractNumId="177">
    <w:nsid w:val="2E534A82"/>
    <w:multiLevelType w:val="hybridMultilevel"/>
    <w:lvl w:ilvl="0">
      <w:lvlJc w:val="left"/>
      <w:lvlText w:val="(%1)"/>
      <w:numFmt w:val="lowerLetter"/>
      <w:start w:val="1"/>
    </w:lvl>
  </w:abstractNum>
  <w:abstractNum w:abstractNumId="178">
    <w:nsid w:val="26F2D364"/>
    <w:multiLevelType w:val="hybridMultilevel"/>
    <w:lvl w:ilvl="0">
      <w:lvlJc w:val="left"/>
      <w:lvlText w:val="%1."/>
      <w:numFmt w:val="decimal"/>
      <w:start w:val="14"/>
    </w:lvl>
  </w:abstractNum>
  <w:abstractNum w:abstractNumId="179">
    <w:nsid w:val="71C1AF98"/>
    <w:multiLevelType w:val="hybridMultilevel"/>
    <w:lvl w:ilvl="0">
      <w:lvlJc w:val="left"/>
      <w:lvlText w:val="%1."/>
      <w:numFmt w:val="decimal"/>
      <w:start w:val="17"/>
    </w:lvl>
  </w:abstractNum>
  <w:abstractNum w:abstractNumId="180">
    <w:nsid w:val="3D00B9D9"/>
    <w:multiLevelType w:val="hybridMultilevel"/>
    <w:lvl w:ilvl="0">
      <w:lvlJc w:val="left"/>
      <w:lvlText w:val="%1"/>
      <w:numFmt w:val="decimal"/>
      <w:start w:val="1"/>
    </w:lvl>
    <w:lvl w:ilvl="1">
      <w:lvlJc w:val="left"/>
      <w:lvlText w:val="%2."/>
      <w:numFmt w:val="decimal"/>
      <w:start w:val="24"/>
    </w:lvl>
  </w:abstractNum>
  <w:abstractNum w:abstractNumId="181">
    <w:nsid w:val="15BCABA8"/>
    <w:multiLevelType w:val="hybridMultilevel"/>
    <w:lvl w:ilvl="0">
      <w:lvlJc w:val="left"/>
      <w:lvlText w:val="(%1)"/>
      <w:numFmt w:val="decimal"/>
      <w:start w:val="3"/>
    </w:lvl>
    <w:lvl w:ilvl="1">
      <w:lvlJc w:val="left"/>
      <w:lvlText w:val="%2"/>
      <w:numFmt w:val="decimal"/>
      <w:start w:val="1"/>
    </w:lvl>
  </w:abstractNum>
  <w:abstractNum w:abstractNumId="182">
    <w:nsid w:val="4E0B9A87"/>
    <w:multiLevelType w:val="hybridMultilevel"/>
    <w:lvl w:ilvl="0">
      <w:lvlJc w:val="left"/>
      <w:lvlText w:val="%1."/>
      <w:numFmt w:val="decimal"/>
      <w:start w:val="26"/>
    </w:lvl>
  </w:abstractNum>
  <w:abstractNum w:abstractNumId="183">
    <w:nsid w:val="434BAE75"/>
    <w:multiLevelType w:val="hybridMultilevel"/>
    <w:lvl w:ilvl="0">
      <w:lvlJc w:val="left"/>
      <w:lvlText w:val="%1."/>
      <w:numFmt w:val="decimal"/>
      <w:start w:val="27"/>
    </w:lvl>
  </w:abstractNum>
  <w:abstractNum w:abstractNumId="184">
    <w:nsid w:val="4F38F265"/>
    <w:multiLevelType w:val="hybridMultilevel"/>
    <w:lvl w:ilvl="0">
      <w:lvlJc w:val="left"/>
      <w:lvlText w:val="%1."/>
      <w:numFmt w:val="decimal"/>
      <w:start w:val="1"/>
    </w:lvl>
  </w:abstractNum>
  <w:abstractNum w:abstractNumId="185">
    <w:nsid w:val="4C502870"/>
    <w:multiLevelType w:val="hybridMultilevel"/>
    <w:lvl w:ilvl="0">
      <w:lvlJc w:val="left"/>
      <w:lvlText w:val="(%1)"/>
      <w:numFmt w:val="lowerLetter"/>
      <w:start w:val="1"/>
    </w:lvl>
  </w:abstractNum>
  <w:abstractNum w:abstractNumId="186">
    <w:nsid w:val="1DE8725A"/>
    <w:multiLevelType w:val="hybridMultilevel"/>
    <w:lvl w:ilvl="0">
      <w:lvlJc w:val="left"/>
      <w:lvlText w:val="(%1)"/>
      <w:numFmt w:val="lowerLetter"/>
      <w:start w:val="3"/>
    </w:lvl>
  </w:abstractNum>
  <w:abstractNum w:abstractNumId="187">
    <w:nsid w:val="6A37288A"/>
    <w:multiLevelType w:val="hybridMultilevel"/>
    <w:lvl w:ilvl="0">
      <w:lvlJc w:val="left"/>
      <w:lvlText w:val="%1."/>
      <w:numFmt w:val="decimal"/>
      <w:start w:val="5"/>
    </w:lvl>
  </w:abstractNum>
  <w:abstractNum w:abstractNumId="188">
    <w:nsid w:val="8F8B73F"/>
    <w:multiLevelType w:val="hybridMultilevel"/>
    <w:lvl w:ilvl="0">
      <w:lvlJc w:val="left"/>
      <w:lvlText w:val="(%1)"/>
      <w:numFmt w:val="lowerLetter"/>
      <w:start w:val="1"/>
    </w:lvl>
  </w:abstractNum>
  <w:abstractNum w:abstractNumId="189">
    <w:nsid w:val="CA6B462"/>
    <w:multiLevelType w:val="hybridMultilevel"/>
    <w:lvl w:ilvl="0">
      <w:lvlJc w:val="left"/>
      <w:lvlText w:val="(%1)"/>
      <w:numFmt w:val="lowerLetter"/>
      <w:start w:val="2"/>
    </w:lvl>
    <w:lvl w:ilvl="1">
      <w:lvlJc w:val="left"/>
      <w:lvlText w:val="(%2)"/>
      <w:numFmt w:val="lowerLetter"/>
      <w:start w:val="9"/>
    </w:lvl>
  </w:abstractNum>
  <w:abstractNum w:abstractNumId="190">
    <w:nsid w:val="763CB680"/>
    <w:multiLevelType w:val="hybridMultilevel"/>
    <w:lvl w:ilvl="0">
      <w:lvlJc w:val="left"/>
      <w:lvlText w:val="(%1)"/>
      <w:numFmt w:val="lowerLetter"/>
      <w:start w:val="6"/>
    </w:lvl>
    <w:lvl w:ilvl="1">
      <w:lvlJc w:val="left"/>
      <w:lvlText w:val="(%2)"/>
      <w:numFmt w:val="lowerRoman"/>
      <w:start w:val="1"/>
    </w:lvl>
  </w:abstractNum>
  <w:abstractNum w:abstractNumId="191">
    <w:nsid w:val="15B71329"/>
    <w:multiLevelType w:val="hybridMultilevel"/>
    <w:lvl w:ilvl="0">
      <w:lvlJc w:val="left"/>
      <w:lvlText w:val="(%1)"/>
      <w:numFmt w:val="decimal"/>
      <w:start w:val="90"/>
    </w:lvl>
  </w:abstractNum>
  <w:abstractNum w:abstractNumId="192">
    <w:nsid w:val="3DA97044"/>
    <w:multiLevelType w:val="hybridMultilevel"/>
    <w:lvl w:ilvl="0">
      <w:lvlJc w:val="left"/>
      <w:lvlText w:val="(%1)"/>
      <w:numFmt w:val="lowerLetter"/>
      <w:start w:val="1"/>
    </w:lvl>
    <w:lvl w:ilvl="1">
      <w:lvlJc w:val="left"/>
      <w:lvlText w:val="(%2)"/>
      <w:numFmt w:val="lowerRoman"/>
      <w:start w:val="1"/>
    </w:lvl>
  </w:abstractNum>
  <w:abstractNum w:abstractNumId="193">
    <w:nsid w:val="1CDCE2DE"/>
    <w:multiLevelType w:val="hybridMultilevel"/>
    <w:lvl w:ilvl="0">
      <w:lvlJc w:val="left"/>
      <w:lvlText w:val="(%1)"/>
      <w:numFmt w:val="lowerRoman"/>
      <w:start w:val="2"/>
    </w:lvl>
    <w:lvl w:ilvl="1">
      <w:lvlJc w:val="left"/>
      <w:lvlText w:val="(%2)"/>
      <w:numFmt w:val="upperLetter"/>
      <w:start w:val="2"/>
    </w:lvl>
  </w:abstractNum>
  <w:abstractNum w:abstractNumId="194">
    <w:nsid w:val="69D3947C"/>
    <w:multiLevelType w:val="hybridMultilevel"/>
    <w:lvl w:ilvl="0">
      <w:lvlJc w:val="left"/>
      <w:lvlText w:val="(%1)"/>
      <w:numFmt w:val="lowerLetter"/>
      <w:start w:val="2"/>
    </w:lvl>
    <w:lvl w:ilvl="1">
      <w:lvlJc w:val="left"/>
      <w:lvlText w:val="(%2)"/>
      <w:numFmt w:val="lowerRoman"/>
      <w:start w:val="1"/>
    </w:lvl>
  </w:abstractNum>
  <w:abstractNum w:abstractNumId="195">
    <w:nsid w:val="2539DFA5"/>
    <w:multiLevelType w:val="hybridMultilevel"/>
    <w:lvl w:ilvl="0">
      <w:lvlJc w:val="left"/>
      <w:lvlText w:val="(%1)"/>
      <w:numFmt w:val="lowerRoman"/>
      <w:start w:val="4"/>
    </w:lvl>
  </w:abstractNum>
  <w:abstractNum w:abstractNumId="196">
    <w:nsid w:val="2DB88089"/>
    <w:multiLevelType w:val="hybridMultilevel"/>
    <w:lvl w:ilvl="0">
      <w:lvlJc w:val="left"/>
      <w:lvlText w:val="(%1)"/>
      <w:numFmt w:val="lowerLetter"/>
      <w:start w:val="1"/>
    </w:lvl>
  </w:abstractNum>
  <w:abstractNum w:abstractNumId="197">
    <w:nsid w:val="706B674E"/>
    <w:multiLevelType w:val="hybridMultilevel"/>
    <w:lvl w:ilvl="0">
      <w:lvlJc w:val="left"/>
      <w:lvlText w:val="(%1)"/>
      <w:numFmt w:val="lowerLetter"/>
      <w:start w:val="2"/>
    </w:lvl>
  </w:abstractNum>
  <w:abstractNum w:abstractNumId="198">
    <w:nsid w:val="2C106A57"/>
    <w:multiLevelType w:val="hybridMultilevel"/>
    <w:lvl w:ilvl="0">
      <w:lvlJc w:val="left"/>
      <w:lvlText w:val="(%1)"/>
      <w:numFmt w:val="lowerLetter"/>
      <w:start w:val="3"/>
    </w:lvl>
  </w:abstractNum>
  <w:abstractNum w:abstractNumId="199">
    <w:nsid w:val="684EED59"/>
    <w:multiLevelType w:val="hybridMultilevel"/>
    <w:lvl w:ilvl="0">
      <w:lvlJc w:val="left"/>
      <w:lvlText w:val="(%1)"/>
      <w:numFmt w:val="lowerRoman"/>
      <w:start w:val="1"/>
    </w:lvl>
  </w:abstractNum>
  <w:abstractNum w:abstractNumId="200">
    <w:nsid w:val="545EE5D3"/>
    <w:multiLevelType w:val="hybridMultilevel"/>
    <w:lvl w:ilvl="0">
      <w:lvlJc w:val="left"/>
      <w:lvlText w:val="(%1)"/>
      <w:numFmt w:val="lowerLetter"/>
      <w:start w:val="6"/>
    </w:lvl>
  </w:abstractNum>
  <w:abstractNum w:abstractNumId="201">
    <w:nsid w:val="4A66051"/>
    <w:multiLevelType w:val="hybridMultilevel"/>
    <w:lvl w:ilvl="0">
      <w:lvlJc w:val="left"/>
      <w:lvlText w:val="%1."/>
      <w:numFmt w:val="decimal"/>
      <w:start w:val="10"/>
    </w:lvl>
  </w:abstractNum>
  <w:abstractNum w:abstractNumId="202">
    <w:nsid w:val="20F4BDAD"/>
    <w:multiLevelType w:val="hybridMultilevel"/>
    <w:lvl w:ilvl="0">
      <w:lvlJc w:val="left"/>
      <w:lvlText w:val="(%1)"/>
      <w:numFmt w:val="lowerLetter"/>
      <w:start w:val="1"/>
    </w:lvl>
  </w:abstractNum>
  <w:abstractNum w:abstractNumId="203">
    <w:nsid w:val="639DEFAC"/>
    <w:multiLevelType w:val="hybridMultilevel"/>
    <w:lvl w:ilvl="0">
      <w:lvlJc w:val="left"/>
      <w:lvlText w:val="%1."/>
      <w:numFmt w:val="decimal"/>
      <w:start w:val="14"/>
    </w:lvl>
  </w:abstractNum>
  <w:abstractNum w:abstractNumId="204">
    <w:nsid w:val="501F9786"/>
    <w:multiLevelType w:val="hybridMultilevel"/>
    <w:lvl w:ilvl="0">
      <w:lvlJc w:val="left"/>
      <w:lvlText w:val="%1."/>
      <w:numFmt w:val="decimal"/>
      <w:start w:val="17"/>
    </w:lvl>
  </w:abstractNum>
  <w:abstractNum w:abstractNumId="205">
    <w:nsid w:val="6B057295"/>
    <w:multiLevelType w:val="hybridMultilevel"/>
    <w:lvl w:ilvl="0">
      <w:lvlJc w:val="left"/>
      <w:lvlText w:val="%1"/>
      <w:numFmt w:val="decimal"/>
      <w:start w:val="1"/>
    </w:lvl>
    <w:lvl w:ilvl="1">
      <w:lvlJc w:val="left"/>
      <w:lvlText w:val="%2."/>
      <w:numFmt w:val="decimal"/>
      <w:start w:val="24"/>
    </w:lvl>
  </w:abstractNum>
  <w:abstractNum w:abstractNumId="206">
    <w:nsid w:val="2771AC80"/>
    <w:multiLevelType w:val="hybridMultilevel"/>
    <w:lvl w:ilvl="0">
      <w:lvlJc w:val="left"/>
      <w:lvlText w:val="(%1)"/>
      <w:numFmt w:val="decimal"/>
      <w:start w:val="3"/>
    </w:lvl>
    <w:lvl w:ilvl="1">
      <w:lvlJc w:val="left"/>
      <w:lvlText w:val="%2"/>
      <w:numFmt w:val="decimal"/>
      <w:start w:val="1"/>
    </w:lvl>
  </w:abstractNum>
  <w:abstractNum w:abstractNumId="207">
    <w:nsid w:val="1C4A08EC"/>
    <w:multiLevelType w:val="hybridMultilevel"/>
    <w:lvl w:ilvl="0">
      <w:lvlJc w:val="left"/>
      <w:lvlText w:val="%1."/>
      <w:numFmt w:val="decimal"/>
      <w:start w:val="26"/>
    </w:lvl>
  </w:abstractNum>
  <w:abstractNum w:abstractNumId="208">
    <w:nsid w:val="1958BD17"/>
    <w:multiLevelType w:val="hybridMultilevel"/>
    <w:lvl w:ilvl="0">
      <w:lvlJc w:val="left"/>
      <w:lvlText w:val="%1."/>
      <w:numFmt w:val="decimal"/>
      <w:start w:val="27"/>
    </w:lvl>
  </w:abstractNum>
  <w:abstractNum w:abstractNumId="209">
    <w:nsid w:val="4E647FE4"/>
    <w:multiLevelType w:val="hybridMultilevel"/>
    <w:lvl w:ilvl="0">
      <w:lvlJc w:val="left"/>
      <w:lvlText w:val="-"/>
      <w:numFmt w:val="bullet"/>
      <w:start w:val="1"/>
    </w:lvl>
  </w:abstractNum>
  <w:abstractNum w:abstractNumId="210">
    <w:nsid w:val="E0BB885"/>
    <w:multiLevelType w:val="hybridMultilevel"/>
    <w:lvl w:ilvl="0">
      <w:lvlJc w:val="left"/>
      <w:lvlText w:val="-"/>
      <w:numFmt w:val="bullet"/>
      <w:start w:val="1"/>
    </w:lvl>
  </w:abstractNum>
  <w:abstractNum w:abstractNumId="211">
    <w:nsid w:val="565976F1"/>
    <w:multiLevelType w:val="hybridMultilevel"/>
    <w:lvl w:ilvl="0">
      <w:lvlJc w:val="left"/>
      <w:lvlText w:val="(%1)"/>
      <w:numFmt w:val="lowerLetter"/>
      <w:start w:val="1"/>
    </w:lvl>
  </w:abstractNum>
  <w:abstractNum w:abstractNumId="212">
    <w:nsid w:val="64212B8C"/>
    <w:multiLevelType w:val="hybridMultilevel"/>
    <w:lvl w:ilvl="0">
      <w:lvlJc w:val="left"/>
      <w:lvlText w:val="(%1)"/>
      <w:numFmt w:val="lowerLetter"/>
      <w:start w:val="3"/>
    </w:lvl>
  </w:abstractNum>
  <w:abstractNum w:abstractNumId="213">
    <w:nsid w:val="5C17530C"/>
    <w:multiLevelType w:val="hybridMultilevel"/>
    <w:lvl w:ilvl="0">
      <w:lvlJc w:val="left"/>
      <w:lvlText w:val="(%1)"/>
      <w:numFmt w:val="lowerLetter"/>
      <w:start w:val="35"/>
    </w:lvl>
  </w:abstractNum>
  <w:abstractNum w:abstractNumId="214">
    <w:nsid w:val="19A52566"/>
    <w:multiLevelType w:val="hybridMultilevel"/>
    <w:lvl w:ilvl="0">
      <w:lvlJc w:val="left"/>
      <w:lvlText w:val="(%1)"/>
      <w:numFmt w:val="lowerLetter"/>
      <w:start w:val="1"/>
    </w:lvl>
    <w:lvl w:ilvl="1">
      <w:lvlJc w:val="left"/>
      <w:lvlText w:val="(%2)"/>
      <w:numFmt w:val="lowerLetter"/>
      <w:start w:val="9"/>
    </w:lvl>
  </w:abstractNum>
  <w:abstractNum w:abstractNumId="215">
    <w:nsid w:val="335A1DF1"/>
    <w:multiLevelType w:val="hybridMultilevel"/>
    <w:lvl w:ilvl="0">
      <w:lvlJc w:val="left"/>
      <w:lvlText w:val="(%1)"/>
      <w:numFmt w:val="lowerRoman"/>
      <w:start w:val="2"/>
    </w:lvl>
  </w:abstractNum>
  <w:abstractNum w:abstractNumId="216">
    <w:nsid w:val="28677B7C"/>
    <w:multiLevelType w:val="hybridMultilevel"/>
    <w:lvl w:ilvl="0">
      <w:lvlJc w:val="left"/>
      <w:lvlText w:val="%1"/>
      <w:numFmt w:val="lowerLetter"/>
      <w:start w:val="1"/>
    </w:lvl>
    <w:lvl w:ilvl="1">
      <w:lvlJc w:val="left"/>
      <w:lvlText w:val="(%2)"/>
      <w:numFmt w:val="lowerLetter"/>
      <w:start w:val="3"/>
    </w:lvl>
  </w:abstractNum>
  <w:abstractNum w:abstractNumId="217">
    <w:nsid w:val="378D97C0"/>
    <w:multiLevelType w:val="hybridMultilevel"/>
    <w:lvl w:ilvl="0">
      <w:lvlJc w:val="left"/>
      <w:lvlText w:val="(%1)"/>
      <w:numFmt w:val="lowerLetter"/>
      <w:start w:val="35"/>
    </w:lvl>
    <w:lvl w:ilvl="1">
      <w:lvlJc w:val="left"/>
      <w:lvlText w:val="(%2)"/>
      <w:numFmt w:val="lowerLetter"/>
      <w:start w:val="4"/>
    </w:lvl>
  </w:abstractNum>
  <w:abstractNum w:abstractNumId="218">
    <w:nsid w:val="1D91467C"/>
    <w:multiLevelType w:val="hybridMultilevel"/>
    <w:lvl w:ilvl="0">
      <w:lvlJc w:val="left"/>
      <w:lvlText w:val="(%1)"/>
      <w:numFmt w:val="lowerLetter"/>
      <w:start w:val="1"/>
    </w:lvl>
  </w:abstractNum>
  <w:abstractNum w:abstractNumId="219">
    <w:nsid w:val="316032BB"/>
    <w:multiLevelType w:val="hybridMultilevel"/>
    <w:lvl w:ilvl="0">
      <w:lvlJc w:val="left"/>
      <w:lvlText w:val="(%1)"/>
      <w:numFmt w:val="lowerLetter"/>
      <w:start w:val="2"/>
    </w:lvl>
  </w:abstractNum>
  <w:abstractNum w:abstractNumId="220">
    <w:nsid w:val="44344C22"/>
    <w:multiLevelType w:val="hybridMultilevel"/>
    <w:lvl w:ilvl="0">
      <w:lvlJc w:val="left"/>
      <w:lvlText w:val="(%1)"/>
      <w:numFmt w:val="lowerLetter"/>
      <w:start w:val="1"/>
    </w:lvl>
  </w:abstractNum>
  <w:abstractNum w:abstractNumId="221">
    <w:nsid w:val="13CDFCFC"/>
    <w:multiLevelType w:val="hybridMultilevel"/>
    <w:lvl w:ilvl="0">
      <w:lvlJc w:val="left"/>
      <w:lvlText w:val="(%1)"/>
      <w:numFmt w:val="lowerLetter"/>
      <w:start w:val="4"/>
    </w:lvl>
  </w:abstractNum>
  <w:abstractNum w:abstractNumId="222">
    <w:nsid w:val="471745E4"/>
    <w:multiLevelType w:val="hybridMultilevel"/>
    <w:lvl w:ilvl="0">
      <w:lvlJc w:val="left"/>
      <w:lvlText w:val="-"/>
      <w:numFmt w:val="bullet"/>
      <w:start w:val="1"/>
    </w:lvl>
  </w:abstractNum>
  <w:abstractNum w:abstractNumId="223">
    <w:nsid w:val="1DDBC66"/>
    <w:multiLevelType w:val="hybridMultilevel"/>
    <w:lvl w:ilvl="0">
      <w:lvlJc w:val="left"/>
      <w:lvlText w:val="-"/>
      <w:numFmt w:val="bullet"/>
      <w:start w:val="1"/>
    </w:lvl>
  </w:abstractNum>
  <w:abstractNum w:abstractNumId="224">
    <w:nsid w:val="30AADFDA"/>
    <w:multiLevelType w:val="hybridMultilevel"/>
    <w:lvl w:ilvl="0">
      <w:lvlJc w:val="left"/>
      <w:lvlText w:val="%1."/>
      <w:numFmt w:val="decimal"/>
      <w:start w:val="1"/>
    </w:lvl>
    <w:lvl w:ilvl="1">
      <w:lvlJc w:val="left"/>
      <w:lvlText w:val="%2)"/>
      <w:numFmt w:val="lowerLetter"/>
      <w:start w:val="1"/>
    </w:lvl>
  </w:abstractNum>
  <w:abstractNum w:abstractNumId="225">
    <w:nsid w:val="30EADA61"/>
    <w:multiLevelType w:val="hybridMultilevel"/>
    <w:lvl w:ilvl="0">
      <w:lvlJc w:val="left"/>
      <w:lvlText w:val="%1."/>
      <w:numFmt w:val="decimal"/>
      <w:start w:val="1"/>
    </w:lvl>
    <w:lvl w:ilvl="1">
      <w:lvlJc w:val="left"/>
      <w:lvlText w:val="%2)"/>
      <w:numFmt w:val="lowerLetter"/>
      <w:start w:val="1"/>
    </w:lvl>
  </w:abstractNum>
  <w:abstractNum w:abstractNumId="226">
    <w:nsid w:val="27179C0B"/>
    <w:multiLevelType w:val="hybridMultilevel"/>
    <w:lvl w:ilvl="0">
      <w:lvlJc w:val="left"/>
      <w:lvlText w:val="%1."/>
      <w:numFmt w:val="decimal"/>
      <w:start w:val="1"/>
    </w:lvl>
  </w:abstractNum>
  <w:abstractNum w:abstractNumId="227">
    <w:nsid w:val="5E6360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2019-12-15T10:12:11Z</dcterms:created>
  <dcterms:modified xsi:type="dcterms:W3CDTF">2019-12-15T10:12:11Z</dcterms:modified>
</cp:coreProperties>
</file>