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 Ended March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6580" w:type="dxa"/>
            <w:vAlign w:val="bottom"/>
            <w:tcBorders>
              <w:top w:val="single" w:sz="8" w:color="auto"/>
            </w:tcBorders>
          </w:tcPr>
          <w:p>
            <w:pPr>
              <w:jc w:val="center"/>
              <w:ind w:left="2450"/>
              <w:spacing w:after="0"/>
              <w:rPr>
                <w:sz w:val="20"/>
                <w:szCs w:val="20"/>
                <w:color w:val="auto"/>
              </w:rPr>
            </w:pPr>
            <w:r>
              <w:rPr>
                <w:rFonts w:ascii="Arial" w:cs="Arial" w:eastAsia="Arial" w:hAnsi="Arial"/>
                <w:sz w:val="18"/>
                <w:szCs w:val="18"/>
                <w:color w:val="auto"/>
                <w:w w:val="90"/>
              </w:rPr>
              <w:t>(Exact name of registrant as specified in its charter)</w:t>
            </w:r>
          </w:p>
        </w:tc>
        <w:tc>
          <w:tcPr>
            <w:tcW w:w="254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411"/>
        </w:trPr>
        <w:tc>
          <w:tcPr>
            <w:tcW w:w="11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jc w:val="center"/>
              <w:ind w:right="3370"/>
              <w:spacing w:after="0"/>
              <w:rPr>
                <w:sz w:val="20"/>
                <w:szCs w:val="20"/>
                <w:color w:val="auto"/>
              </w:rPr>
            </w:pPr>
            <w:r>
              <w:rPr>
                <w:rFonts w:ascii="Arial" w:cs="Arial" w:eastAsia="Arial" w:hAnsi="Arial"/>
                <w:sz w:val="18"/>
                <w:szCs w:val="18"/>
                <w:color w:val="auto"/>
                <w:w w:val="89"/>
              </w:rPr>
              <w:t>Delaware</w:t>
            </w:r>
          </w:p>
        </w:tc>
        <w:tc>
          <w:tcPr>
            <w:tcW w:w="25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16-1725106</w:t>
            </w:r>
          </w:p>
        </w:tc>
        <w:tc>
          <w:tcPr>
            <w:tcW w:w="1140" w:type="dxa"/>
            <w:vAlign w:val="bottom"/>
            <w:tcBorders>
              <w:bottom w:val="single" w:sz="8" w:color="auto"/>
            </w:tcBorders>
          </w:tcPr>
          <w:p>
            <w:pPr>
              <w:spacing w:after="0"/>
              <w:rPr>
                <w:sz w:val="24"/>
                <w:szCs w:val="24"/>
                <w:color w:val="auto"/>
              </w:rPr>
            </w:pPr>
          </w:p>
        </w:tc>
      </w:tr>
      <w:tr>
        <w:trPr>
          <w:trHeight w:val="209"/>
        </w:trPr>
        <w:tc>
          <w:tcPr>
            <w:tcW w:w="1160" w:type="dxa"/>
            <w:vAlign w:val="bottom"/>
          </w:tcPr>
          <w:p>
            <w:pPr>
              <w:spacing w:after="0"/>
              <w:rPr>
                <w:sz w:val="18"/>
                <w:szCs w:val="18"/>
                <w:color w:val="auto"/>
              </w:rPr>
            </w:pPr>
          </w:p>
        </w:tc>
        <w:tc>
          <w:tcPr>
            <w:tcW w:w="6580" w:type="dxa"/>
            <w:vAlign w:val="bottom"/>
          </w:tcPr>
          <w:p>
            <w:pPr>
              <w:ind w:left="480"/>
              <w:spacing w:after="0"/>
              <w:rPr>
                <w:sz w:val="20"/>
                <w:szCs w:val="20"/>
                <w:color w:val="auto"/>
              </w:rPr>
            </w:pPr>
            <w:r>
              <w:rPr>
                <w:rFonts w:ascii="Arial" w:cs="Arial" w:eastAsia="Arial" w:hAnsi="Arial"/>
                <w:sz w:val="18"/>
                <w:szCs w:val="18"/>
                <w:color w:val="auto"/>
              </w:rPr>
              <w:t>(State or other jurisdiction of</w:t>
            </w:r>
          </w:p>
        </w:tc>
        <w:tc>
          <w:tcPr>
            <w:tcW w:w="2540" w:type="dxa"/>
            <w:vAlign w:val="bottom"/>
          </w:tcPr>
          <w:p>
            <w:pPr>
              <w:jc w:val="center"/>
              <w:ind w:right="510"/>
              <w:spacing w:after="0"/>
              <w:rPr>
                <w:sz w:val="20"/>
                <w:szCs w:val="20"/>
                <w:color w:val="auto"/>
              </w:rPr>
            </w:pPr>
            <w:r>
              <w:rPr>
                <w:rFonts w:ascii="Arial" w:cs="Arial" w:eastAsia="Arial" w:hAnsi="Arial"/>
                <w:sz w:val="18"/>
                <w:szCs w:val="18"/>
                <w:color w:val="auto"/>
                <w:w w:val="92"/>
              </w:rPr>
              <w:t>(I.R.S. Employer</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6580" w:type="dxa"/>
            <w:vAlign w:val="bottom"/>
          </w:tcPr>
          <w:p>
            <w:pPr>
              <w:jc w:val="center"/>
              <w:ind w:right="3370"/>
              <w:spacing w:after="0"/>
              <w:rPr>
                <w:sz w:val="20"/>
                <w:szCs w:val="20"/>
                <w:color w:val="auto"/>
              </w:rPr>
            </w:pPr>
            <w:r>
              <w:rPr>
                <w:rFonts w:ascii="Arial" w:cs="Arial" w:eastAsia="Arial" w:hAnsi="Arial"/>
                <w:sz w:val="18"/>
                <w:szCs w:val="18"/>
                <w:color w:val="auto"/>
                <w:w w:val="92"/>
              </w:rPr>
              <w:t>incorporation or organization)</w:t>
            </w:r>
          </w:p>
        </w:tc>
        <w:tc>
          <w:tcPr>
            <w:tcW w:w="2540" w:type="dxa"/>
            <w:vAlign w:val="bottom"/>
          </w:tcPr>
          <w:p>
            <w:pPr>
              <w:jc w:val="center"/>
              <w:ind w:right="510"/>
              <w:spacing w:after="0"/>
              <w:rPr>
                <w:sz w:val="20"/>
                <w:szCs w:val="20"/>
                <w:color w:val="auto"/>
              </w:rPr>
            </w:pPr>
            <w:r>
              <w:rPr>
                <w:rFonts w:ascii="Arial" w:cs="Arial" w:eastAsia="Arial" w:hAnsi="Arial"/>
                <w:sz w:val="18"/>
                <w:szCs w:val="18"/>
                <w:color w:val="auto"/>
                <w:w w:val="94"/>
              </w:rPr>
              <w:t>Identification Number)</w:t>
            </w:r>
          </w:p>
        </w:tc>
        <w:tc>
          <w:tcPr>
            <w:tcW w:w="1140" w:type="dxa"/>
            <w:vAlign w:val="bottom"/>
          </w:tcPr>
          <w:p>
            <w:pPr>
              <w:spacing w:after="0"/>
              <w:rPr>
                <w:sz w:val="20"/>
                <w:szCs w:val="20"/>
                <w:color w:val="auto"/>
              </w:rPr>
            </w:pPr>
          </w:p>
        </w:tc>
      </w:tr>
      <w:tr>
        <w:trPr>
          <w:trHeight w:val="432"/>
        </w:trPr>
        <w:tc>
          <w:tcPr>
            <w:tcW w:w="7740" w:type="dxa"/>
            <w:vAlign w:val="bottom"/>
            <w:tcBorders>
              <w:bottom w:val="single" w:sz="8" w:color="auto"/>
            </w:tcBorders>
            <w:gridSpan w:val="2"/>
          </w:tcPr>
          <w:p>
            <w:pPr>
              <w:jc w:val="center"/>
              <w:ind w:right="2230"/>
              <w:spacing w:after="0"/>
              <w:rPr>
                <w:sz w:val="20"/>
                <w:szCs w:val="20"/>
                <w:color w:val="auto"/>
              </w:rPr>
            </w:pPr>
            <w:r>
              <w:rPr>
                <w:rFonts w:ascii="Arial" w:cs="Arial" w:eastAsia="Arial" w:hAnsi="Arial"/>
                <w:sz w:val="18"/>
                <w:szCs w:val="18"/>
                <w:color w:val="auto"/>
                <w:w w:val="91"/>
              </w:rPr>
              <w:t>601 Riverside Avenue, Jacksonville, Florida</w:t>
            </w:r>
          </w:p>
        </w:tc>
        <w:tc>
          <w:tcPr>
            <w:tcW w:w="25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32204</w:t>
            </w:r>
          </w:p>
        </w:tc>
        <w:tc>
          <w:tcPr>
            <w:tcW w:w="1140" w:type="dxa"/>
            <w:vAlign w:val="bottom"/>
            <w:tcBorders>
              <w:bottom w:val="single" w:sz="8" w:color="auto"/>
            </w:tcBorders>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6580" w:type="dxa"/>
            <w:vAlign w:val="bottom"/>
          </w:tcPr>
          <w:p>
            <w:pPr>
              <w:jc w:val="center"/>
              <w:ind w:right="339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ind w:right="530"/>
              <w:spacing w:after="0"/>
              <w:rPr>
                <w:sz w:val="20"/>
                <w:szCs w:val="20"/>
                <w:color w:val="auto"/>
              </w:rPr>
            </w:pPr>
            <w:r>
              <w:rPr>
                <w:rFonts w:ascii="Arial" w:cs="Arial" w:eastAsia="Arial" w:hAnsi="Arial"/>
                <w:sz w:val="18"/>
                <w:szCs w:val="18"/>
                <w:color w:val="auto"/>
                <w:w w:val="94"/>
              </w:rPr>
              <w:t>(Zip Code)</w:t>
            </w:r>
          </w:p>
        </w:tc>
        <w:tc>
          <w:tcPr>
            <w:tcW w:w="1140" w:type="dxa"/>
            <w:vAlign w:val="bottom"/>
          </w:tcPr>
          <w:p>
            <w:pPr>
              <w:spacing w:after="0"/>
              <w:rPr>
                <w:sz w:val="19"/>
                <w:szCs w:val="19"/>
                <w:color w:val="auto"/>
              </w:rPr>
            </w:pPr>
          </w:p>
        </w:tc>
      </w:tr>
      <w:tr>
        <w:trPr>
          <w:trHeight w:val="438"/>
        </w:trPr>
        <w:tc>
          <w:tcPr>
            <w:tcW w:w="7740" w:type="dxa"/>
            <w:vAlign w:val="bottom"/>
            <w:tcBorders>
              <w:bottom w:val="single" w:sz="8" w:color="auto"/>
            </w:tcBorders>
            <w:gridSpan w:val="2"/>
          </w:tcPr>
          <w:p>
            <w:pPr>
              <w:jc w:val="center"/>
              <w:ind w:left="3610"/>
              <w:spacing w:after="0"/>
              <w:rPr>
                <w:sz w:val="20"/>
                <w:szCs w:val="20"/>
                <w:color w:val="auto"/>
              </w:rPr>
            </w:pPr>
            <w:r>
              <w:rPr>
                <w:rFonts w:ascii="Arial" w:cs="Arial" w:eastAsia="Arial" w:hAnsi="Arial"/>
                <w:sz w:val="18"/>
                <w:szCs w:val="18"/>
                <w:color w:val="auto"/>
                <w:w w:val="90"/>
              </w:rPr>
              <w:t>(904) 854-8100</w:t>
            </w:r>
          </w:p>
        </w:tc>
        <w:tc>
          <w:tcPr>
            <w:tcW w:w="2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6580" w:type="dxa"/>
            <w:vAlign w:val="bottom"/>
          </w:tcPr>
          <w:p>
            <w:pPr>
              <w:jc w:val="center"/>
              <w:ind w:left="2430"/>
              <w:spacing w:after="0"/>
              <w:rPr>
                <w:sz w:val="20"/>
                <w:szCs w:val="20"/>
                <w:color w:val="auto"/>
              </w:rPr>
            </w:pPr>
            <w:r>
              <w:rPr>
                <w:rFonts w:ascii="Arial" w:cs="Arial" w:eastAsia="Arial" w:hAnsi="Arial"/>
                <w:sz w:val="18"/>
                <w:szCs w:val="18"/>
                <w:color w:val="auto"/>
                <w:w w:val="90"/>
              </w:rPr>
              <w:t>(Registrant’s telephone number, including area code)</w:t>
            </w:r>
          </w:p>
        </w:tc>
        <w:tc>
          <w:tcPr>
            <w:tcW w:w="25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79"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00" w:type="dxa"/>
            <w:vAlign w:val="bottom"/>
            <w:gridSpan w:val="2"/>
          </w:tcPr>
          <w:p>
            <w:pPr>
              <w:ind w:left="4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020" w:type="dxa"/>
            <w:vAlign w:val="bottom"/>
          </w:tcPr>
          <w:p>
            <w:pPr>
              <w:ind w:left="880"/>
              <w:spacing w:after="0"/>
              <w:rPr>
                <w:sz w:val="20"/>
                <w:szCs w:val="20"/>
                <w:color w:val="auto"/>
              </w:rPr>
            </w:pPr>
            <w:r>
              <w:rPr>
                <w:rFonts w:ascii="Arial" w:cs="Arial" w:eastAsia="Arial" w:hAnsi="Arial"/>
                <w:sz w:val="18"/>
                <w:szCs w:val="18"/>
                <w:color w:val="auto"/>
              </w:rPr>
              <w:t>Accelerated filer o</w:t>
            </w:r>
          </w:p>
        </w:tc>
        <w:tc>
          <w:tcPr>
            <w:tcW w:w="3200" w:type="dxa"/>
            <w:vAlign w:val="bottom"/>
          </w:tcPr>
          <w:p>
            <w:pPr>
              <w:jc w:val="center"/>
              <w:ind w:right="250"/>
              <w:spacing w:after="0"/>
              <w:rPr>
                <w:sz w:val="20"/>
                <w:szCs w:val="20"/>
                <w:color w:val="auto"/>
              </w:rPr>
            </w:pPr>
            <w:r>
              <w:rPr>
                <w:rFonts w:ascii="Arial" w:cs="Arial" w:eastAsia="Arial" w:hAnsi="Arial"/>
                <w:sz w:val="18"/>
                <w:szCs w:val="18"/>
                <w:color w:val="auto"/>
                <w:w w:val="91"/>
              </w:rPr>
              <w:t>Non-accelerated filer o</w:t>
            </w:r>
          </w:p>
        </w:tc>
        <w:tc>
          <w:tcPr>
            <w:tcW w:w="2500" w:type="dxa"/>
            <w:vAlign w:val="bottom"/>
          </w:tcPr>
          <w:p>
            <w:pPr>
              <w:ind w:left="100"/>
              <w:spacing w:after="0"/>
              <w:rPr>
                <w:sz w:val="20"/>
                <w:szCs w:val="20"/>
                <w:color w:val="auto"/>
              </w:rPr>
            </w:pPr>
            <w:r>
              <w:rPr>
                <w:rFonts w:ascii="Arial" w:cs="Arial" w:eastAsia="Arial" w:hAnsi="Arial"/>
                <w:sz w:val="18"/>
                <w:szCs w:val="18"/>
                <w:color w:val="auto"/>
              </w:rPr>
              <w:t>Smaller reporting company o</w:t>
            </w:r>
          </w:p>
        </w:tc>
      </w:tr>
      <w:tr>
        <w:trPr>
          <w:trHeight w:val="230"/>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20" w:type="dxa"/>
            <w:vAlign w:val="bottom"/>
            <w:gridSpan w:val="2"/>
          </w:tcPr>
          <w:p>
            <w:pPr>
              <w:jc w:val="center"/>
              <w:ind w:left="2610"/>
              <w:spacing w:after="0"/>
              <w:rPr>
                <w:sz w:val="20"/>
                <w:szCs w:val="20"/>
                <w:color w:val="auto"/>
              </w:rPr>
            </w:pPr>
            <w:r>
              <w:rPr>
                <w:rFonts w:ascii="Arial" w:cs="Arial" w:eastAsia="Arial" w:hAnsi="Arial"/>
                <w:sz w:val="18"/>
                <w:szCs w:val="18"/>
                <w:color w:val="auto"/>
                <w:w w:val="92"/>
              </w:rPr>
              <w:t>(Do not check if a smaller reporting company)</w:t>
            </w:r>
          </w:p>
        </w:tc>
        <w:tc>
          <w:tcPr>
            <w:tcW w:w="2500" w:type="dxa"/>
            <w:vAlign w:val="bottom"/>
          </w:tcPr>
          <w:p>
            <w:pPr>
              <w:spacing w:after="0"/>
              <w:rPr>
                <w:sz w:val="20"/>
                <w:szCs w:val="20"/>
                <w:color w:val="auto"/>
              </w:rPr>
            </w:pPr>
          </w:p>
        </w:tc>
      </w:tr>
      <w:tr>
        <w:trPr>
          <w:trHeight w:val="277"/>
        </w:trPr>
        <w:tc>
          <w:tcPr>
            <w:tcW w:w="8920" w:type="dxa"/>
            <w:vAlign w:val="bottom"/>
            <w:gridSpan w:val="4"/>
          </w:tcPr>
          <w:p>
            <w:pPr>
              <w:ind w:left="240"/>
              <w:spacing w:after="0"/>
              <w:rPr>
                <w:sz w:val="20"/>
                <w:szCs w:val="20"/>
                <w:color w:val="auto"/>
              </w:rPr>
            </w:pPr>
            <w:r>
              <w:rPr>
                <w:rFonts w:ascii="Arial" w:cs="Arial" w:eastAsia="Arial" w:hAnsi="Arial"/>
                <w:sz w:val="18"/>
                <w:szCs w:val="18"/>
                <w:color w:val="auto"/>
                <w:w w:val="96"/>
              </w:rPr>
              <w:t>Indicate by check mark whether the registrant is a shell company (as defined in Rule 12b-2 of the Exchange Act).</w:t>
            </w:r>
          </w:p>
        </w:tc>
        <w:tc>
          <w:tcPr>
            <w:tcW w:w="2500" w:type="dxa"/>
            <w:vAlign w:val="bottom"/>
          </w:tcPr>
          <w:p>
            <w:pPr>
              <w:spacing w:after="0"/>
              <w:rPr>
                <w:sz w:val="24"/>
                <w:szCs w:val="24"/>
                <w:color w:val="auto"/>
              </w:rPr>
            </w:pPr>
          </w:p>
        </w:tc>
      </w:tr>
      <w:tr>
        <w:trPr>
          <w:trHeight w:val="283"/>
        </w:trPr>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ind w:left="2440"/>
              <w:spacing w:after="0"/>
              <w:rPr>
                <w:sz w:val="20"/>
                <w:szCs w:val="20"/>
                <w:color w:val="auto"/>
              </w:rPr>
            </w:pPr>
            <w:r>
              <w:rPr>
                <w:rFonts w:ascii="Arial" w:cs="Arial" w:eastAsia="Arial" w:hAnsi="Arial"/>
                <w:sz w:val="18"/>
                <w:szCs w:val="18"/>
                <w:color w:val="auto"/>
              </w:rPr>
              <w:t>YES o</w:t>
            </w:r>
          </w:p>
        </w:tc>
        <w:tc>
          <w:tcPr>
            <w:tcW w:w="320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500" w:type="dxa"/>
            <w:vAlign w:val="bottom"/>
          </w:tcPr>
          <w:p>
            <w:pPr>
              <w:spacing w:after="0"/>
              <w:rPr>
                <w:sz w:val="24"/>
                <w:szCs w:val="24"/>
                <w:color w:val="auto"/>
              </w:rPr>
            </w:pPr>
          </w:p>
        </w:tc>
      </w:tr>
      <w:tr>
        <w:trPr>
          <w:trHeight w:val="264"/>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As of April 30, 2008,</w:t>
            </w:r>
          </w:p>
        </w:tc>
        <w:tc>
          <w:tcPr>
            <w:tcW w:w="6220" w:type="dxa"/>
            <w:vAlign w:val="bottom"/>
            <w:gridSpan w:val="2"/>
          </w:tcPr>
          <w:p>
            <w:pPr>
              <w:ind w:left="60"/>
              <w:spacing w:after="0"/>
              <w:rPr>
                <w:sz w:val="20"/>
                <w:szCs w:val="20"/>
                <w:color w:val="auto"/>
              </w:rPr>
            </w:pPr>
            <w:r>
              <w:rPr>
                <w:rFonts w:ascii="Arial" w:cs="Arial" w:eastAsia="Arial" w:hAnsi="Arial"/>
                <w:sz w:val="18"/>
                <w:szCs w:val="18"/>
                <w:color w:val="auto"/>
              </w:rPr>
              <w:t>shares of the Registrant’s Common Stock were outstanding.</w:t>
            </w:r>
          </w:p>
        </w:tc>
        <w:tc>
          <w:tcPr>
            <w:tcW w:w="2500" w:type="dxa"/>
            <w:vAlign w:val="bottom"/>
          </w:tcPr>
          <w:p>
            <w:pPr>
              <w:spacing w:after="0"/>
              <w:rPr>
                <w:sz w:val="22"/>
                <w:szCs w:val="22"/>
                <w:color w:val="auto"/>
              </w:rPr>
            </w:pPr>
          </w:p>
        </w:tc>
      </w:tr>
      <w:tr>
        <w:trPr>
          <w:trHeight w:val="257"/>
        </w:trPr>
        <w:tc>
          <w:tcPr>
            <w:tcW w:w="1800" w:type="dxa"/>
            <w:vAlign w:val="bottom"/>
            <w:tcBorders>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r>
      <w:tr>
        <w:trPr>
          <w:trHeight w:val="631"/>
        </w:trPr>
        <w:tc>
          <w:tcPr>
            <w:tcW w:w="18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2008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gridSpan w:val="2"/>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Part I:</w:t>
              </w:r>
            </w:hyperlink>
          </w:p>
        </w:tc>
        <w:tc>
          <w:tcPr>
            <w:tcW w:w="12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982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820" w:type="dxa"/>
            <w:vAlign w:val="bottom"/>
            <w:gridSpan w:val="16"/>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Item</w:t>
              </w:r>
            </w:hyperlink>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Financial Statements</w:t>
              </w:r>
            </w:hyperlink>
          </w:p>
        </w:tc>
        <w:tc>
          <w:tcPr>
            <w:tcW w:w="646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gridSpan w:val="2"/>
          </w:tcPr>
          <w:p>
            <w:pPr>
              <w:spacing w:after="0"/>
              <w:rPr>
                <w:rFonts w:ascii="Arial" w:cs="Arial" w:eastAsia="Arial" w:hAnsi="Arial"/>
                <w:sz w:val="12"/>
                <w:szCs w:val="12"/>
                <w:color w:val="0000EE"/>
                <w:w w:val="70"/>
              </w:rPr>
            </w:pPr>
            <w:hyperlink w:anchor="page4">
              <w:r>
                <w:rPr>
                  <w:rFonts w:ascii="Arial" w:cs="Arial" w:eastAsia="Arial" w:hAnsi="Arial"/>
                  <w:sz w:val="12"/>
                  <w:szCs w:val="12"/>
                  <w:color w:val="0000EE"/>
                  <w:w w:val="70"/>
                </w:rPr>
                <w:t>A.</w:t>
              </w:r>
            </w:hyperlink>
          </w:p>
        </w:tc>
        <w:tc>
          <w:tcPr>
            <w:tcW w:w="2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2008 and December 31, 2007</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0000EE"/>
            </w:tcBorders>
            <w:gridSpan w:val="2"/>
          </w:tcPr>
          <w:p>
            <w:pPr>
              <w:spacing w:after="0"/>
              <w:rPr>
                <w:rFonts w:ascii="Arial" w:cs="Arial" w:eastAsia="Arial" w:hAnsi="Arial"/>
                <w:sz w:val="12"/>
                <w:szCs w:val="12"/>
                <w:color w:val="0000EE"/>
                <w:w w:val="70"/>
              </w:rPr>
            </w:pPr>
            <w:hyperlink w:anchor="page5">
              <w:r>
                <w:rPr>
                  <w:rFonts w:ascii="Arial" w:cs="Arial" w:eastAsia="Arial" w:hAnsi="Arial"/>
                  <w:sz w:val="12"/>
                  <w:szCs w:val="12"/>
                  <w:color w:val="0000EE"/>
                  <w:w w:val="70"/>
                </w:rPr>
                <w:t>B.</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Earnings for the three months ended March 31, 2008 and 2007</w:t>
              </w:r>
            </w:hyperlink>
          </w:p>
        </w:tc>
        <w:tc>
          <w:tcPr>
            <w:tcW w:w="2420" w:type="dxa"/>
            <w:vAlign w:val="bottom"/>
            <w:gridSpan w:val="4"/>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gridSpan w:val="2"/>
          </w:tcPr>
          <w:p>
            <w:pPr>
              <w:spacing w:after="0"/>
              <w:rPr>
                <w:rFonts w:ascii="Arial" w:cs="Arial" w:eastAsia="Arial" w:hAnsi="Arial"/>
                <w:sz w:val="11"/>
                <w:szCs w:val="11"/>
                <w:color w:val="0000EE"/>
                <w:w w:val="72"/>
              </w:rPr>
            </w:pPr>
            <w:hyperlink w:anchor="page6">
              <w:r>
                <w:rPr>
                  <w:rFonts w:ascii="Arial" w:cs="Arial" w:eastAsia="Arial" w:hAnsi="Arial"/>
                  <w:sz w:val="11"/>
                  <w:szCs w:val="11"/>
                  <w:color w:val="0000EE"/>
                  <w:w w:val="72"/>
                </w:rPr>
                <w:t>C.</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Earnings for the three months ended March 31, 2008 and 2007</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0000EE"/>
            </w:tcBorders>
            <w:gridSpan w:val="2"/>
          </w:tcPr>
          <w:p>
            <w:pPr>
              <w:spacing w:after="0"/>
              <w:rPr>
                <w:rFonts w:ascii="Arial" w:cs="Arial" w:eastAsia="Arial" w:hAnsi="Arial"/>
                <w:sz w:val="11"/>
                <w:szCs w:val="11"/>
                <w:color w:val="0000EE"/>
                <w:w w:val="72"/>
              </w:rPr>
            </w:pPr>
            <w:hyperlink w:anchor="page7">
              <w:r>
                <w:rPr>
                  <w:rFonts w:ascii="Arial" w:cs="Arial" w:eastAsia="Arial" w:hAnsi="Arial"/>
                  <w:sz w:val="11"/>
                  <w:szCs w:val="11"/>
                  <w:color w:val="0000EE"/>
                  <w:w w:val="72"/>
                </w:rPr>
                <w:t>D.</w:t>
              </w:r>
            </w:hyperlink>
          </w:p>
        </w:tc>
        <w:tc>
          <w:tcPr>
            <w:tcW w:w="2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75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Stockholders’ Equity for the three months ended March 31, 2008</w:t>
              </w:r>
            </w:hyperlink>
          </w:p>
        </w:tc>
        <w:tc>
          <w:tcPr>
            <w:tcW w:w="2320" w:type="dxa"/>
            <w:vAlign w:val="bottom"/>
            <w:gridSpan w:val="3"/>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gridSpan w:val="2"/>
          </w:tcPr>
          <w:p>
            <w:pPr>
              <w:spacing w:after="0"/>
              <w:rPr>
                <w:rFonts w:ascii="Arial" w:cs="Arial" w:eastAsia="Arial" w:hAnsi="Arial"/>
                <w:sz w:val="12"/>
                <w:szCs w:val="12"/>
                <w:color w:val="0000EE"/>
                <w:w w:val="70"/>
              </w:rPr>
            </w:pPr>
            <w:hyperlink w:anchor="page8">
              <w:r>
                <w:rPr>
                  <w:rFonts w:ascii="Arial" w:cs="Arial" w:eastAsia="Arial" w:hAnsi="Arial"/>
                  <w:sz w:val="12"/>
                  <w:szCs w:val="12"/>
                  <w:color w:val="0000EE"/>
                  <w:w w:val="70"/>
                </w:rPr>
                <w:t>E.</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ind w:left="3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March 31, 2008 and 2007</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0000EE"/>
            </w:tcBorders>
            <w:gridSpan w:val="2"/>
          </w:tcPr>
          <w:p>
            <w:pPr>
              <w:jc w:val="right"/>
              <w:ind w:right="40"/>
              <w:spacing w:after="0"/>
              <w:rPr>
                <w:rFonts w:ascii="Arial" w:cs="Arial" w:eastAsia="Arial" w:hAnsi="Arial"/>
                <w:sz w:val="9"/>
                <w:szCs w:val="9"/>
                <w:color w:val="0000EE"/>
                <w:w w:val="74"/>
              </w:rPr>
            </w:pPr>
            <w:hyperlink w:anchor="page9">
              <w:r>
                <w:rPr>
                  <w:rFonts w:ascii="Arial" w:cs="Arial" w:eastAsia="Arial" w:hAnsi="Arial"/>
                  <w:sz w:val="9"/>
                  <w:szCs w:val="9"/>
                  <w:color w:val="0000EE"/>
                  <w:w w:val="74"/>
                </w:rPr>
                <w:t>F.</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220" w:type="dxa"/>
            <w:vAlign w:val="bottom"/>
            <w:gridSpan w:val="2"/>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gridSpan w:val="3"/>
          </w:tcPr>
          <w:p>
            <w:pPr>
              <w:jc w:val="right"/>
              <w:ind w:right="40"/>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Item</w:t>
              </w:r>
            </w:hyperlink>
          </w:p>
        </w:tc>
        <w:tc>
          <w:tcPr>
            <w:tcW w:w="140" w:type="dxa"/>
            <w:vAlign w:val="bottom"/>
          </w:tcPr>
          <w:p>
            <w:pPr>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Item</w:t>
              </w:r>
            </w:hyperlink>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17"/>
                <w:szCs w:val="17"/>
                <w:color w:val="auto"/>
              </w:rPr>
            </w:pPr>
          </w:p>
        </w:tc>
        <w:tc>
          <w:tcPr>
            <w:tcW w:w="3360" w:type="dxa"/>
            <w:vAlign w:val="bottom"/>
            <w:gridSpan w:val="5"/>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Item</w:t>
              </w:r>
            </w:hyperlink>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8040" w:type="dxa"/>
            <w:vAlign w:val="bottom"/>
            <w:gridSpan w:val="12"/>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Part II:</w:t>
              </w:r>
            </w:hyperlink>
          </w:p>
        </w:tc>
        <w:tc>
          <w:tcPr>
            <w:tcW w:w="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OTHER INFORMATION</w:t>
              </w:r>
            </w:hyperlink>
          </w:p>
        </w:tc>
        <w:tc>
          <w:tcPr>
            <w:tcW w:w="792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gridSpan w:val="3"/>
          </w:tcPr>
          <w:p>
            <w:pPr>
              <w:jc w:val="right"/>
              <w:ind w:right="40"/>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Item</w:t>
              </w:r>
            </w:hyperlink>
          </w:p>
        </w:tc>
        <w:tc>
          <w:tcPr>
            <w:tcW w:w="140" w:type="dxa"/>
            <w:vAlign w:val="bottom"/>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1.</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bottom w:val="single" w:sz="8" w:color="0000EE"/>
            </w:tcBorders>
            <w:gridSpan w:val="3"/>
          </w:tcPr>
          <w:p>
            <w:pPr>
              <w:jc w:val="right"/>
              <w:ind w:right="40"/>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Item</w:t>
              </w:r>
            </w:hyperlink>
          </w:p>
        </w:tc>
        <w:tc>
          <w:tcPr>
            <w:tcW w:w="28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1A.</w:t>
              </w:r>
            </w:hyperlink>
          </w:p>
        </w:tc>
        <w:tc>
          <w:tcPr>
            <w:tcW w:w="30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Risk Factors</w:t>
              </w:r>
            </w:hyperlink>
          </w:p>
        </w:tc>
        <w:tc>
          <w:tcPr>
            <w:tcW w:w="8900" w:type="dxa"/>
            <w:vAlign w:val="bottom"/>
            <w:gridSpan w:val="14"/>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gridSpan w:val="3"/>
          </w:tcPr>
          <w:p>
            <w:pPr>
              <w:jc w:val="right"/>
              <w:ind w:right="40"/>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Item</w:t>
              </w:r>
            </w:hyperlink>
          </w:p>
        </w:tc>
        <w:tc>
          <w:tcPr>
            <w:tcW w:w="140" w:type="dxa"/>
            <w:vAlign w:val="bottom"/>
          </w:tcPr>
          <w:p>
            <w:pPr>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89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ind w:left="43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Fixed maturities available for sale, at fair value, at March 31, 2008 includes $324,118 and $233,430, respectively,</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pledged fixed maturities related to secured trust deposits and the securities lending program, at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December 31, 2007 includes $335,270 and $264,202, respectively, of pledged fixed maturity securities related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secured trust deposits and the securities lending 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2,603,552</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2,824,572</w:t>
            </w:r>
          </w:p>
        </w:tc>
      </w:tr>
      <w:tr>
        <w:trPr>
          <w:trHeight w:val="216"/>
        </w:trPr>
        <w:tc>
          <w:tcPr>
            <w:tcW w:w="8940" w:type="dxa"/>
            <w:vAlign w:val="bottom"/>
          </w:tcPr>
          <w:p>
            <w:pPr>
              <w:ind w:left="420"/>
              <w:spacing w:after="0"/>
              <w:rPr>
                <w:sz w:val="20"/>
                <w:szCs w:val="20"/>
                <w:color w:val="auto"/>
              </w:rPr>
            </w:pPr>
            <w:r>
              <w:rPr>
                <w:rFonts w:ascii="Arial" w:cs="Arial" w:eastAsia="Arial" w:hAnsi="Arial"/>
                <w:sz w:val="18"/>
                <w:szCs w:val="18"/>
                <w:color w:val="auto"/>
              </w:rPr>
              <w:t>Equity securities, at fair value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76,145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93,272</w:t>
            </w:r>
          </w:p>
        </w:tc>
      </w:tr>
      <w:tr>
        <w:trPr>
          <w:trHeight w:val="216"/>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unconsolidated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745,314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738,356</w:t>
            </w:r>
          </w:p>
        </w:tc>
      </w:tr>
      <w:tr>
        <w:trPr>
          <w:trHeight w:val="216"/>
        </w:trPr>
        <w:tc>
          <w:tcPr>
            <w:tcW w:w="8940" w:type="dxa"/>
            <w:vAlign w:val="bottom"/>
          </w:tcPr>
          <w:p>
            <w:pPr>
              <w:ind w:left="420"/>
              <w:spacing w:after="0"/>
              <w:rPr>
                <w:sz w:val="20"/>
                <w:szCs w:val="20"/>
                <w:color w:val="auto"/>
              </w:rPr>
            </w:pPr>
            <w:r>
              <w:rPr>
                <w:rFonts w:ascii="Arial" w:cs="Arial" w:eastAsia="Arial" w:hAnsi="Arial"/>
                <w:sz w:val="18"/>
                <w:szCs w:val="18"/>
                <w:color w:val="auto"/>
              </w:rPr>
              <w:t>Other long-term investments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17,871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18,255</w:t>
            </w:r>
          </w:p>
        </w:tc>
      </w:tr>
      <w:tr>
        <w:trPr>
          <w:trHeight w:val="202"/>
        </w:trPr>
        <w:tc>
          <w:tcPr>
            <w:tcW w:w="89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Short-term investments at March 31, 2008 and December 31, 2007 includes $158,028 and $178,568,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 of pledged short-term investments related to secured trust deposits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496,059</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427,366</w:t>
            </w:r>
          </w:p>
        </w:tc>
      </w:tr>
      <w:tr>
        <w:trPr>
          <w:trHeight w:val="223"/>
        </w:trPr>
        <w:tc>
          <w:tcPr>
            <w:tcW w:w="8940" w:type="dxa"/>
            <w:vAlign w:val="bottom"/>
          </w:tcPr>
          <w:p>
            <w:pPr>
              <w:ind w:left="620"/>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3,938,941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4,101,821</w:t>
            </w:r>
          </w:p>
        </w:tc>
        <w:tc>
          <w:tcPr>
            <w:tcW w:w="100" w:type="dxa"/>
            <w:vAlign w:val="bottom"/>
          </w:tcPr>
          <w:p>
            <w:pPr>
              <w:spacing w:after="0"/>
              <w:rPr>
                <w:sz w:val="19"/>
                <w:szCs w:val="19"/>
                <w:color w:val="auto"/>
              </w:rPr>
            </w:pPr>
          </w:p>
        </w:tc>
      </w:tr>
      <w:tr>
        <w:trPr>
          <w:trHeight w:val="202"/>
        </w:trPr>
        <w:tc>
          <w:tcPr>
            <w:tcW w:w="8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at March 31, 2008 includes $234,192 and $239,831, respectively, of pledged cash</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related to secured trust deposits and the securities lending program, and at December 31, 2007 includes $193,484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and $271,807, respectively, of pledged cash related to secured trust deposits and the securities lending program</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593,439</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569,562</w:t>
            </w:r>
          </w:p>
        </w:tc>
      </w:tr>
      <w:tr>
        <w:trPr>
          <w:trHeight w:val="202"/>
        </w:trPr>
        <w:tc>
          <w:tcPr>
            <w:tcW w:w="8940" w:type="dxa"/>
            <w:vAlign w:val="bottom"/>
          </w:tcPr>
          <w:p>
            <w:pPr>
              <w:spacing w:after="0" w:line="201" w:lineRule="exact"/>
              <w:rPr>
                <w:sz w:val="20"/>
                <w:szCs w:val="20"/>
                <w:color w:val="auto"/>
              </w:rPr>
            </w:pPr>
            <w:r>
              <w:rPr>
                <w:rFonts w:ascii="Arial" w:cs="Arial" w:eastAsia="Arial" w:hAnsi="Arial"/>
                <w:sz w:val="18"/>
                <w:szCs w:val="18"/>
                <w:color w:val="auto"/>
              </w:rPr>
              <w:t>Trade and notes receivables, net of allowance of $13,160 and $13,091, respectively, at March 31, 2008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40" w:type="dxa"/>
            <w:vAlign w:val="bottom"/>
          </w:tcPr>
          <w:p>
            <w:pPr>
              <w:ind w:left="220"/>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233,364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227,849</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1,338,571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1,339,705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529,807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467,831</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91,106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93,413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113,534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122,383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Title plants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332,768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331,888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250,579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266,156</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53,239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67,245</w:t>
            </w:r>
          </w:p>
        </w:tc>
      </w:tr>
      <w:tr>
        <w:trPr>
          <w:trHeight w:val="223"/>
        </w:trPr>
        <w:tc>
          <w:tcPr>
            <w:tcW w:w="8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7,475,348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7,587,853</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Accounts payable and accrued liabilities, at March 31, 2008 and December 31, 2007, includes $239,831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$271,807, respectively, of security loans related to the securities lending 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727,383</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823,109</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Accounts payable to Fidelity National Information Services, Inc.</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7,935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13,890</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114,705</w:t>
            </w:r>
          </w:p>
        </w:tc>
      </w:tr>
      <w:tr>
        <w:trPr>
          <w:trHeight w:val="202"/>
        </w:trPr>
        <w:tc>
          <w:tcPr>
            <w:tcW w:w="8940" w:type="dxa"/>
            <w:vAlign w:val="bottom"/>
          </w:tcPr>
          <w:p>
            <w:pPr>
              <w:ind w:left="220"/>
              <w:spacing w:after="0" w:line="201" w:lineRule="exact"/>
              <w:rPr>
                <w:sz w:val="20"/>
                <w:szCs w:val="20"/>
                <w:color w:val="auto"/>
              </w:rPr>
            </w:pPr>
            <w:r>
              <w:rPr>
                <w:rFonts w:ascii="Arial" w:cs="Arial" w:eastAsia="Arial" w:hAnsi="Arial"/>
                <w:sz w:val="18"/>
                <w:szCs w:val="18"/>
                <w:color w:val="auto"/>
                <w:w w:val="99"/>
              </w:rPr>
              <w:t>Notes payable, at March 31, 2008 and December 31, 2007, includes $6,859 and $7,059, respectively, in notes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40" w:type="dxa"/>
            <w:vAlign w:val="bottom"/>
          </w:tcPr>
          <w:p>
            <w:pPr>
              <w:ind w:left="420"/>
              <w:spacing w:after="0"/>
              <w:rPr>
                <w:sz w:val="20"/>
                <w:szCs w:val="20"/>
                <w:color w:val="auto"/>
              </w:rPr>
            </w:pPr>
            <w:r>
              <w:rPr>
                <w:rFonts w:ascii="Arial" w:cs="Arial" w:eastAsia="Arial" w:hAnsi="Arial"/>
                <w:sz w:val="18"/>
                <w:szCs w:val="18"/>
                <w:color w:val="auto"/>
              </w:rPr>
              <w:t>payable to Fidelity National Information Services, Inc.</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1,182,299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1,167,739</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claim losses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1,395,858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1,419,910</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Secured trust deposits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702,265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689,935</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67,528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60,609</w:t>
            </w:r>
          </w:p>
        </w:tc>
      </w:tr>
      <w:tr>
        <w:trPr>
          <w:trHeight w:val="223"/>
        </w:trPr>
        <w:tc>
          <w:tcPr>
            <w:tcW w:w="8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4,192,316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4,289,897</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51,958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53,868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9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Common stock, Class A, $0.0001 par value; authorized 600,000,000 shares as of March 31, 2008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2007; issued 223,934,103 as of March 31, 2008 and 223,069,076 as of December 31, 2007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Preferred stock, $0.0001 par value; authorized 50,000,000 shares; issued and outstanding, none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3,246,671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3,236,866</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213,103</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3,422,886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3,449,991</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(16,630)</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treasury stock, 10,032,449 shares as of March 31, 2008 and December 31, 2007, respectively, at cost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(189,273)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(189,273)</w:t>
            </w:r>
          </w:p>
        </w:tc>
      </w:tr>
      <w:tr>
        <w:trPr>
          <w:trHeight w:val="230"/>
        </w:trPr>
        <w:tc>
          <w:tcPr>
            <w:tcW w:w="8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3,231,074</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3,244,088</w:t>
            </w:r>
          </w:p>
        </w:tc>
        <w:tc>
          <w:tcPr>
            <w:tcW w:w="10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7,475,348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7,587,853</w:t>
            </w: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2"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Three months ended</w:t>
      </w:r>
    </w:p>
    <w:p>
      <w:pPr>
        <w:jc w:val="center"/>
        <w:ind w:left="8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bottom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304,779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418,597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Escrow, title-related and other fees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273,621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Specialty insurance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84,827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42,835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1,137,975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1,368,065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361,878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267,870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328,009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36,895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87,505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1,100,793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1,242,175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equity in income of unconsolidated affiliates, income taxes and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37,182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Equity in income of unconsolidated affiliates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38,048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basis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 basis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FIDELITY NATIONAL FINANCIAL, INC. AND SUBSIDIARIES CONDENSED CONSOLIDATED STATEMENTS OF COMPREHENSIVE EARNINGS (In thousands)</w:t>
      </w:r>
    </w:p>
    <w:p>
      <w:pPr>
        <w:spacing w:after="0" w:line="173"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4"/>
              </w:rPr>
              <w:t>(Unaudited)</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4"/>
              </w:rPr>
              <w:t>27,245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comprehensive (loss) gain:</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 net (1)</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4"/>
              </w:rPr>
              <w:t>13,423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Foreign currency translation unrealized gain (loss) (2)</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1,707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adjustments for gains included in net earnings (3)</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Other comprehensive gain (loss)</w:t>
            </w:r>
          </w:p>
        </w:tc>
        <w:tc>
          <w:tcPr>
            <w:tcW w:w="2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14,091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4"/>
              </w:rPr>
              <w:t>41,336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74,750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expense (benefit) of $7.4 million and $(3.1) million for the three month periods ended March 31, 2008 and 2007, respectively.</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(benefit) of $0.9 and less than $(0.1) million for the three month periods ended March 31, 2008 and 2007, respectively.</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$0.6 million and $1.7 million for the three month periods ended March 31, 2008 and 2007,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80" w:type="dxa"/>
            <w:vAlign w:val="bottom"/>
            <w:gridSpan w:val="3"/>
            <w:vMerge w:val="restart"/>
          </w:tcPr>
          <w:p>
            <w:pPr>
              <w:jc w:val="right"/>
              <w:ind w:right="3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224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Paid - in</w:t>
            </w: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Retained</w:t>
            </w:r>
          </w:p>
        </w:tc>
        <w:tc>
          <w:tcPr>
            <w:tcW w:w="15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224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8"/>
              </w:rPr>
              <w:t>Capital</w:t>
            </w:r>
          </w:p>
        </w:tc>
        <w:tc>
          <w:tcPr>
            <w:tcW w:w="9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136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0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223,069</w:t>
            </w: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$ 3,236,866</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$ 213,103</w:t>
            </w:r>
          </w:p>
        </w:tc>
        <w:tc>
          <w:tcPr>
            <w:tcW w:w="3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(16,630)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10,032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(189,273)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$ 3,244,088</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6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Tax benefit associated with</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the exercise of stock</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848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and other</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instruments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12,384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income (loss)—</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unrealized gain on</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foreign currency</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1,707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Cash dividends ($0.30 per</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share)</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(64,155)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27,245</w:t>
            </w:r>
          </w:p>
        </w:tc>
        <w:tc>
          <w:tcPr>
            <w:tcW w:w="0" w:type="dxa"/>
            <w:vAlign w:val="bottom"/>
          </w:tcPr>
          <w:p>
            <w:pPr>
              <w:spacing w:after="0"/>
              <w:rPr>
                <w:sz w:val="1"/>
                <w:szCs w:val="1"/>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Balance, March 31, 2008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223,934</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$ 3,246,671</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$ 176,193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10,032</w:t>
            </w:r>
          </w:p>
        </w:tc>
        <w:tc>
          <w:tcPr>
            <w:tcW w:w="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(189,273</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$ 3,231,074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79"/>
              </w:rPr>
              <w:t>(Unaudited)</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27,245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36,895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Equity in income of unconsolidated affiliates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sales of investments in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Stock-based compensation cost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benefit associated with the exercise of stock options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 secured trust deposits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Net decrease in trade receivables</w:t>
            </w:r>
          </w:p>
        </w:tc>
        <w:tc>
          <w:tcPr>
            <w:tcW w:w="100" w:type="dxa"/>
            <w:vAlign w:val="bottom"/>
          </w:tcPr>
          <w:p>
            <w:pPr>
              <w:spacing w:after="0"/>
              <w:rPr>
                <w:sz w:val="18"/>
                <w:szCs w:val="18"/>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1,811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(54,130)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Net decrease in accounts payable, accrued liabilities, deferred revenue and other</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(77,408)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increase in reserve for claim losses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Net change in income taxes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84,121</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 available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410,332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1,323,148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 available for sale</w:t>
            </w:r>
          </w:p>
        </w:tc>
        <w:tc>
          <w:tcPr>
            <w:tcW w:w="100" w:type="dxa"/>
            <w:vAlign w:val="bottom"/>
          </w:tcPr>
          <w:p>
            <w:pPr>
              <w:spacing w:after="0"/>
              <w:rPr>
                <w:sz w:val="18"/>
                <w:szCs w:val="18"/>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61,577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Collections of notes receivable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(expended) as collateral on loaned securities,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534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Additions to title plants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Additions to capitalized software</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(5,533)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notes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Purchases of investment securities available for sale</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0"/>
              </w:rPr>
              <w:t>(282,307)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(purchase of) proceeds from short-term investment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(51,675)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105,088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(149,879)</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45,655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Debt service payments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(31,166)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(64,155)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Subsidiary dividends paid to minority interest shareholders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Tax benefit associated with the exercise of stock options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(51,876)</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 excluding pledged cash related to secured trust deposits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(16,831)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(117,634)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beginning of period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376,078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447,986</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359,247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2,748</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26,373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ind w:right="620" w:firstLine="222"/>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the “Company” or “FNF”) prepared in accordance with generally accepted accounting principles and the instructions to Form 10-Q and Article 10 of Regulation S-X. All adjustments considered necessary for a fair presentation have been included. This report should be read in conjunction with the Company’s Annual Report on Form 10-K for the year ended December 31, 2007.</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the course of an internal review of its treatment of certain costs relating to insurance policies issued by its specialty insurance group, the Company determined that certain costs should be deferred and amortized over the life of the policy consistent with the recognition of the premiums. The Company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accompanying unaudited condensed consolidated financial statements and is not material to the Company’s financial position or results of operations for any other previously reported annual periods.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Certain other reclassifications have been made in the 2007 Condensed Consolidated Financial Statements to conform to classifications used in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Fidelity National Financial, Inc. is a holding company that is a provider, through its subsidiaries, of title insurance, specialty insurance, claims management services, and information services. FNF is one of the nation’s largest title insurance companies through its title insurance underwriters — Fidelity National Title, Chicago Title, Ticor Title, Security Union Title, and Alamo Title — which issued approximately 27.7% of all title insurance policies issued nationally during 2006. FNF also provides flood insurance, personal lines insurance, and home warranty insurance through its specialty insurance subsidiaries. FNF is also a leading provider of outsourced claims management services to large corporate and public sector entities through its minority-owned affiliate, Sedgwick CMS (“Sedgwick”). FNF is also a provider of information services in the human resources, retail, and transportation markets through another minority-owned affiliate, Ceridian Corporation (“Ceridian”).</w:t>
      </w:r>
    </w:p>
    <w:p>
      <w:pPr>
        <w:spacing w:after="0" w:line="70" w:lineRule="exact"/>
        <w:rPr>
          <w:sz w:val="20"/>
          <w:szCs w:val="20"/>
          <w:color w:val="auto"/>
        </w:rPr>
      </w:pPr>
    </w:p>
    <w:p>
      <w:pPr>
        <w:jc w:val="both"/>
        <w:ind w:right="160" w:firstLine="222"/>
        <w:spacing w:after="0" w:line="342" w:lineRule="auto"/>
        <w:rPr>
          <w:sz w:val="20"/>
          <w:szCs w:val="20"/>
          <w:color w:val="auto"/>
        </w:rPr>
      </w:pPr>
      <w:r>
        <w:rPr>
          <w:rFonts w:ascii="Arial" w:cs="Arial" w:eastAsia="Arial" w:hAnsi="Arial"/>
          <w:sz w:val="16"/>
          <w:szCs w:val="16"/>
          <w:color w:val="auto"/>
        </w:rPr>
        <w:t>The Company recently announced that its Board of Directors has authorized management to investigate strategic alternatives for certain of its specialty insurance businesses. The assets to be evaluated include the flood insurance and personal lines insurance businesses, but not the home warranty business.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Company’s financial statements reflect transactions with Fidelity National Information Services, Inc. (“FIS”), which is a related party. A detail of related party items included in revenues and expenses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Three months</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380" w:type="dxa"/>
            <w:vAlign w:val="bottom"/>
            <w:gridSpan w:val="4"/>
          </w:tcPr>
          <w:p>
            <w:pPr>
              <w:ind w:left="2720"/>
              <w:spacing w:after="0" w:line="149" w:lineRule="exact"/>
              <w:rPr>
                <w:sz w:val="20"/>
                <w:szCs w:val="20"/>
                <w:color w:val="auto"/>
              </w:rPr>
            </w:pPr>
            <w:r>
              <w:rPr>
                <w:rFonts w:ascii="Arial" w:cs="Arial" w:eastAsia="Arial" w:hAnsi="Arial"/>
                <w:sz w:val="14"/>
                <w:szCs w:val="14"/>
                <w:b w:val="1"/>
                <w:bCs w:val="1"/>
                <w:color w:val="auto"/>
              </w:rPr>
              <w:t>ended March 31,</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March 31,</w:t>
            </w: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ind w:left="760"/>
              <w:spacing w:after="0" w:line="142"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294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Rental revenue</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Title plant revenue</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revenue</w:t>
            </w:r>
          </w:p>
        </w:tc>
        <w:tc>
          <w:tcPr>
            <w:tcW w:w="2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00" w:type="dxa"/>
            <w:vAlign w:val="bottom"/>
            <w:gridSpan w:val="2"/>
          </w:tcPr>
          <w:p>
            <w:pPr>
              <w:spacing w:after="0"/>
              <w:rPr>
                <w:sz w:val="20"/>
                <w:szCs w:val="20"/>
                <w:color w:val="auto"/>
              </w:rPr>
            </w:pPr>
            <w:r>
              <w:rPr>
                <w:rFonts w:ascii="Arial" w:cs="Arial" w:eastAsia="Arial" w:hAnsi="Arial"/>
                <w:sz w:val="18"/>
                <w:szCs w:val="18"/>
                <w:color w:val="auto"/>
              </w:rPr>
              <w:t>Agency title commissions</w:t>
            </w: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Corporate services allocated</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information expense</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real-estate related information</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and services expense</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Rental expense</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License and cost sharing agreements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w:t>
            </w:r>
          </w:p>
        </w:tc>
        <w:tc>
          <w:tcPr>
            <w:tcW w:w="2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94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15"/>
        <w:spacing w:after="0" w:line="255" w:lineRule="auto"/>
        <w:rPr>
          <w:sz w:val="20"/>
          <w:szCs w:val="20"/>
          <w:color w:val="auto"/>
        </w:rPr>
      </w:pPr>
      <w:r>
        <w:rPr>
          <w:rFonts w:ascii="Arial" w:cs="Arial" w:eastAsia="Arial" w:hAnsi="Arial"/>
          <w:sz w:val="18"/>
          <w:szCs w:val="18"/>
          <w:color w:val="auto"/>
        </w:rPr>
        <w:t>An FIS subsidiary acts as a title agent in the issuance of title insurance policies by title insurance underwriters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for the Company of $36.7 million and $36.6 million, respectively, for the three month periods ended March 31, 2008 and 2007, which the Company records as agency title premiums. The Company paid FIS commissions at the rate of approximately 89% of the premiums generated, equal to $32.6 million and $32.2 million, respectively, for the three month periods ended March 31, 2008 and 2007.</w:t>
      </w:r>
    </w:p>
    <w:p>
      <w:pPr>
        <w:spacing w:after="0" w:line="85"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On August 31, 2007, the Company completed the acquisition of Property Insight, LLC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for the Company. For the three months ended March 31, 2008, the Company’s revenues include $2.6 million earned from FIS for access to Property Insight’s data.</w:t>
      </w:r>
    </w:p>
    <w:p>
      <w:pPr>
        <w:spacing w:after="0" w:line="80"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Prior to August 31, 2007, the title plant assets of several of FNF’s title insurance subsidiaries were managed or maintained by Property Insight, as a subsidiary of FIS. The underlying title plant information and software were owned by each of the Company’s title insurance underwriters, but FIS managed and updated the information in return for either (i) a cash management fee or (ii) the right to sell that information to title insurers, including title insurance underwriters that the Company owns and other third party customers. In most cases, FIS was responsible for keeping the title plant assets current and fully functioning, for which the Company paid a fee to FIS based on the Company’s use of, or access to, the title plant. The Company’s payments to FIS under these arrangements were $6.7 million for the three month period ended March 31, 2007. In addition, each applicable title insurance underwriter owned by the Company in turn received a royalty on sales of access to its title plant assets. The revenues from these title plant royalties were $0.5 million for the three month period ended March 31, 2007. The Company was also a party 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FIS provides information technology infrastructure support, data center management and related IT support services to the Company. FNF’s expenses include amounts paid to FIS for these services of $11.2 million and $12.0 million, respectively, for the three month periods ended March 31, 2008 and 2007. In addition, the Company incurred software expenses relating to an agreement with a subsidiary of FIS that amounted to expenses of $12.9 million and $12.1 million, respectively, for the three month periods ended March 31, 2008 and 2007.</w:t>
      </w:r>
    </w:p>
    <w:p>
      <w:pPr>
        <w:spacing w:after="0" w:line="79"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color w:val="auto"/>
        </w:rPr>
        <w:t>Historically, the Company has provided corporate services to FIS. These corporate services include accounting, payroll, human resources, tax, legal, purchasing, risk management, mergers and acquisitions and general management. As a result of the provision of corporate services by the Company to FIS, FNF’s expenses were reduced by $0.4 million and $0.9 million, respectively, for the three month periods ended March 31, 2008 and 2007.</w:t>
      </w:r>
    </w:p>
    <w:p>
      <w:pPr>
        <w:spacing w:after="0" w:line="39" w:lineRule="exact"/>
        <w:rPr>
          <w:sz w:val="20"/>
          <w:szCs w:val="20"/>
          <w:color w:val="auto"/>
        </w:rPr>
      </w:pPr>
    </w:p>
    <w:p>
      <w:pPr>
        <w:jc w:val="both"/>
        <w:ind w:right="140" w:firstLine="225"/>
        <w:spacing w:after="0" w:line="277" w:lineRule="auto"/>
        <w:rPr>
          <w:sz w:val="20"/>
          <w:szCs w:val="20"/>
          <w:color w:val="auto"/>
        </w:rPr>
      </w:pPr>
      <w:r>
        <w:rPr>
          <w:rFonts w:ascii="Arial" w:cs="Arial" w:eastAsia="Arial" w:hAnsi="Arial"/>
          <w:sz w:val="18"/>
          <w:szCs w:val="18"/>
          <w:color w:val="auto"/>
        </w:rPr>
        <w:t>FNF also does business with additional entities of FIS that provide real estate information to the Company’s operations, for which the Company recorded expenses of $3.5 million and $3.3 million, respectively, for the three month periods ended March 31, 2008 and 2007.</w:t>
      </w:r>
    </w:p>
    <w:p>
      <w:pPr>
        <w:spacing w:after="0" w:line="62" w:lineRule="exact"/>
        <w:rPr>
          <w:sz w:val="20"/>
          <w:szCs w:val="20"/>
          <w:color w:val="auto"/>
        </w:rPr>
      </w:pPr>
    </w:p>
    <w:p>
      <w:pPr>
        <w:jc w:val="both"/>
        <w:ind w:right="160" w:firstLine="225"/>
        <w:spacing w:after="0" w:line="277" w:lineRule="auto"/>
        <w:rPr>
          <w:sz w:val="20"/>
          <w:szCs w:val="20"/>
          <w:color w:val="auto"/>
        </w:rPr>
      </w:pPr>
      <w:r>
        <w:rPr>
          <w:rFonts w:ascii="Arial" w:cs="Arial" w:eastAsia="Arial" w:hAnsi="Arial"/>
          <w:sz w:val="18"/>
          <w:szCs w:val="18"/>
          <w:color w:val="auto"/>
        </w:rPr>
        <w:t>FNF also has certain license and cost sharing agreements with FIS. FNF recorded expenses relating to these agreements of $2.2 million and $2.3 million, respectively, for the three month periods ended March 31, 2008 and 2007.</w:t>
      </w:r>
    </w:p>
    <w:p>
      <w:pPr>
        <w:spacing w:after="0" w:line="62" w:lineRule="exact"/>
        <w:rPr>
          <w:sz w:val="20"/>
          <w:szCs w:val="20"/>
          <w:color w:val="auto"/>
        </w:rPr>
      </w:pPr>
    </w:p>
    <w:p>
      <w:pPr>
        <w:jc w:val="both"/>
        <w:ind w:right="160" w:firstLine="225"/>
        <w:spacing w:after="0" w:line="259" w:lineRule="auto"/>
        <w:rPr>
          <w:sz w:val="20"/>
          <w:szCs w:val="20"/>
          <w:color w:val="auto"/>
        </w:rPr>
      </w:pPr>
      <w:r>
        <w:rPr>
          <w:rFonts w:ascii="Arial" w:cs="Arial" w:eastAsia="Arial" w:hAnsi="Arial"/>
          <w:sz w:val="18"/>
          <w:szCs w:val="18"/>
          <w:color w:val="auto"/>
        </w:rPr>
        <w:t>FNF’s revenues in the first quarter of 2008 include $6.0 million for equipment leased to FIS. FNF’s expenses in both periods include expenses for a lease of office space and equipment to FNF from FIS for the Company’s corporate headquarters and business operations offset by leases of office space, furniture and equipment to FIS by the Company. The net effect of these leases offset our expenses for the three month periods ended March 31, 2008 and 2007 in the amounts of $0.4 million and $0.2 million, respectively.</w:t>
      </w:r>
    </w:p>
    <w:p>
      <w:pPr>
        <w:spacing w:after="0" w:line="79"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The Company believes the amounts earned by the Company or charged to it under each of the foregoing arrangements are fair and reasonable.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FNF earned or was charged under these arrangements were not negotiated at arm’s-length, and may not represent the terms that the Company might have obtained from an unrelated third party.</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to FIS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00" w:type="dxa"/>
            <w:vAlign w:val="bottom"/>
          </w:tcPr>
          <w:p>
            <w:pPr>
              <w:spacing w:after="0"/>
              <w:rPr>
                <w:sz w:val="14"/>
                <w:szCs w:val="14"/>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r>
      <w:tr>
        <w:trPr>
          <w:trHeight w:val="128"/>
        </w:trPr>
        <w:tc>
          <w:tcPr>
            <w:tcW w:w="8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right"/>
              <w:ind w:right="808"/>
              <w:spacing w:after="0" w:line="128" w:lineRule="exact"/>
              <w:rPr>
                <w:sz w:val="20"/>
                <w:szCs w:val="20"/>
                <w:color w:val="auto"/>
              </w:rPr>
            </w:pPr>
            <w:r>
              <w:rPr>
                <w:rFonts w:ascii="Arial" w:cs="Arial" w:eastAsia="Arial" w:hAnsi="Arial"/>
                <w:sz w:val="14"/>
                <w:szCs w:val="14"/>
                <w:b w:val="1"/>
                <w:bCs w:val="1"/>
                <w:color w:val="auto"/>
                <w:w w:val="89"/>
              </w:rPr>
              <w:t>(In millions)</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Note payable to FIS</w:t>
            </w:r>
          </w:p>
        </w:tc>
        <w:tc>
          <w:tcPr>
            <w:tcW w:w="840" w:type="dxa"/>
            <w:vAlign w:val="bottom"/>
          </w:tcPr>
          <w:p>
            <w:pPr>
              <w:jc w:val="right"/>
              <w:ind w:right="179"/>
              <w:spacing w:after="0"/>
              <w:rPr>
                <w:sz w:val="20"/>
                <w:szCs w:val="20"/>
                <w:color w:val="auto"/>
              </w:rPr>
            </w:pPr>
            <w:r>
              <w:rPr>
                <w:rFonts w:ascii="Arial" w:cs="Arial" w:eastAsia="Arial" w:hAnsi="Arial"/>
                <w:sz w:val="18"/>
                <w:szCs w:val="18"/>
                <w:color w:val="auto"/>
              </w:rPr>
              <w:t>$6.9</w:t>
            </w:r>
          </w:p>
        </w:tc>
        <w:tc>
          <w:tcPr>
            <w:tcW w:w="1680" w:type="dxa"/>
            <w:vAlign w:val="bottom"/>
            <w:gridSpan w:val="3"/>
          </w:tcPr>
          <w:p>
            <w:pPr>
              <w:jc w:val="right"/>
              <w:ind w:right="288"/>
              <w:spacing w:after="0"/>
              <w:rPr>
                <w:sz w:val="20"/>
                <w:szCs w:val="20"/>
                <w:color w:val="auto"/>
              </w:rPr>
            </w:pPr>
            <w:r>
              <w:rPr>
                <w:rFonts w:ascii="Arial" w:cs="Arial" w:eastAsia="Arial" w:hAnsi="Arial"/>
                <w:sz w:val="18"/>
                <w:szCs w:val="18"/>
                <w:color w:val="auto"/>
              </w:rPr>
              <w:t>$ 7.1</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Due to FIS</w:t>
            </w:r>
          </w:p>
        </w:tc>
        <w:tc>
          <w:tcPr>
            <w:tcW w:w="840" w:type="dxa"/>
            <w:vAlign w:val="bottom"/>
          </w:tcPr>
          <w:p>
            <w:pPr>
              <w:jc w:val="right"/>
              <w:ind w:right="179"/>
              <w:spacing w:after="0"/>
              <w:rPr>
                <w:sz w:val="20"/>
                <w:szCs w:val="20"/>
                <w:color w:val="auto"/>
              </w:rPr>
            </w:pPr>
            <w:r>
              <w:rPr>
                <w:rFonts w:ascii="Arial" w:cs="Arial" w:eastAsia="Arial" w:hAnsi="Arial"/>
                <w:sz w:val="18"/>
                <w:szCs w:val="18"/>
                <w:color w:val="auto"/>
              </w:rPr>
              <w:t>7.9</w:t>
            </w:r>
          </w:p>
        </w:tc>
        <w:tc>
          <w:tcPr>
            <w:tcW w:w="1680" w:type="dxa"/>
            <w:vAlign w:val="bottom"/>
            <w:gridSpan w:val="3"/>
          </w:tcPr>
          <w:p>
            <w:pPr>
              <w:jc w:val="right"/>
              <w:ind w:right="288"/>
              <w:spacing w:after="0"/>
              <w:rPr>
                <w:sz w:val="20"/>
                <w:szCs w:val="20"/>
                <w:color w:val="auto"/>
              </w:rPr>
            </w:pPr>
            <w:r>
              <w:rPr>
                <w:rFonts w:ascii="Arial" w:cs="Arial" w:eastAsia="Arial" w:hAnsi="Arial"/>
                <w:sz w:val="18"/>
                <w:szCs w:val="18"/>
                <w:color w:val="auto"/>
              </w:rPr>
              <w:t>13.9</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September 30, 2007, FNF had a note receivable balance of $12.5 million due from a subsidiary of FIS. The Company earned interest revenue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$0.2 million on this note for the three month period ended March 31, 2007. On September 30, 2007, the Company acquired certain leasing assets from FIS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As part of this acquisition, the Company assumed $134.9 million in non-recourse notes payable, the $12.5 million note due to a subsidiary of FIS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forgiven, and the Company entered into an unsecured note payable to FIS in the amount of $7.3 million. The balance on this note at March 31, 2008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$6.9 million and the company’s related interest expense was $0.1 million for the three month period ended March 31, 2008. Also, as of March 31, 2008,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the Company owed $7.9 million and $13.9 million, respectively, to FIS as a result of related party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Through August 31, 2007, the Company paid amounts to Property Insight for capitalized software development and for title plant construction. These amounts included capitalized software development costs of $1.6 million and amounts paid for capitalized title plant construction costs of $5.6 million for the three month period ended March 31, 2007. During the three month period ended March 31, 2008, the Company paid FIS $0.8 million for capitalized software development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In December 2007, the Financial Accounting Standards Board (“FASB”) issued Statement of Financial Accounting Standards (“SFAS”) No. 160, “Noncontrolling Interests in Consolidated Financial Statements — an amendment of ARB No. 51” (“SFAS 160”), requiring noncontrolling interests (sometimes called minority interests) to be presented as a component of equity on the balance sheet. SFAS 160 also requires that the amount of net income attributable to the parent and to the noncontrolling interests be clearly identified and presented on the face of the consolidated statement of income. This statement eliminates the need to apply purchase accounting when a parent company acquires a noncontrolling ownership interest in a subsidiary and requires that, upon deconsolidation of a subsidiary, a parent company recognize a gain or loss in net income after which any retained noncontrolling interest will be reported at fair value. SFAS 160 requires expanded disclosures in the consolidated financial statements that identify and distinguish between the interests of the parent’s owners and the interest of the noncontrolling owners of subsidiaries. SFAS 160 is effective for periods beginning on or after December 15, 2008 and will be applied prospectively except for the presentation and disclosure requirements, which will be applied retrospectively for all periods presented. Management is currently evaluating the impact of this statement on the Company’s statements of financial position and operations.</w:t>
      </w:r>
    </w:p>
    <w:p>
      <w:pPr>
        <w:spacing w:after="0" w:line="6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December 2007, the FASB issued SFAS No. 141 (revised 2007), “Business Combinations” (“SFAS 141(R)”), requiring an acquirer in a business combination to recognize the assets acquired, the liabilities assumed, and any noncontrolling interest in the acquiree at their fair values at the acquisition date, with limited exceptions. The costs of the acquisition and any related restructuring costs will be expensed. Assets and liabilities arising from contingencies in a business combination are to be recognized at their fair value at the acquisition date and adjusted prospectively as new information becomes available. When the fair value of assets acquired exceeds the fair value of consideration transferred plus any noncontrolling interest in the acquiree, the excess will be recognized as a gain. Under SFAS 141(R), all business combinations will be accounted for by prospectively applying the acquisition method, including combinations among mutual entities and combinations by contract alone. SFAS 141(R) is effective for periods beginning on or after December 15, 2008 and will apply to business combinations occurring after the effective date.</w:t>
      </w:r>
    </w:p>
    <w:p>
      <w:pPr>
        <w:spacing w:after="0" w:line="71"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 xml:space="preserve">In June 2007, the American Institute of Certified Public Accountants (“AICPA”) issued Statement of Position 07-1, “Clarification of the Scope of the Audit and Accounting Guide Investment Companies and Accounting by Parent Companies and Equity Method Investors for Investments in Investment Companies” (“SOP 07-1”). SOP 07-1 provides guidance for determining whether an entity is within the scope of the AICPA Audit and Accounting Guide </w:t>
      </w:r>
      <w:r>
        <w:rPr>
          <w:rFonts w:ascii="Arial" w:cs="Arial" w:eastAsia="Arial" w:hAnsi="Arial"/>
          <w:sz w:val="16"/>
          <w:szCs w:val="16"/>
          <w:i w:val="1"/>
          <w:iCs w:val="1"/>
          <w:color w:val="auto"/>
        </w:rPr>
        <w:t>Investment Companies</w:t>
      </w:r>
      <w:r>
        <w:rPr>
          <w:rFonts w:ascii="Arial" w:cs="Arial" w:eastAsia="Arial" w:hAnsi="Arial"/>
          <w:sz w:val="16"/>
          <w:szCs w:val="16"/>
          <w:color w:val="auto"/>
        </w:rPr>
        <w:t>. For those entities that are investment companies under SOP 07-1, SOP 07-1 also addresses whether specialized industry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and disclosure requirements should be retained by a parent company in consolidation or by an investor that has the ability to exercise significant influence over the investment company and applies the equity method of accounting to its investment in the entity. The effective date for SOP 07-1 has been delayed indefinitely. Management is currently evaluating the impact of this statement on the Company’s statements of financial position and operations.</w:t>
      </w:r>
    </w:p>
    <w:p>
      <w:pPr>
        <w:spacing w:after="0" w:line="59"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159”), which permits entities to choose to measure financial instruments and certain other items at fair value that are not currently required to be measured at fair value. SFAS 159 mandates certain financial statement presentation and disclosure requirements when a company elects to report assets and liabilities at fair value under SFAS</w:t>
      </w:r>
    </w:p>
    <w:p>
      <w:pPr>
        <w:ind w:right="40" w:firstLine="8"/>
        <w:spacing w:after="0" w:line="26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SFAS 159 is effective as of January 1, 2008 for calendar year entities and the Company has adopted SFAS 159 as of that date with no material effects on the Company’s statements of operations or financial condition.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ind w:right="300" w:firstLine="222"/>
        <w:spacing w:after="0" w:line="312" w:lineRule="auto"/>
        <w:rPr>
          <w:sz w:val="20"/>
          <w:szCs w:val="20"/>
          <w:color w:val="auto"/>
        </w:rPr>
      </w:pPr>
      <w:r>
        <w:rPr>
          <w:rFonts w:ascii="Arial" w:cs="Arial" w:eastAsia="Arial" w:hAnsi="Arial"/>
          <w:sz w:val="16"/>
          <w:szCs w:val="16"/>
          <w:color w:val="auto"/>
        </w:rPr>
        <w:t>The results of operations and financial position of the entities acquired during any year are included in the Consolidated Financial Statements from and after the date of acquisition. Based on the Company’s valuation, any differences between the fair value of the identifiable assets and liabilities and the purchase price paid are recorded as goodwill. There were no individually significant acquisitions during the three months ended March 31, 2008.</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Equity Interest in Ceridian</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On November 9, 2007, FNF and Thomas H. Lee Partners (“THL”), along with certain co-investors, completed the acquisition of Ceridian for $36 in cash per share of common stock, or approximately $5.3 billion. The Company contributed approximately $526.8 million of the total $1.6 billion equity funding for the acquisition of Ceridian and also received $36 million in fees associated with the syndication of investors in the acquisition, of which $12.3 million was recorded as income and $23.7 million was recorded as a reduction in the investment balance. This resulted in an investment balance of $503.1 million and a 33% ownership interest in Ceridian, which the Company accounts for using the equity method of accounting for financial statement purposes.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Insight, LLC</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August 31, 2007, the Company completed the acquisition of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activities for the Company.</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ATM Holdings, Inc.</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August 13, 2007, the Company completed the acquisition of ATM Holdings, Inc. (“ATM”), a provider of nationwide mortgage vendor management services to the loan 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Interest in Remy International, Inc. (“Remy”)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held an investment in Remy’s Senior Subordinated Notes (the “Notes”) with a total fair value of $139.9 million until December 6, 2007,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time Remy implemented a pre-packaged plan of bankruptcy under Chapter 11 of the Bankruptcy Code. Pursuant to the plan of bankruptcy,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converted into 4,935,065 shares of Remy common stock and rights to buy 19,909 shares of Remy Series B preferred stock. Upon execution of the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bankruptcy, the Company purchased the 19,909 shares of the preferred stock for $1,000 per share, or a total of $19.9 million, and simultaneously sold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1,000 of those shares on the same terms and conditions to William P. Foley, II, the Company’s chairman of the board, for $1,000 per share, or a total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 million. The Company now holds a 47% ownership interest in Remy, made up of 4,935,065 shares of Remy common stock with a cost basis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$64.3 million and 18,909 shares of purchased Remy Series B preferred stock with a cost basis of $19.5 million, and accounts for this investment using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method. During 2007, as a result of the exchange of the Notes for the shares of common and preferred stock, the Company reversed the unrealized 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$75.0 million that had previously been recorded in accumulated other comprehensive earnings in relation to the Notes. During the first quarter of 2008,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external valuation of Remy was completed which indicated a higher value for Remy than the Company had initially anticipated. As a result, a $5.3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 was recorded in the first quarter of 2008. Remy, headquartered in Anderson, Indiana, is a leading manufacturer, remanufacturer and distributor of Delco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Remy brand heavy-duty systems and Remy brand starters and alternators, locomotive products and hybrid power technology.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Earnings Per Share</w:t>
      </w:r>
    </w:p>
    <w:p>
      <w:pPr>
        <w:spacing w:after="0" w:line="121"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by the weighted average number of common shares outstanding plus the impact of assumed conversions of potentially dilutive securities. The Company has granted certain options, warrants, and shares of restricted stock which have been treated as common share equivalents for purposes of calculating diluted earnings per share.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21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5"/>
              </w:rPr>
              <w:t>thousands,</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vMerge w:val="continue"/>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during the period, basic basis</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211,110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219,014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Plus: Common equivalent shares assumed from conversion of options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 diluted basis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213,528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For the three months ended March 31, 2008 and 2007, options to purchase 6,701,041 shares and 4,322,799 shares, respectively, of the Company’s common stock were not included in the computation of diluted earnings per share because they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Fair Value Measurements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September 2006, the FASB issued SFAS No. 157, “Fair Value Measurements” (“SFAS 157”). SFAS 157 defines fair value, establishes a framework for measuring fair value, and expands disclosures about fair value measurements by establishing a fair value hierarchy based on the quality of inputs used to measure fair value. SFAS 157 does not require any new fair value measurements, but applies under other accounting pronouncements that require or permit fair value measurements. SFAS 157 is effective for financial statements for fiscal years beginning after November 15, 2007. The Company adopted SFAS 157 as of January 1, 2008. FASB Staff Position SFAS No. 157-2, “Effective Date of FASB Statement No. 157,” delays the effective date of SFAS 157 with respect to nonfinancial assets and nonfinancial liabilities that are not remeasured at fair value on a recurring basis until fiscal years beginning after November 15, 2008. Accordingly, the Company has not yet applied the disclosure requirements of SFAS 157 to certain such nonfinancial assets for which fair value measurements are determined only when there is an indication of potential impairment.</w:t>
      </w:r>
    </w:p>
    <w:p>
      <w:pPr>
        <w:spacing w:after="0" w:line="58"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The fair value hierarchy established by SFAS 157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The Company has no financial instruments categorized under Level 3. In accordance with SFAS No. 157, the Company’s financial assets and liabilities that are recorded on the Condensed Consolidated Balance Sheets are categorized as Level 1 or 2 based on the inputs to the valuation techniques as follows:</w:t>
      </w:r>
    </w:p>
    <w:p>
      <w:pPr>
        <w:spacing w:after="0" w:line="70"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Level 1. Financial assets and liabilities whose values are based on unadjusted quoted prices for identical assets or liabilities in an active market that FNF has the ability to access.</w:t>
      </w:r>
    </w:p>
    <w:p>
      <w:pPr>
        <w:spacing w:after="0" w:line="62"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Level 2. Financial assets and liabilities whose values are based on quoted prices in markets that are not active or model inputs that are observable either directly or indirectly for substantially the full term of the asset or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presents the Company’s fair value hierarchy for those assets and liabilities measured at fair value on a recurring basis as of March 31, 2008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Level 1</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Level 2</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 available for sale</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$ 2,603,552</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$ 2,603,552</w:t>
            </w: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Equity securities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76,145</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76,145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$ 2,603,552</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$ 2,679,697</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Investments</w:t>
      </w:r>
    </w:p>
    <w:p>
      <w:pPr>
        <w:spacing w:after="0" w:line="121"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Company lends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March 31, 2008 and December 31, 2007, the Company had security loans outstanding with fair values of $239.8 million and $271.8 million included in accounts payable and accrued liabilities, respectively and the Company held cash in the same amounts as collateral for the loaned securities.</w:t>
      </w:r>
    </w:p>
    <w:p>
      <w:pPr>
        <w:spacing w:after="0" w:line="8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Gross unrealized losses on investment securities and the fair value of the related securities, aggregated by investment category and length of time that individual securities have been in a continuous unrealized loss position at March 31, 2008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Less than 12 Months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top w:val="single" w:sz="8" w:color="auto"/>
            </w:tcBorders>
            <w:gridSpan w:val="2"/>
            <w:vMerge w:val="restart"/>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68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vMerge w:val="restart"/>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2"/>
              </w:rPr>
              <w:t>Losses</w:t>
            </w:r>
          </w:p>
        </w:tc>
        <w:tc>
          <w:tcPr>
            <w:tcW w:w="68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States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52,378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206,961</w:t>
            </w: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(13,852)</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259,339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(19,603)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42,949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(11,249)</w:t>
            </w:r>
          </w:p>
        </w:tc>
        <w:tc>
          <w:tcPr>
            <w:tcW w:w="0" w:type="dxa"/>
            <w:vAlign w:val="bottom"/>
          </w:tcPr>
          <w:p>
            <w:pPr>
              <w:spacing w:after="0"/>
              <w:rPr>
                <w:sz w:val="1"/>
                <w:szCs w:val="1"/>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8"/>
                <w:szCs w:val="18"/>
                <w:color w:val="auto"/>
              </w:rPr>
              <w:t>Total temporarily impaired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118,016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(14,941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255,072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(16,839</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373,088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(31,780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15"/>
        <w:spacing w:after="0" w:line="273" w:lineRule="auto"/>
        <w:rPr>
          <w:sz w:val="20"/>
          <w:szCs w:val="20"/>
          <w:color w:val="auto"/>
        </w:rPr>
      </w:pPr>
      <w:r>
        <w:rPr>
          <w:rFonts w:ascii="Arial" w:cs="Arial" w:eastAsia="Arial" w:hAnsi="Arial"/>
          <w:sz w:val="17"/>
          <w:szCs w:val="17"/>
          <w:color w:val="auto"/>
        </w:rPr>
        <w:t>A substantial portion of the Company’s unrealized losses relate to debt securities. These unrealized losses were primarily caused by interest rate increases. Since the decline in fair value of these investments is primarily attributable to changes in interest rates, and the Company has the intent and ability to hold these securities, the Company does not consider these investments other-than-temporarily impaired. The unrealized losses relating to equity securities were caused by market changes that the Company considers to be temporary and thus the Company does not consider these investments other-than-temporarily impaired. During the first quarter of 2008, the Company recorded an impairment charge in the amount of $1.5 million related to one of its equity securities that was deemed other than temporarily impaired.</w:t>
      </w:r>
    </w:p>
    <w:p>
      <w:pPr>
        <w:spacing w:after="0" w:line="7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Gross realized gains on investments for the quarters ended March 31, 2008 and 2007 were $11.0 million and $14.5 million, respectively. Gross realized losses on investments for the quarters ended March 31, 2008 and 2007 were $2.5 million and $9.8 million, respectively.</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March 31, 2008 and December 31, 2007, consist of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Ownership</w:t>
            </w: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Ceridian</w:t>
            </w:r>
          </w:p>
        </w:tc>
        <w:tc>
          <w:tcPr>
            <w:tcW w:w="4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$ 497,978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Sedgwick</w:t>
            </w:r>
          </w:p>
        </w:tc>
        <w:tc>
          <w:tcPr>
            <w:tcW w:w="6060" w:type="dxa"/>
            <w:vAlign w:val="bottom"/>
            <w:gridSpan w:val="3"/>
          </w:tcPr>
          <w:p>
            <w:pPr>
              <w:jc w:val="right"/>
              <w:ind w:right="58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138,595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Remy</w:t>
            </w:r>
          </w:p>
        </w:tc>
        <w:tc>
          <w:tcPr>
            <w:tcW w:w="6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84,103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464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various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$ 745,314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40" w:type="dxa"/>
            <w:vAlign w:val="bottom"/>
            <w:vMerge w:val="restart"/>
          </w:tcPr>
          <w:p>
            <w:pPr>
              <w:jc w:val="right"/>
              <w:ind w:right="193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5"/>
        <w:spacing w:after="0" w:line="286" w:lineRule="auto"/>
        <w:rPr>
          <w:sz w:val="20"/>
          <w:szCs w:val="20"/>
          <w:color w:val="auto"/>
        </w:rPr>
      </w:pPr>
      <w:r>
        <w:rPr>
          <w:rFonts w:ascii="Arial" w:cs="Arial" w:eastAsia="Arial" w:hAnsi="Arial"/>
          <w:sz w:val="17"/>
          <w:szCs w:val="17"/>
          <w:color w:val="auto"/>
        </w:rPr>
        <w:t>Summarized financial information for Ceridian is presented below for the time period subsequent to November 9, 2007, the date of acquisition. The Company accounts for its equity in income of Ceridian on a three-month lag. Accordingly, FNF’s net earnings for the three month period ended March 31, 2008, include the Company’s equity in Ceridian’s earnings for the period from November 10, 2007 through December 31, 2007.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73"/>
              <w:spacing w:after="0" w:line="142" w:lineRule="exact"/>
              <w:rPr>
                <w:sz w:val="20"/>
                <w:szCs w:val="20"/>
                <w:color w:val="auto"/>
              </w:rPr>
            </w:pPr>
            <w:r>
              <w:rPr>
                <w:rFonts w:ascii="Arial" w:cs="Arial" w:eastAsia="Arial" w:hAnsi="Arial"/>
                <w:sz w:val="14"/>
                <w:szCs w:val="14"/>
                <w:color w:val="auto"/>
                <w:w w:val="99"/>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4,042.8</w:t>
            </w: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Long-term obligations, less current portion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4302.0</w:t>
            </w: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1,487.4</w:t>
            </w: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November 10 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rPr>
              <w:t>(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During the first quarter of 2008, we recorded an aggregate of $0.9 million in equity in earnings of Ceridian, Sedgwick, and Remy. During the first quarter of 2007, we recorded an aggregate of $1.0 million in equity in earnings of Sedgwick.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 Plans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first quarter of 2008, the Company granted 600,000 shares of restricted stock with a weighted average grant date fair value of $17.07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grants of stock-based compensation awards during the first quarter of 2007.</w:t>
      </w:r>
    </w:p>
    <w:p>
      <w:pPr>
        <w:spacing w:after="0" w:line="10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Net income for the quarters ended March 31, 2008 and 2007 reflects stock based compensation expense of $6.9 million and $7.5 million, respectively, which is included in personnel costs in the reported financial results.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Summarized financial information concerning the Company’s reportable segments is shown in the following table.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three months ended March 31, 2008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Fidelity National</w:t>
            </w:r>
          </w:p>
        </w:tc>
        <w:tc>
          <w:tcPr>
            <w:tcW w:w="13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1"/>
              </w:rPr>
              <w:t>Specialty</w:t>
            </w:r>
          </w:p>
        </w:tc>
        <w:tc>
          <w:tcPr>
            <w:tcW w:w="14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Title Group</w:t>
            </w:r>
          </w:p>
        </w:tc>
        <w:tc>
          <w:tcPr>
            <w:tcW w:w="620" w:type="dxa"/>
            <w:vAlign w:val="bottom"/>
            <w:gridSpan w:val="2"/>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640" w:type="dxa"/>
            <w:vAlign w:val="bottom"/>
            <w:gridSpan w:val="2"/>
          </w:tcPr>
          <w:p>
            <w:pPr>
              <w:spacing w:after="0"/>
              <w:rPr>
                <w:sz w:val="14"/>
                <w:szCs w:val="14"/>
                <w:color w:val="auto"/>
              </w:rPr>
            </w:pPr>
          </w:p>
        </w:tc>
        <w:tc>
          <w:tcPr>
            <w:tcW w:w="8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728,215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242,502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84,827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358,448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84,827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40,845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3,672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1,011,562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88,499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37,914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1,137,975</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Earnings (loss) before income tax and minority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54,045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9,419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(25,416)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36,671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(16,084)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5,656,446</w:t>
            </w:r>
          </w:p>
        </w:tc>
        <w:tc>
          <w:tcPr>
            <w:tcW w:w="54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433,343</w:t>
            </w:r>
          </w:p>
        </w:tc>
        <w:tc>
          <w:tcPr>
            <w:tcW w:w="5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1,385,559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7,475,348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1,247,004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23,842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67,725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1,338,571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w w:val="94"/>
              </w:rPr>
              <w:t>As of and for the three months ended March 31, 2007 (dollars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Fidelity National</w:t>
            </w:r>
          </w:p>
        </w:tc>
        <w:tc>
          <w:tcPr>
            <w:tcW w:w="12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Specialty</w:t>
            </w:r>
          </w:p>
        </w:tc>
        <w:tc>
          <w:tcPr>
            <w:tcW w:w="120" w:type="dxa"/>
            <w:vAlign w:val="bottom"/>
          </w:tcPr>
          <w:p>
            <w:pPr>
              <w:spacing w:after="0"/>
              <w:rPr>
                <w:sz w:val="24"/>
                <w:szCs w:val="2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24"/>
                <w:szCs w:val="2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Title Group</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Insurance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960,743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240,173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94,998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351,978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1,200,916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94,998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45,170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1,246,086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98,970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1,368,065</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26,917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1,558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Earnings (loss) before income tax and minority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114,772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25,426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(13,311)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40,743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74,100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15,857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5,668,441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484,897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862,238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7,015,576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1,107,329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23,842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70,661</w:t>
            </w:r>
          </w:p>
        </w:tc>
        <w:tc>
          <w:tcPr>
            <w:tcW w:w="6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1,201,832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7"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This segment consists of the operations of FNF’s title insurance underwriters and related businesses. This segment provides core title insurance and escrow and other title related services including collection and trust activities, trustee’s sales guarantees, recordings and reconveyances.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segment consists of certain subsidiaries that issue flood, home warranty, homeowners, automobile, and other personal lines insurance policies.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the operations of Fidelity National Real Estate Solutions, Inc (“FNRES”), other smaller operations, and the Company’s share in the operations of certain equity investments, including Sedgwick, Ceridian, and Remy. In the first quarter of 2008, the Company recorded a $2.7 million impairment charge to an intangible asset in the corporate and other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Dividends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April 23, 2008, the Company’s Board of Directors declared a cash dividend of $0.30 per share, payable on June 30, 2008, to stockholders of record as of June 13,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Pension and Postretirement Benefits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details the Company’s periodic (income) expense for pension and postretirement benefits: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For the Three Months Ended March 31,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5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9"/>
              </w:rPr>
              <w:t>except per</w:t>
            </w:r>
          </w:p>
        </w:tc>
        <w:tc>
          <w:tcPr>
            <w:tcW w:w="140" w:type="dxa"/>
            <w:vAlign w:val="bottom"/>
          </w:tcPr>
          <w:p>
            <w:pPr>
              <w:spacing w:after="0"/>
              <w:rPr>
                <w:sz w:val="12"/>
                <w:szCs w:val="12"/>
                <w:color w:val="auto"/>
              </w:rPr>
            </w:pPr>
          </w:p>
        </w:tc>
        <w:tc>
          <w:tcPr>
            <w:tcW w:w="200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vMerge w:val="continue"/>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2,219</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(2,895)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8"/>
              </w:rPr>
              <w:t>(2,660)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net periodic (income)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There have been no material changes to the Company’s projected benefit payments under these plans since December 31, 2007 as disclosed in the Company’s Form 10-K filed on February 29,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Legal Proceedings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Management believes that no actions, other than those listed below, depart from customary litigation incidental to the Company’s business. As background to the disclosure below, please note the following:</w:t>
      </w:r>
    </w:p>
    <w:p>
      <w:pPr>
        <w:spacing w:after="0" w:line="73" w:lineRule="exact"/>
        <w:rPr>
          <w:sz w:val="20"/>
          <w:szCs w:val="20"/>
          <w:color w:val="auto"/>
        </w:rPr>
      </w:pPr>
    </w:p>
    <w:p>
      <w:pPr>
        <w:ind w:left="660" w:right="60" w:hanging="436"/>
        <w:spacing w:after="0" w:line="272"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right="240" w:hanging="436"/>
        <w:spacing w:after="0" w:line="272"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the Company’s experience, monetary demands in plaintiffs’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520"/>
        <w:spacing w:after="0" w:line="342" w:lineRule="auto"/>
        <w:rPr>
          <w:sz w:val="20"/>
          <w:szCs w:val="20"/>
          <w:color w:val="auto"/>
        </w:rPr>
      </w:pPr>
      <w:r>
        <w:rPr>
          <w:rFonts w:ascii="Arial" w:cs="Arial" w:eastAsia="Arial" w:hAnsi="Arial"/>
          <w:sz w:val="16"/>
          <w:szCs w:val="16"/>
          <w:color w:val="auto"/>
        </w:rPr>
        <w:t>court pleadings bear little relation to the ultimate loss, if any, that the Company may experience. None of the cases described below includes a statement as to the dollar amount of damages demanded. Instead, each of the cases includes a demand in an amount to be proved at trial.</w:t>
      </w:r>
    </w:p>
    <w:p>
      <w:pPr>
        <w:spacing w:after="0" w:line="29" w:lineRule="exact"/>
        <w:rPr>
          <w:sz w:val="20"/>
          <w:szCs w:val="20"/>
          <w:color w:val="auto"/>
        </w:rPr>
      </w:pPr>
    </w:p>
    <w:p>
      <w:pPr>
        <w:ind w:left="660" w:right="40" w:hanging="436"/>
        <w:spacing w:after="0" w:line="279"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The Company reviews these matters on an ongoing basis and follows the provisions of Statement of Financial Accounting Standards (“SFAS”) No. 5, “Accounting for Contingencies” when making accrual and disclosure decisions. When assessing reasonably possible and probable outcomes, management bases its decision on its assessment of the ultimate outcome following all appeals.</w:t>
      </w:r>
    </w:p>
    <w:p>
      <w:pPr>
        <w:spacing w:after="0" w:line="76" w:lineRule="exact"/>
        <w:rPr>
          <w:rFonts w:ascii="Arial" w:cs="Arial" w:eastAsia="Arial" w:hAnsi="Arial"/>
          <w:sz w:val="17"/>
          <w:szCs w:val="17"/>
          <w:b w:val="1"/>
          <w:bCs w:val="1"/>
          <w:color w:val="auto"/>
        </w:rPr>
      </w:pPr>
    </w:p>
    <w:p>
      <w:pPr>
        <w:ind w:left="66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 intends to vigorously defend each of these matters. 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73" w:lineRule="exact"/>
        <w:rPr>
          <w:sz w:val="20"/>
          <w:szCs w:val="20"/>
          <w:color w:val="auto"/>
        </w:rPr>
      </w:pPr>
    </w:p>
    <w:p>
      <w:pPr>
        <w:ind w:right="360" w:firstLine="222"/>
        <w:spacing w:after="0" w:line="279" w:lineRule="auto"/>
        <w:rPr>
          <w:sz w:val="20"/>
          <w:szCs w:val="20"/>
          <w:color w:val="auto"/>
        </w:rPr>
      </w:pPr>
      <w:r>
        <w:rPr>
          <w:rFonts w:ascii="Arial" w:cs="Arial" w:eastAsia="Arial" w:hAnsi="Arial"/>
          <w:sz w:val="17"/>
          <w:szCs w:val="17"/>
          <w:color w:val="auto"/>
        </w:rPr>
        <w:t>There are class actions pending against several title insurance companies, including Security Union Title Insurance Company, Fidelity National Title Insurance Company, Chicago Title Insurance Company, Ticor Title Insurance Company of Florida and Ticor Title Insurance Company,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w:t>
      </w:r>
    </w:p>
    <w:p>
      <w:pPr>
        <w:spacing w:after="0" w:line="6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An amended complaint was filed in Illinois (Independent Trust v. Fidelity National Title Insurance Company of New York, filed on June 26, 2006 in the United States District Court for the Northern District of Illinois, Eastern Division) related to the litigation spawned by the defalcation of Intercounty Title Company of Illinois (“Intercounty”), a Fidelity agent in Chicago, IL. The plaintiff alleges the Company wrongfully used its funds to pay monies owed by the Company to customers of Intercounty. The plaintiff demands compensatory damages (which the plaintiff alleges are believed to be in excess of $20 million), punitive damages and other relief.</w:t>
      </w:r>
    </w:p>
    <w:p>
      <w:pPr>
        <w:spacing w:after="0" w:line="80"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In February 2008, thirteen putative class actions were commenced against several title insurance companies, including Fidelity National Title Insurance Company, Chicago Title Insurance Company, and Ticor Title Insurance Company (collectively, the “Fidelity Affiliates”). The complaints also name Fidelity National Financial, Inc.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now 56 complaints pending alleging that the Fidelity Defendants conspired with their competitors to unlawfully inflate rates for title insurance in every major market in the United States. A motion was filed before the Multidistrict Litigation Panel to consolidate and or coordinate these actions in the United States District Court in the Southern District of New York. The motion is fully briefed although oral argument has not been set.</w:t>
      </w:r>
    </w:p>
    <w:p>
      <w:pPr>
        <w:spacing w:after="0" w:line="65" w:lineRule="exact"/>
        <w:rPr>
          <w:sz w:val="20"/>
          <w:szCs w:val="20"/>
          <w:color w:val="auto"/>
        </w:rPr>
      </w:pPr>
    </w:p>
    <w:p>
      <w:pPr>
        <w:ind w:right="140" w:firstLine="225"/>
        <w:spacing w:after="0" w:line="254" w:lineRule="auto"/>
        <w:rPr>
          <w:sz w:val="20"/>
          <w:szCs w:val="20"/>
          <w:color w:val="auto"/>
        </w:rPr>
      </w:pPr>
      <w:r>
        <w:rPr>
          <w:rFonts w:ascii="Arial" w:cs="Arial" w:eastAsia="Arial" w:hAnsi="Arial"/>
          <w:sz w:val="18"/>
          <w:szCs w:val="18"/>
          <w:color w:val="auto"/>
        </w:rPr>
        <w:t>On September 24, 2007 a third party complaint was filed in the In Re Ameriquest Mortgage Lending Practices Litigation in the United States District Court for the Northern District of Illinois by Ameriquest Mortgage Company (“Ameriquest”) and Argent Mortgage Company (“Argent”) against numerous title insurers and agents including Chicago Title Company, Fidelity National Title Company, Fidelity National Title Insurance Company, American Pioneer Title Insurance Company (now known as Ticor Title Insurance Company of Florida), Chicago Title of Michigan, Fidelity National Title Insurance Company of New York, and Ticor Title Insurance Company (collectively, the “Fidelity Affiliates”). The third party complaint alleges that Ameriquest and Argent have been sued by a class of borrowers alleging that they violated the Truth in Lending Act (“TILA”) by failing to comply with the notice of right to cancel provisions and making misrepresentations in lending to the borrowers who now seek money damages. Ameriquest and Argent allege that the Fidelity Affiliates contracted and warranted to close these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loans in conformity with the lender’s instructions which correctly followed the requirements of TILA and contained no misrepresentations; therefore, if Ameriquest and Argent are liable to the class, then the Fidelity Affiliates are liable to them for failing to close the lending transactions as agreed. Ameriquest and Argent seek to recover the cost of resolving the class action against them including their attorney’s fees and costs in the action. The title defendants are organizing to form a defense group and, as requested by the court, are exploring the possibility of filing a single collective response.</w:t>
      </w:r>
    </w:p>
    <w:p>
      <w:pPr>
        <w:spacing w:after="0" w:line="46"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None of the cases described above includes a statement as to the dollar amount of damages demanded. Instead, each of the cases includes a demand in an amount to be proved at trial.</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January 2007, the State of California adopted regulations that would have significant effects on the title insurance industry in California. The Company, as well as others, has been engaged in discussions with the California Department of Insurance (the “CDI”) regarding possible industry reforms that may result in the CDI’s decision to modify or repeal the regulations prior to their implementation. On April 28, 2008, the California Insurance Commissioner announced that the CDI expects to soon release new revised regulations, which the Company understands will contain substantial changes to the existing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80" w:firstLine="222"/>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adverse changes in the level of real estate activity, which may be caused by, among other things, high or increasing interest rates, a limited supply of mortgage funding or a weak U. S. economy; our potential inability to find suitable acquisition candidates, acquisitions in lines of business that will not necessarily be limited to our traditional areas of focus, or difficulties in integrating acquisitions; our dependence on operating subsidiaries as a source of cash flow; significant competition that our operating subsidiaries face; compliance with extensive government regulation of our operating subsidiaries; and other risks detailed in the “Statement Regarding Forward-Looking Information,” “Risk Factors” and other sections of the Company’s Form 10-K and other filings with the Securities and Exchange Commission.</w:t>
      </w:r>
    </w:p>
    <w:p>
      <w:pPr>
        <w:spacing w:after="0" w:line="65"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 the course of an internal review of our treatment of certain costs relating to insurance policies issued by our specialty insurance group, we determined that certain costs should be deferred and amortized over the life of the policy consistent with the recognition of the premiums. We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unaudited condensed consolidated financial statements and is not material to the Company’s financial position or results of operations for any other previously reported annual periods.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discussion should be read in conjunction with the Company’s Annual Report on Form 10-K for the year ended December 31, 2007.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are a holding company that is a provider, through our subsidiaries, of title insurance, specialty insurance, claims management services, and information services. We are one of the nation’s largest title insurance companies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through our title insurance underwriters — Fidelity National Title, Chicago Title, Ticor Title, Security Union Title, and Alamo Title — which issued approximately 27.7% of all title insurance policies issued nationally during 2006. We also provide flood insurance, personal lines insurance, and home warranty insurance through our specialty insurance subsidiaries. We are also a leading provider of outsourced claims management services to large corporate and public sector entities through our minority-owned affiliate, Sedgwick CMS (“Sedgwick”) and a provider of information services in the human resources, retail and transportation markets through another minority-owned affiliate, Ceridian Corporation (“Ceridian”).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currently have three reporting segments as follows:</w:t>
      </w:r>
    </w:p>
    <w:p>
      <w:pPr>
        <w:spacing w:after="0" w:line="117" w:lineRule="exact"/>
        <w:rPr>
          <w:sz w:val="20"/>
          <w:szCs w:val="20"/>
          <w:color w:val="auto"/>
        </w:rPr>
      </w:pPr>
    </w:p>
    <w:p>
      <w:pPr>
        <w:ind w:left="660" w:right="6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w:t>
      </w:r>
    </w:p>
    <w:p>
      <w:pPr>
        <w:spacing w:after="0" w:line="86" w:lineRule="exact"/>
        <w:rPr>
          <w:rFonts w:ascii="Arial" w:cs="Arial" w:eastAsia="Arial" w:hAnsi="Arial"/>
          <w:sz w:val="18"/>
          <w:szCs w:val="18"/>
          <w:b w:val="1"/>
          <w:bCs w:val="1"/>
          <w:color w:val="auto"/>
        </w:rPr>
      </w:pPr>
    </w:p>
    <w:p>
      <w:pPr>
        <w:jc w:val="both"/>
        <w:ind w:left="660" w:right="10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Specialty Insurance. </w:t>
      </w:r>
      <w:r>
        <w:rPr>
          <w:rFonts w:ascii="Arial" w:cs="Arial" w:eastAsia="Arial" w:hAnsi="Arial"/>
          <w:sz w:val="18"/>
          <w:szCs w:val="18"/>
          <w:color w:val="auto"/>
        </w:rPr>
        <w:t>The specialty insurance segment consists of certain subsidiaries that issue flood, home warranty, homeowners, automobile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personal lines insurance policies. We recently announced that our Board of Directors has authorized us to investigate strategic alternatives for certain of our specialty insurance businesses. The assets to be evaluated include the flood insurance and personal lines insurance businesses, but not the home warranty business.</w:t>
      </w:r>
    </w:p>
    <w:p>
      <w:pPr>
        <w:spacing w:after="0" w:line="92" w:lineRule="exact"/>
        <w:rPr>
          <w:rFonts w:ascii="Arial" w:cs="Arial" w:eastAsia="Arial" w:hAnsi="Arial"/>
          <w:sz w:val="18"/>
          <w:szCs w:val="18"/>
          <w:b w:val="1"/>
          <w:bCs w:val="1"/>
          <w:color w:val="auto"/>
        </w:rPr>
      </w:pPr>
    </w:p>
    <w:p>
      <w:pPr>
        <w:jc w:val="both"/>
        <w:ind w:left="660" w:right="20" w:hanging="436"/>
        <w:spacing w:after="0" w:line="286"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The corporate and other segment consists of the operations of the parent holding company, certain other unallocated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expenses, the operations of Fidelity National Real Estate Solutions (“FNRES”), other smaller operations, and our share in the operations of certain equity investments, including Sedgwick, Ceridian, and Remy International (“Remy”).</w:t>
      </w:r>
    </w:p>
    <w:p>
      <w:pPr>
        <w:spacing w:after="0" w:line="5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are focused on evaluating our non-core assets and investments as potential vehicles for creating liquidity. Our intent is to use that liquidity to maintain our $1.20 per share annual dividend payments and to repurchase shares of our outstanding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Our financial statements reflect transactions with Fidelity National Information Services (“FIS”), which is a related party. Please see Note A of Notes to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17"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Three Months Ended</w:t>
      </w:r>
    </w:p>
    <w:p>
      <w:pPr>
        <w:jc w:val="center"/>
        <w:ind w:left="8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tcPr>
          <w:p>
            <w:pPr>
              <w:ind w:left="400"/>
              <w:spacing w:after="0" w:line="119" w:lineRule="exact"/>
              <w:rPr>
                <w:sz w:val="20"/>
                <w:szCs w:val="20"/>
                <w:color w:val="auto"/>
              </w:rPr>
            </w:pPr>
            <w:r>
              <w:rPr>
                <w:rFonts w:ascii="Arial" w:cs="Arial" w:eastAsia="Arial" w:hAnsi="Arial"/>
                <w:sz w:val="13"/>
                <w:szCs w:val="13"/>
                <w:b w:val="1"/>
                <w:bCs w:val="1"/>
                <w:color w:val="auto"/>
              </w:rPr>
              <w:t>(Dollars in thousands,</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380"/>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1,137,975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1,368,065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Total expenses</w:t>
            </w: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1,100,793</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1,242,175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83,399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40" w:type="dxa"/>
            <w:vAlign w:val="bottom"/>
            <w:vMerge w:val="restart"/>
          </w:tcPr>
          <w:p>
            <w:pPr>
              <w:jc w:val="right"/>
              <w:ind w:right="309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4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4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following table presents the components of our revenue:</w:t>
      </w:r>
    </w:p>
    <w:p>
      <w:pPr>
        <w:spacing w:after="0" w:line="217"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Three Months Ended</w:t>
      </w:r>
    </w:p>
    <w:p>
      <w:pPr>
        <w:jc w:val="center"/>
        <w:ind w:left="8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ind w:left="3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Direct title insurance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304,779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418,597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Agency title insurance premiums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423,436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542,146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Escrow, title-related and other fees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273,621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256,980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Specialty insurance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84,827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48,962</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Realized gains and losses, net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1,137,975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1,368,065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Orders opened by direct title operations</w:t>
            </w: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562,200</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Orders closed by direct title operations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307,800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390,400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Total consolidated revenues for the first quarter of 2008 decreased $230.1 million to $1,138.0 million, consisting primarily of a decrease of $215.9 million in title related revenues, and a $10.2 million decrease in specialty insurance revenues.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title insurance premiums for the three-month periods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w w:val="96"/>
              </w:rPr>
              <w:t>Three months ended March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780" w:type="dxa"/>
            <w:vAlign w:val="bottom"/>
            <w:vMerge w:val="restart"/>
          </w:tcPr>
          <w:p>
            <w:pPr>
              <w:spacing w:after="0"/>
              <w:rPr>
                <w:sz w:val="10"/>
                <w:szCs w:val="10"/>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0"/>
                <w:szCs w:val="10"/>
                <w:color w:val="auto"/>
              </w:rPr>
            </w:pPr>
          </w:p>
        </w:tc>
        <w:tc>
          <w:tcPr>
            <w:tcW w:w="1400" w:type="dxa"/>
            <w:vAlign w:val="bottom"/>
            <w:gridSpan w:val="2"/>
          </w:tcPr>
          <w:p>
            <w:pPr>
              <w:jc w:val="right"/>
              <w:ind w:right="920"/>
              <w:spacing w:after="0" w:line="119" w:lineRule="exact"/>
              <w:rPr>
                <w:sz w:val="20"/>
                <w:szCs w:val="20"/>
                <w:color w:val="auto"/>
              </w:rPr>
            </w:pPr>
            <w:r>
              <w:rPr>
                <w:rFonts w:ascii="Arial" w:cs="Arial" w:eastAsia="Arial" w:hAnsi="Arial"/>
                <w:sz w:val="13"/>
                <w:szCs w:val="13"/>
                <w:b w:val="1"/>
                <w:bCs w:val="1"/>
                <w:color w:val="auto"/>
              </w:rPr>
              <w:t>% of</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0"/>
                <w:szCs w:val="10"/>
                <w:color w:val="auto"/>
              </w:rPr>
            </w:pPr>
          </w:p>
        </w:tc>
        <w:tc>
          <w:tcPr>
            <w:tcW w:w="68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80" w:type="dxa"/>
            <w:vAlign w:val="bottom"/>
            <w:gridSpan w:val="4"/>
          </w:tcPr>
          <w:p>
            <w:pPr>
              <w:jc w:val="right"/>
              <w:ind w:right="10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Title premiums from direct operations</w:t>
            </w:r>
          </w:p>
        </w:tc>
        <w:tc>
          <w:tcPr>
            <w:tcW w:w="3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$ 304,779</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$ 418,597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Title premiums from agency operations</w:t>
            </w:r>
          </w:p>
        </w:tc>
        <w:tc>
          <w:tcPr>
            <w:tcW w:w="17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423,436</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58.1</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542,146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$ 728,215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$ 960,743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2"/>
        <w:spacing w:after="0" w:line="308" w:lineRule="auto"/>
        <w:rPr>
          <w:sz w:val="20"/>
          <w:szCs w:val="20"/>
          <w:color w:val="auto"/>
        </w:rPr>
      </w:pPr>
      <w:r>
        <w:rPr>
          <w:rFonts w:ascii="Arial" w:cs="Arial" w:eastAsia="Arial" w:hAnsi="Arial"/>
          <w:sz w:val="17"/>
          <w:szCs w:val="17"/>
          <w:color w:val="auto"/>
        </w:rPr>
        <w:t>Title insurance premiums decreased 24.2% to $728.2 million in the first quarter of 2008 as compared with the first quarter of 2007. The decrease was made up of a $113.8 million or 27.2% decrease in direct premiums and a $118.7 million or 21.9% decrease in premiums from agency operations.</w:t>
      </w:r>
    </w:p>
    <w:p>
      <w:pPr>
        <w:spacing w:after="0" w:line="38"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Title premiums from direct operations decreased $113.8 million, or 27.2%, from $418.6 million in the first quarter of 2007 to $304.8 million in the first quarter of 2008 due to decreases in closed order volume and fee per file. Closed order volumes decreased to 307,800 in the first quarter of 2008 from 390,400 in the first quarter of 2007, reflecting a declining purchase market, partially offset by an increase in refinance transactions. In addition to earlier rate reduction actions, during the first quarter of 2008, the Federal Reserve Bank decreased the federal funds rate by a total of 200 basis points, resulting in increased refinance order volumes during the first quarter of 2008. While a majority of these opened orders were ultimately closed, this increased level of order volumes has not been sustained. The average fee per file in our direct operations was $1,447 in the first quarter of 2008 compared to $1,557 in the first quarter of 2007, reflecting the increased refinance activity and a slowing commercial market. The fee per file tends to change as the mix of refinance and purchase transactions changes, because purchase transactions generally involve the issuance of both a lender’s policy and an owner’s policy, resulting in higher fees, whereas refinance transactions typically only require a lender’s policy, resulting in lower fees.</w:t>
      </w:r>
    </w:p>
    <w:p>
      <w:pPr>
        <w:spacing w:after="0" w:line="74"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decrease in agency premiums is primarily the result of a decrease in remitted and accrued agency premiums that is consistent with the decrease in direct title premiums.</w:t>
      </w:r>
    </w:p>
    <w:p>
      <w:pPr>
        <w:spacing w:after="0" w:line="62"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Escrow, title-related and other fees increased $16.6 million, or 6.5%, to $273.6 million in the first quarter of 2008 compared to $257.0 million in the first quarter of 2007. Trends in escrow and title related fees are to some extent related to title insurance activity generated by our direct operations. At Fidelity National Title Group, escrow and other title-related fees, which are more directly related to our direct operations, decreased 26.9%, generally consistent with the fluctuation in direct title insurance premiums and order counts. They were also impacted by an increase in the proportionate share of direct title premiums provided by commercial activity, for which escrow fees as a percentage of premiums are lower. Other fees increased $39.6 million at Fidelity National Title Group due to recent acquisitions, including Property Insight, LLC, and ATM Holding, Inc., and to growth in foreclosure related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operations. Other fees increased $14.3 million in the corporate and other segment, primarily due to a transaction relating to our timberland holdings and revenues relating to the purchase of certain leasing assets from FIS.</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was $42.8 million and $49.0 million in the first three months of 2008 and 2007, respectively.</w:t>
      </w:r>
    </w:p>
    <w:p>
      <w:pPr>
        <w:spacing w:after="0" w:line="62"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Net realized gains totaled $8.5 million in the first three months of 2008 and included an impairment loss of $1.5 million on an equity investment that was deemed to be other than temporarily impaired. Net realized gains in the first three months of 2007 totaled $6.4 million, made up of a number of gains and losses on various transactions, none of which were individually significant.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The following table presents the components of our expenses:</w:t>
      </w:r>
    </w:p>
    <w:p>
      <w:pPr>
        <w:spacing w:after="0" w:line="217"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Three Months Ended</w:t>
      </w:r>
    </w:p>
    <w:p>
      <w:pPr>
        <w:jc w:val="center"/>
        <w:ind w:left="8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ind w:left="38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361,878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435,260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267,870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234,441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Agent commissions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328,009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420,157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36,895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29,354</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87,505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110,986</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11,977</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1,100,793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1,242,175</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decreased $73.4 million to $361.9 million in the first three months of 2008 from $435.3 million for first three months of 2007. A decrease at Fidelity National Title Group was partially offset by small increases in the corporate and other and specialty insurance segments. Personnel costs as a percentage of total revenue were 31.8% for each of the periods presented.</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increased $33.4 million to $267.9 million in the first quarter of 2008 from $234.4 million in the first quarter of 2007. In addition to increases of $12.1 million at the specialty insurance segment and $9.7 million at Fidelity National Title Group, there was an increase of $11.6 million in the corporate and other segment, primarily related to growth in operations not directly related to title insurance, including our timberland holdings.</w:t>
      </w:r>
    </w:p>
    <w:p>
      <w:pPr>
        <w:spacing w:after="0" w:line="85"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6"/>
              </w:rPr>
              <w:t>Three months ended March 31,</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2"/>
                <w:szCs w:val="12"/>
                <w:color w:val="auto"/>
              </w:rPr>
            </w:pPr>
          </w:p>
        </w:tc>
        <w:tc>
          <w:tcPr>
            <w:tcW w:w="7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Agent title premiums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423,436</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$ 542,146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Agent commissions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328,009</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77.5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420,157</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77.5</w:t>
            </w:r>
          </w:p>
        </w:tc>
      </w:tr>
      <w:tr>
        <w:trPr>
          <w:trHeight w:val="27"/>
        </w:trPr>
        <w:tc>
          <w:tcPr>
            <w:tcW w:w="3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95,427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$ 121,989</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r>
      <w:tr>
        <w:trPr>
          <w:trHeight w:val="20"/>
        </w:trPr>
        <w:tc>
          <w:tcPr>
            <w:tcW w:w="3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Net margin from agency title insurance premiums as a percentage of total agency premiums remained consistent in the first quarter of 2008 compared with the first quarter of 2007.</w:t>
      </w:r>
    </w:p>
    <w:p>
      <w:pPr>
        <w:spacing w:after="0" w:line="62"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Depreciation and amortization increased $7.5 million to $36.9 million in the first three months of 2008 compared to $29.4 million in the first three months of 2007. A $4.4 million increase in the corporate and other segment included a $2.7 million impairment charge to an intangible asset in the corporate and other segment and increases resulting from recent acquisitions. Depreciation and amortization expense at the Fidelity National Title Group segment increased $3.2 million, primarily due to increased depreciation and amortization related to recent acquisitions.</w:t>
      </w:r>
    </w:p>
    <w:p>
      <w:pPr>
        <w:spacing w:after="0" w:line="63" w:lineRule="exact"/>
        <w:rPr>
          <w:sz w:val="20"/>
          <w:szCs w:val="20"/>
          <w:color w:val="auto"/>
        </w:rPr>
      </w:pPr>
    </w:p>
    <w:p>
      <w:pPr>
        <w:ind w:right="140" w:firstLine="222"/>
        <w:spacing w:after="0" w:line="271" w:lineRule="auto"/>
        <w:rPr>
          <w:sz w:val="20"/>
          <w:szCs w:val="20"/>
          <w:color w:val="auto"/>
        </w:rPr>
      </w:pPr>
      <w:r>
        <w:rPr>
          <w:rFonts w:ascii="Arial" w:cs="Arial" w:eastAsia="Arial" w:hAnsi="Arial"/>
          <w:sz w:val="17"/>
          <w:szCs w:val="17"/>
          <w:color w:val="auto"/>
        </w:rPr>
        <w:t>The provision for claim losses includes an estimate of anticipated title and title-related claims, escrow losses and homeowner’s claims relating to our specialty insurance segment.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$54.6 million in the first quarter of 2008 as compared to $72.1 million in the first quarter of 2007. Our claim loss provision as a percentage of total title premiums was 7.5% in each of the first quarters of 2008 and 2007. The claim loss provision for our specialty insurance businesses was $32.9 million and $38.9 million in the first quarter of 2008 and 2007, respectively, with the decrease resulting primarily from a lower volume of homeowners’ insurance business.</w:t>
      </w:r>
    </w:p>
    <w:p>
      <w:pPr>
        <w:spacing w:after="0" w:line="7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Interest expense increased $6.6 million to $18.6 million in the first three months of 2008 from $12.0 million in the first three months of 2007, primarily due to an increase in average borrowings resulting from the investment in Ceridian during the fourth quarter of 2007, partially offset by a decrease in interest expense associated with the securities lending program.</w:t>
      </w:r>
    </w:p>
    <w:p>
      <w:pPr>
        <w:spacing w:after="0" w:line="73"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Income tax expense as a percentage of earnings before income taxes was 32.0% for the first quarter of 2008 and 35.5% for the first quarter of 2007. The fluctuation in income tax expense as a percentage of earnings before income taxes is attributable to our estimate of ultimate income tax liability, and changes in the characteristics of net earnings, such as the weighting of operating income versus investment income. The decrease in income tax expense as a percentage of earnings before income taxes was primarily due to an increase in the proportion of tax-exempt interest income to pre-tax earnings.</w:t>
      </w:r>
    </w:p>
    <w:p>
      <w:pPr>
        <w:spacing w:after="0" w:line="46"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Minority interest was $(1.4) million and $(1.6) million in the first three months of 2008 and 2007, respectively, and primarily consisted of losses attributable to the minority interest in FNRES for each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earnings decreased $56.2 million in the first quarter of 2008 as compared to the first quarter of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217"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Three months ended</w:t>
      </w:r>
    </w:p>
    <w:p>
      <w:pPr>
        <w:jc w:val="center"/>
        <w:ind w:left="88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(Unaudited)</w:t>
            </w: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4140" w:type="dxa"/>
            <w:vAlign w:val="bottom"/>
            <w:gridSpan w:val="3"/>
          </w:tcPr>
          <w:p>
            <w:pPr>
              <w:jc w:val="right"/>
              <w:ind w:right="588"/>
              <w:spacing w:after="0"/>
              <w:rPr>
                <w:sz w:val="20"/>
                <w:szCs w:val="20"/>
                <w:color w:val="auto"/>
              </w:rPr>
            </w:pPr>
            <w:r>
              <w:rPr>
                <w:rFonts w:ascii="Arial" w:cs="Arial" w:eastAsia="Arial" w:hAnsi="Arial"/>
                <w:sz w:val="18"/>
                <w:szCs w:val="18"/>
                <w:color w:val="auto"/>
              </w:rPr>
              <w:t>$ 1,011,562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$ 1,246,086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4140" w:type="dxa"/>
            <w:vAlign w:val="bottom"/>
            <w:gridSpan w:val="3"/>
          </w:tcPr>
          <w:p>
            <w:pPr>
              <w:jc w:val="right"/>
              <w:ind w:right="588"/>
              <w:spacing w:after="0"/>
              <w:rPr>
                <w:sz w:val="20"/>
                <w:szCs w:val="20"/>
                <w:color w:val="auto"/>
              </w:rPr>
            </w:pPr>
            <w:r>
              <w:rPr>
                <w:rFonts w:ascii="Arial" w:cs="Arial" w:eastAsia="Arial" w:hAnsi="Arial"/>
                <w:sz w:val="18"/>
                <w:szCs w:val="18"/>
                <w:color w:val="auto"/>
              </w:rPr>
              <w:t>334,321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1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208,075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4140" w:type="dxa"/>
            <w:vAlign w:val="bottom"/>
            <w:gridSpan w:val="3"/>
          </w:tcPr>
          <w:p>
            <w:pPr>
              <w:jc w:val="right"/>
              <w:ind w:right="588"/>
              <w:spacing w:after="0"/>
              <w:rPr>
                <w:sz w:val="20"/>
                <w:szCs w:val="20"/>
                <w:color w:val="auto"/>
              </w:rPr>
            </w:pPr>
            <w:r>
              <w:rPr>
                <w:rFonts w:ascii="Arial" w:cs="Arial" w:eastAsia="Arial" w:hAnsi="Arial"/>
                <w:sz w:val="18"/>
                <w:szCs w:val="18"/>
                <w:color w:val="auto"/>
              </w:rPr>
              <w:t>328,009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1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30,089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4140" w:type="dxa"/>
            <w:vAlign w:val="bottom"/>
            <w:gridSpan w:val="3"/>
          </w:tcPr>
          <w:p>
            <w:pPr>
              <w:jc w:val="right"/>
              <w:ind w:right="588"/>
              <w:spacing w:after="0"/>
              <w:rPr>
                <w:sz w:val="20"/>
                <w:szCs w:val="20"/>
                <w:color w:val="auto"/>
              </w:rPr>
            </w:pPr>
            <w:r>
              <w:rPr>
                <w:rFonts w:ascii="Arial" w:cs="Arial" w:eastAsia="Arial" w:hAnsi="Arial"/>
                <w:sz w:val="18"/>
                <w:szCs w:val="18"/>
                <w:color w:val="auto"/>
              </w:rPr>
              <w:t>54,613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1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2,410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2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957,517</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41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54,045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114,772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revenues for the Fidelity National Title Group decreased $234.5 million, or 18.8%, to $1,011.6 million in the first quarter of 2008 from</w:t>
      </w:r>
    </w:p>
    <w:p>
      <w:pPr>
        <w:spacing w:after="0" w:line="23"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$1,246.1 million in the first quarter of 2007. For an analysis of this segment’s revenues, please see the analysis of direct and agency title insurance premiums and escrow and other title related fees under “Consolidated Results of Operations” above.</w:t>
      </w:r>
    </w:p>
    <w:p>
      <w:pPr>
        <w:spacing w:after="0" w:line="76"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Personnel costs include base salaries, commissions, benefits, bonuses and stock based compensation paid to employees and are one of our most significant operating expenses. Personnel costs totaled $334.3 million and $410.6 million for the first quarters of 2008 and 2007, respectively. Personnel costs have decreased in the first quarter of 2008 due to decreases in both the number of personnel and the average annualized personnel cost per employee. Average employee count decreased to 14,572 in the first quarter of 2008 from 17,047 in the first quarter of 2007. Personnel costs as a percentage of total revenues from direct title premiums and escrow, title-related and other fees were 61.1% in the first quarter of 2008 and 62.3% for the first quarter of 2007.</w:t>
      </w:r>
    </w:p>
    <w:p>
      <w:pPr>
        <w:spacing w:after="0" w:line="5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increased $9.7 million to $208.1 million in the first quarter of 2008 from $198.4 million in the first quarter of 2007. The increase was primarily attributable to growth and recent acquisitions at our Service Link, LP, subsidiary, including ATM Holdings, Inc. and a decrease in benefits related to our escrow balances, which are reflected as an offset to other operating expenses. These increases were partially offset by operating expense cuts in our core title operations as we continue to cut costs in response to the decrease in title insurance and other title-related activity.</w:t>
      </w:r>
    </w:p>
    <w:p>
      <w:pPr>
        <w:spacing w:after="0" w:line="81"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Net margin from agency title insurance premiums as a percentage of total agency premiums remained generally consistent in the first quarter of 2008 compared with the first quarter of 2007. Agent commissions and the resulting percentage of agent premiums we retain vary according to regional differences in real estate closing practices and state regulations.</w:t>
      </w:r>
    </w:p>
    <w:p>
      <w:pPr>
        <w:spacing w:after="0" w:line="7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Depreciation and amortization increased $3.2 million to $30.1 million in the first quarter of 2008 compared to $26.9 million in the first quarter of 2007, primarily due to increased amortization related to recent acquisitions.</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$54.6 million in the first quarter of 2008 compared to $72.1 million in the first quarter of 2007. Our claim loss provision as a percentage of total title premiums was 7.5% in each of the first quarters of 2008 and 2007.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Interest expense was $2.4 million and $3.3 million in the first quarters of 2008 and 2007, respectively. The decrease of $0.9 million was primarily due to a decrease in interest expense related to the securities lending program.</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14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3820" w:type="dxa"/>
            <w:vAlign w:val="bottom"/>
            <w:gridSpan w:val="3"/>
          </w:tcPr>
          <w:p>
            <w:pPr>
              <w:jc w:val="right"/>
              <w:ind w:right="340"/>
              <w:spacing w:after="0"/>
              <w:rPr>
                <w:sz w:val="20"/>
                <w:szCs w:val="20"/>
                <w:color w:val="auto"/>
              </w:rPr>
            </w:pPr>
            <w:r>
              <w:rPr>
                <w:rFonts w:ascii="Arial" w:cs="Arial" w:eastAsia="Arial" w:hAnsi="Arial"/>
                <w:sz w:val="18"/>
                <w:szCs w:val="18"/>
                <w:color w:val="auto"/>
              </w:rPr>
              <w:t>$ 88,499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$ 98,970</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8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3820" w:type="dxa"/>
            <w:vAlign w:val="bottom"/>
            <w:gridSpan w:val="3"/>
          </w:tcPr>
          <w:p>
            <w:pPr>
              <w:jc w:val="right"/>
              <w:ind w:right="340"/>
              <w:spacing w:after="0"/>
              <w:rPr>
                <w:sz w:val="20"/>
                <w:szCs w:val="20"/>
                <w:color w:val="auto"/>
              </w:rPr>
            </w:pPr>
            <w:r>
              <w:rPr>
                <w:rFonts w:ascii="Arial" w:cs="Arial" w:eastAsia="Arial" w:hAnsi="Arial"/>
                <w:sz w:val="18"/>
                <w:szCs w:val="18"/>
                <w:color w:val="auto"/>
              </w:rPr>
              <w:t>11,340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11,599</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3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33,154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21,052</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20" w:type="dxa"/>
            <w:vAlign w:val="bottom"/>
            <w:gridSpan w:val="3"/>
          </w:tcPr>
          <w:p>
            <w:pPr>
              <w:jc w:val="right"/>
              <w:ind w:right="340"/>
              <w:spacing w:after="0"/>
              <w:rPr>
                <w:sz w:val="20"/>
                <w:szCs w:val="20"/>
                <w:color w:val="auto"/>
              </w:rPr>
            </w:pPr>
            <w:r>
              <w:rPr>
                <w:rFonts w:ascii="Arial" w:cs="Arial" w:eastAsia="Arial" w:hAnsi="Arial"/>
                <w:sz w:val="18"/>
                <w:szCs w:val="18"/>
                <w:color w:val="auto"/>
              </w:rPr>
              <w:t>1,510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1,558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claim losses</w:t>
            </w:r>
          </w:p>
        </w:tc>
        <w:tc>
          <w:tcPr>
            <w:tcW w:w="3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32,892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38,930</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405</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expenses</w:t>
            </w:r>
          </w:p>
        </w:tc>
        <w:tc>
          <w:tcPr>
            <w:tcW w:w="28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79,080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73,544</w:t>
            </w:r>
          </w:p>
        </w:tc>
      </w:tr>
      <w:tr>
        <w:trPr>
          <w:trHeight w:val="224"/>
        </w:trPr>
        <w:tc>
          <w:tcPr>
            <w:tcW w:w="6480" w:type="dxa"/>
            <w:vAlign w:val="bottom"/>
            <w:gridSpan w:val="2"/>
          </w:tcPr>
          <w:p>
            <w:pPr>
              <w:spacing w:after="0"/>
              <w:rPr>
                <w:sz w:val="20"/>
                <w:szCs w:val="20"/>
                <w:color w:val="auto"/>
              </w:rPr>
            </w:pPr>
            <w:r>
              <w:rPr>
                <w:rFonts w:ascii="Arial" w:cs="Arial" w:eastAsia="Arial" w:hAnsi="Arial"/>
                <w:sz w:val="18"/>
                <w:szCs w:val="18"/>
                <w:color w:val="auto"/>
              </w:rPr>
              <w:t>Earnings before income taxes and minority interest</w:t>
            </w:r>
          </w:p>
        </w:tc>
        <w:tc>
          <w:tcPr>
            <w:tcW w:w="28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25,426</w:t>
            </w:r>
          </w:p>
        </w:tc>
        <w:tc>
          <w:tcPr>
            <w:tcW w:w="100" w:type="dxa"/>
            <w:vAlign w:val="bottom"/>
          </w:tcPr>
          <w:p>
            <w:pPr>
              <w:spacing w:after="0"/>
              <w:rPr>
                <w:sz w:val="19"/>
                <w:szCs w:val="19"/>
                <w:color w:val="auto"/>
              </w:rPr>
            </w:pPr>
          </w:p>
        </w:tc>
      </w:tr>
    </w:tbl>
    <w:p>
      <w:pPr>
        <w:spacing w:after="0" w:line="9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the U.S. federal flood insurance program, and receive fees for assistance in settling claims. Specialty insurance revenues decreased $10.5 million to $88.5 million in the first quarter of 2008 from $99.0 million in the first quarter of 2007. Homeowners’ insurance revenues decreased $4.7 million, or 14.0%, as a result of tightened underwriting standards. Flood revenues declined $4.1 million, or 12.3%, as increases in rates and in the number of policies written were more than offset by a decrease in an annual bonus received from FEMA. Home warranty revenue decreased $2.0 million, or 10.7%, primarily due to the decrease in real estate transaction volumes.</w:t>
      </w:r>
    </w:p>
    <w:p>
      <w:pPr>
        <w:spacing w:after="0" w:line="8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Personnel costs were $11.3 million and $11.6 million in the first three months of 2008 and 2007, respectively. As a percentage of revenues, personnel costs were 12.8% and 11.7% in the first quarters of 2008 and 2007, respectively.</w:t>
      </w:r>
    </w:p>
    <w:p>
      <w:pPr>
        <w:spacing w:after="0" w:line="6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Other operating expenses in the specialty insurance segment were $33.2 million and $21.1 million in the first quarters of 2008 and 2007, respectively. Our expenses in the first quarter of 2007 benefited from the results of an internal review of our treatment of certain costs relating to insurance policies issued by our specialty insurance segment. In the course of this review,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the Company’s financial position or results of operations for any previously reported annual periods. Excluding this adjustment, other operating expenses as a percentage of revenues were 37.5% and 33.6% in the first quarters of 2008 and 2007, respectively.</w:t>
      </w:r>
    </w:p>
    <w:p>
      <w:pPr>
        <w:spacing w:after="0" w:line="5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provision for claim losses was $32.9 million and $38.9 million in the first quarters of 2008 and 2007, respectively. The decrease of $6.0 million was primarily related to the homeowners’ insurance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corporate and other segment is primarily comprised of the operations of our parent holding company and smaller entities not included in our operating segments. It generated a pretax loss of $25.4 million in the first quarter of 2008, compared to a pretax loss of $13.3 million in the first quarter of 2007. Interest expense in this segment increased $7.8 million in the first quarter of 2008 compared to the same period in 2007, primarily due to increased borrowings resulting from our investment in Ceridian during the fourth quarter of 2007. Additionally, in the first quarter of 2008, we recorded a $2.7 million impairment charge to an intangible asset in the corporate and other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operating expenses, taxes, payments of interest and principal on our debt,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on our common stock, and the repurchase of shares of our common stock. We intend to pay an annual dividend of $1.20 per share on our common stock, payable quarterly, or an aggregate of approximately $256.7 million per year, although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1"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2007, $1.8 billion of our net assets were restricted from dividend payments without prior approval from the relevant departments of insurance. During the remainder of 2008, our first tier title subsidiaries can pay or make distributions to us of approximately $213.7 million without prior regulatory approval. Our underwritten title companies and non-title insurance subsidiaries collect revenue and pay operating expenses. However, they are not regulated to the same extent as our insurance subsidiaries.</w:t>
      </w:r>
    </w:p>
    <w:p>
      <w:pPr>
        <w:spacing w:after="0" w:line="7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recently announced that our Board of Directors has authorized us to investigate strategic alternatives for certain of our specialty insurance businesses. The assets to be evaluated include the flood insurance and personal lines insurance businesses, but not the home warranty business. We are focused on evaluating our non-core assets and investments as potential vehicles for creating liquidity. Our intent is to use that liquidity to maintain our $1.20 per share annual dividend payments and to repurchase shares of our outstanding common stock.</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cash flows used in operations for the first quarter of 2008 totaled $74.9 million compared to cash provided by operations of $84.1 million in the first quarter of 2007. Cash used in operations in the first quarter of 2008 included payments totaling $51.8 million to settle a group of related claims for third party losses. We believe that these payments and certain previous payments on these related claims are recoverable under various insurance policies and, as of March 31, 2008, we had a receivable in the amount of $78.2 million in respect of these payments. We do not expect negative cash flows from operations going forward.</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were $13.3 million and $28.9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2007, respectively. Total capital expenditures for software were $5.5 million and $5.7 million for the three months ended March 31, 2008 and 2007, respectively.</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Financing. </w:t>
      </w:r>
      <w:r>
        <w:rPr>
          <w:rFonts w:ascii="Arial" w:cs="Arial" w:eastAsia="Arial" w:hAnsi="Arial"/>
          <w:sz w:val="17"/>
          <w:szCs w:val="17"/>
          <w:color w:val="auto"/>
        </w:rPr>
        <w:t>Effective October 24, 2006, we entered into a credit agreement (the “Credit Agreement”) with Bank of America, N.A. as Administrative Agent</w:t>
      </w:r>
      <w:r>
        <w:rPr>
          <w:rFonts w:ascii="Arial" w:cs="Arial" w:eastAsia="Arial" w:hAnsi="Arial"/>
          <w:sz w:val="17"/>
          <w:szCs w:val="17"/>
          <w:i w:val="1"/>
          <w:iCs w:val="1"/>
          <w:color w:val="auto"/>
        </w:rPr>
        <w:t xml:space="preserve"> </w:t>
      </w:r>
      <w:r>
        <w:rPr>
          <w:rFonts w:ascii="Arial" w:cs="Arial" w:eastAsia="Arial" w:hAnsi="Arial"/>
          <w:sz w:val="17"/>
          <w:szCs w:val="17"/>
          <w:color w:val="auto"/>
        </w:rPr>
        <w:t>and Swing Line Lender, and the other financial institutions party thereto. Effective October 11, 2007, we exercised an option to increase the size of the credit facility by an additional $300 million. The Credit Agreement, which replaced our previous credit agreement, provides for a $1.1 billion unsecured revolving credit facility, including the $300 million increase, maturing on the fifth anniversary of the closing date. Amounts under the revolving credit facility may be borrowed, repaid and reborrowed by the borrower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8"/>
        <w:spacing w:after="0" w:line="257"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higher of (a) a rate per annum equal to one-half of one percent in excess of the Federal Reserve’s Federal Funds rate, or (b) Bank of America’s “prime rate” or (ii) a rate per annum equal to the British Bankers Association London Interbank Offered Rate (“LIBOR”) plus a margin of between 0.23%-0.675%, depending on our then current senior unsecured long-term debt rating from the rating agencies. In addition, we pay a commitment fee between 0.07%-0.175% on the entire facility, also depending on our senior unsecured long-term debt rating. As of March 31, 2008, we had borrowed $535 million under the Credit Agreement, currently bearing interest at 3.22 percent.</w:t>
      </w:r>
    </w:p>
    <w:p>
      <w:pPr>
        <w:spacing w:after="0" w:line="80" w:lineRule="exact"/>
        <w:rPr>
          <w:sz w:val="20"/>
          <w:szCs w:val="20"/>
          <w:color w:val="auto"/>
        </w:rPr>
      </w:pPr>
    </w:p>
    <w:p>
      <w:pPr>
        <w:ind w:right="80" w:firstLine="222"/>
        <w:spacing w:after="0" w:line="284" w:lineRule="auto"/>
        <w:rPr>
          <w:sz w:val="20"/>
          <w:szCs w:val="20"/>
          <w:color w:val="auto"/>
        </w:rPr>
      </w:pPr>
      <w:r>
        <w:rPr>
          <w:rFonts w:ascii="Arial" w:cs="Arial" w:eastAsia="Arial" w:hAnsi="Arial"/>
          <w:sz w:val="16"/>
          <w:szCs w:val="16"/>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w:t>
      </w:r>
    </w:p>
    <w:p>
      <w:pPr>
        <w:spacing w:after="0" w:line="3" w:lineRule="exact"/>
        <w:rPr>
          <w:sz w:val="20"/>
          <w:szCs w:val="20"/>
          <w:color w:val="auto"/>
        </w:rPr>
      </w:pPr>
    </w:p>
    <w:p>
      <w:pPr>
        <w:ind w:right="100" w:firstLine="8"/>
        <w:spacing w:after="0" w:line="252" w:lineRule="auto"/>
        <w:tabs>
          <w:tab w:leader="none" w:pos="28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86"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connection with the purchase of certain leasing assets from FIS, we assumed certain liabilities associated with those assets. These liabilities include various bank promissory notes, which are non-recourse obligations and are secured by interests in certain leases and underlying equipment. These promissory notes, with a balance of $136.2 million at March 31, 2008, bear interest at various fixed rates and mature at various dates. In addition, we also assumed a $20 million revolving credit facility. This facility is also secured by interests in certain leases and underlying equipment, bears interest at Prime-0.5%, and is due August 2008. As of March 31, 2008, $6.0 million was unused. On September 30, 2007, also in connection with the acquisition of certain leasing assets from FIS, we entered into an unsecured note due to FIS in the amount of $7.3 million. The note bears interest at LIBOR+0.45%, includes principal amortization of $0.2 million per quarter, is due October, 2012, and has a balance of $6.9 million at March 31, 2008.</w:t>
      </w:r>
    </w:p>
    <w:p>
      <w:pPr>
        <w:spacing w:after="0" w:line="7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outstanding debt also includes $241.0 million aggregate principal amount of our 7.30% notes due 2011 and $249.1 million aggregate principal amount of our 5.25% notes due 2013. These notes contain customary covenants and events of default for investment grade public debt. They do not include a cross-default provision.</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lend fixed maturity and equity securities to financial institutions in short-term security lending transactions. Our security lending policy requires that the cash received as collateral be 102% or more of the fair value of the loaned securities. These short-term security lending arrangements increase investment income with minimal risk. At March 31, 2008, we had security loans outstanding with a fair value of $239.8 million included in accounts payable and accrued liabilities and we held cash in the same amount as collateral for the loaned securities.</w:t>
      </w:r>
    </w:p>
    <w:p>
      <w:pPr>
        <w:spacing w:after="0" w:line="79"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title insurers. The first calendar quarter is typically the weakest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in terms of 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Recently, we have seen a divergence from these historical trends as tighter lending standards, including a significant reduction in the availability of subprime mortgage lending, combined with rising default levels and a bearish outlook on the real estate environment have caused home buyers to be more reluctant to buy homes and have suppressed refinance activity.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long-term contractual obligations have not changed materially since December 31, 2007.</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October 25, 2006, our Board of Directors approved a three-year stock repurchase program under which we can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up to 25 million shares of our common stock. We may make purchases from time to time in the open market, in block purchases or in privately negotiated transactions, depending on market conditions and other factors. There were no repurchases of our common stock under this program in the first quarter of 2008. We resumed purchasing shares under this program on a regular basis on April 28, 2008 and, from that date until May 7, 2008, we repurchased a total of 350,000 shares for $5.7 million, or an average of $16.40 per share. As of May 7, 2008, we have purchased a total of 10,025,000 shares since the inception of the program and we are authorized to purchase an additional 14,975,000 shares.</w:t>
      </w:r>
    </w:p>
    <w:p>
      <w:pPr>
        <w:spacing w:after="0" w:line="7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We do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provided for amounts up to $75.0 million. As of March 31, 2008, the full $75.0 million had been drawn on the facility to finance land costs and related fees and expenses and the outstanding balance was $70.1 million.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 and the associated rent expense that is included in other operating expenses in the Consolidated Statements of Earnings.</w:t>
      </w:r>
    </w:p>
    <w:p>
      <w:pPr>
        <w:spacing w:after="0" w:line="75"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do not believe the lessor is a variable interest entity, as defined in Financial Accounting Standards Board (“FASB”) Interpretation No. 46R, “Consolidation of Variable Interest Entities” (“FIN 46R”).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certain assets that should be excluded from such calculation under FIN 46R, nor did the lessor finance 95% or more of the leased balance with non-recourse debt, target equity or similar funding.</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March 31, 2008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There have been no material changes in our critical accounting policies described in our Annual Report on Form 10-K for the year ended December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For a description of our recent accounting pronouncements, please see Note A of Notes to Condensed Consolidated Financial Statements included elsewhere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2007.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80"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its operations, some of which include claims for punitive or exemplary damages. We believe that no actions, other than those listed below, depart from customary litigation incidental to the Company’s business. As background to the disclosure below, please note the following:</w:t>
      </w:r>
    </w:p>
    <w:p>
      <w:pPr>
        <w:spacing w:after="0" w:line="73" w:lineRule="exact"/>
        <w:rPr>
          <w:sz w:val="20"/>
          <w:szCs w:val="20"/>
          <w:color w:val="auto"/>
        </w:rPr>
      </w:pPr>
    </w:p>
    <w:p>
      <w:pPr>
        <w:ind w:left="660" w:right="20" w:hanging="436"/>
        <w:spacing w:after="0" w:line="272"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right="80" w:hanging="436"/>
        <w:spacing w:after="0" w:line="270"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our experience, monetary demands in plaintiffs’ court pleadings bear little relation to the ultimate loss, if any, that we may experience. None of the cases described below includes a statement as to the dollar amount of damages demanded. Instead, each of the cases includes a demand in an amount to be proved at trial.</w:t>
      </w:r>
    </w:p>
    <w:p>
      <w:pPr>
        <w:spacing w:after="0" w:line="87" w:lineRule="exact"/>
        <w:rPr>
          <w:rFonts w:ascii="Arial" w:cs="Arial" w:eastAsia="Arial" w:hAnsi="Arial"/>
          <w:sz w:val="17"/>
          <w:szCs w:val="17"/>
          <w:b w:val="1"/>
          <w:bCs w:val="1"/>
          <w:color w:val="auto"/>
        </w:rPr>
      </w:pPr>
    </w:p>
    <w:p>
      <w:pPr>
        <w:ind w:left="660" w:hanging="436"/>
        <w:spacing w:after="0" w:line="279"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management bases its decision on its assessment of the ultimate outcome following all appeals.</w:t>
      </w:r>
    </w:p>
    <w:p>
      <w:pPr>
        <w:spacing w:after="0" w:line="76" w:lineRule="exact"/>
        <w:rPr>
          <w:rFonts w:ascii="Arial" w:cs="Arial" w:eastAsia="Arial" w:hAnsi="Arial"/>
          <w:sz w:val="17"/>
          <w:szCs w:val="17"/>
          <w:b w:val="1"/>
          <w:bCs w:val="1"/>
          <w:color w:val="auto"/>
        </w:rPr>
      </w:pPr>
    </w:p>
    <w:p>
      <w:pPr>
        <w:ind w:left="660" w:right="200" w:hanging="436"/>
        <w:spacing w:after="0" w:line="308"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We intend to vigorously defend each of these matters. In our opinion, while some of these matters may be material to our operating results for any particular period if an unfavorable outcome results, none will have a material adverse effect on our overall financial condition.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Certain significant legal proceedings and matters have been previously disclosed in our Annual Report on Form 10-K for the year ended December 31, 2007. The following is an update of such proceedings:</w:t>
      </w:r>
    </w:p>
    <w:p>
      <w:pPr>
        <w:spacing w:after="0" w:line="62"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February 2008, thirteen putative class actions were commenced against several of our title insurance companies, including Fidelity National Title Insurance Company, Chicago Title Insurance Company, and Ticor Title Insurance Company (collectively, the “Fidelity Affiliates”). The complaints also name Fidelity National Financial, Inc.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now 56 complaints pending alleging that the Fidelity Defendants conspired with their competitors to unlawfully inflate rates for title insurance in every major market in the United States. A motion was filed before the Multidistrict Litigation Panel to consolidate and or coordinate these actions in the United States District Court in the Southern District of New York. The motion is fully briefed although oral argument has not been set.</w:t>
      </w:r>
    </w:p>
    <w:p>
      <w:pPr>
        <w:spacing w:after="0" w:line="65" w:lineRule="exact"/>
        <w:rPr>
          <w:sz w:val="20"/>
          <w:szCs w:val="20"/>
          <w:color w:val="auto"/>
        </w:rPr>
      </w:pPr>
    </w:p>
    <w:p>
      <w:pPr>
        <w:ind w:right="120" w:firstLine="225"/>
        <w:spacing w:after="0" w:line="269" w:lineRule="auto"/>
        <w:rPr>
          <w:sz w:val="20"/>
          <w:szCs w:val="20"/>
          <w:color w:val="auto"/>
        </w:rPr>
      </w:pPr>
      <w:r>
        <w:rPr>
          <w:rFonts w:ascii="Arial" w:cs="Arial" w:eastAsia="Arial" w:hAnsi="Arial"/>
          <w:sz w:val="17"/>
          <w:szCs w:val="17"/>
          <w:color w:val="auto"/>
        </w:rPr>
        <w:t>On September 24, 2007 a third party complaint was filed in the In Re Ameriquest Mortgage Lending Practices Litigation in the United States District Court for the Northern District of Illinois by Ameriquest Mortgage Company (“Ameriquest”) and Argent Mortgage Company (“Argent”) against numerous title insurers and agents including Chicago Title Company, Fidelity National Title Company, Fidelity National Title Insurance Company, American Pioneer Title Insurance Company (now known as Ticor Title Insurance Company of Florida), Chicago Title of Michigan, Fidelity National Title Insurance Company of New York, and Ticor Title Insurance Company (collectively, the “Fidelity Affiliates”). The third party complaint alleges that Ameriquest and Argent have been sued by a class of borrowers alleging that they violated the Truth in Lending Act (“TILA”) by failing to comply with the notice of right to cancel provisions and making misrepresentations in lending to the borrowers who now seek money damages. Ameriquest and Argent allege that the Fidelity Affiliates contracted and warranted to close these loans in conformity with the lender’s instructions which correctly followed the requirements of TILA and contained no misrepresentations; therefore, if Ameriquest and Argent are liable to the class, then the Fidelity Affiliates are liable to them for failing to close the lending transactions as agreed. Ameriquest and Argent seek to recover the cost of resolving the class action against them including their attorney’s fees and costs in the action. The title defendants are organizing to form a defense group and, as requested by the court, are exploring the possibility of filing a single collective response.</w:t>
      </w:r>
    </w:p>
    <w:p>
      <w:pPr>
        <w:spacing w:after="0" w:line="7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None of the cases described above includes a statement as to the dollar amount of damages demanded. Instead, each of the cases includes a demand in an amount to be proved at trial.</w:t>
      </w:r>
    </w:p>
    <w:p>
      <w:pPr>
        <w:spacing w:after="0" w:line="62"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w:t>
      </w:r>
    </w:p>
    <w:p>
      <w:pPr>
        <w:spacing w:after="0" w:line="79" w:lineRule="exact"/>
        <w:rPr>
          <w:sz w:val="20"/>
          <w:szCs w:val="20"/>
          <w:color w:val="auto"/>
        </w:rPr>
      </w:pPr>
    </w:p>
    <w:p>
      <w:pPr>
        <w:jc w:val="both"/>
        <w:ind w:right="80" w:firstLine="225"/>
        <w:spacing w:after="0" w:line="302" w:lineRule="auto"/>
        <w:rPr>
          <w:sz w:val="20"/>
          <w:szCs w:val="20"/>
          <w:color w:val="auto"/>
        </w:rPr>
      </w:pPr>
      <w:r>
        <w:rPr>
          <w:rFonts w:ascii="Arial" w:cs="Arial" w:eastAsia="Arial" w:hAnsi="Arial"/>
          <w:sz w:val="16"/>
          <w:szCs w:val="16"/>
          <w:color w:val="auto"/>
        </w:rPr>
        <w:t>In January 2007, the State of California adopted regulations that would have significant effects on the title insurance industry in California. We, as well as others, have been engaged in discussions with the California Department of Insurance (the “CDI”) regarding possible industry reforms that may result in the CDI’s decision to modify or repeal the regulations prior to their implementation. On April 28, 2008, the California Insurance Commissioner announced that the CDI expects to soon release new revised regulations, which we understand will contain substantial changes to the existing regulations.</w:t>
      </w:r>
    </w:p>
    <w:p>
      <w:pPr>
        <w:spacing w:after="0" w:line="4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Item 1A. Risk Factors. See Item 1, Legal Proceedings, for an update regarding certain matters described in the Risk Factors section of our Form 10-K for the year ended December 31, 2007.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9460"/>
        <w:spacing w:after="0"/>
        <w:rPr>
          <w:sz w:val="20"/>
          <w:szCs w:val="20"/>
          <w:color w:val="auto"/>
        </w:rPr>
      </w:pPr>
      <w:r>
        <w:rPr>
          <w:rFonts w:ascii="Arial" w:cs="Arial" w:eastAsia="Arial" w:hAnsi="Arial"/>
          <w:sz w:val="16"/>
          <w:szCs w:val="16"/>
          <w:color w:val="auto"/>
        </w:rPr>
        <w:t>Item 6. Exhibits</w:t>
      </w:r>
    </w:p>
    <w:p>
      <w:pPr>
        <w:spacing w:after="0" w:line="140" w:lineRule="exact"/>
        <w:rPr>
          <w:sz w:val="20"/>
          <w:szCs w:val="20"/>
          <w:color w:val="auto"/>
        </w:rPr>
      </w:pPr>
    </w:p>
    <w:p>
      <w:pPr>
        <w:jc w:val="right"/>
        <w:ind w:right="950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by Chief Executive Officer of Periodic Financial Reports pursuant to Section 906 of the Sarbanes-Oxley Act of 2002, 18 U.S.C.</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1350.</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by Chief Financial Officer of Periodic Financial Reports pursuant to Section 906 of the Sarbanes-Oxley Act of 2002, 18 U.S.C.</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1350.</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20"/>
          </w:cols>
          <w:pgMar w:left="240" w:top="419"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J.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25469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Date: May 8, 2008</w:t>
      </w:r>
    </w:p>
    <w:p>
      <w:pPr>
        <w:spacing w:after="0" w:line="214" w:lineRule="exact"/>
        <w:rPr>
          <w:sz w:val="20"/>
          <w:szCs w:val="20"/>
          <w:color w:val="auto"/>
        </w:rPr>
      </w:pPr>
    </w:p>
    <w:p>
      <w:pPr>
        <w:sectPr>
          <w:pgSz w:w="11900" w:h="16838" w:orient="portrait"/>
          <w:cols w:equalWidth="0" w:num="3">
            <w:col w:w="260" w:space="100"/>
            <w:col w:w="4960" w:space="720"/>
            <w:col w:w="5180"/>
          </w:cols>
          <w:pgMar w:left="240" w:top="419" w:right="439" w:bottom="1440" w:gutter="0" w:footer="0" w:header="0"/>
          <w:type w:val="continuous"/>
        </w:sectPr>
      </w:pP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jc w:val="center"/>
              <w:ind w:right="1052"/>
              <w:spacing w:after="0"/>
              <w:rPr>
                <w:sz w:val="20"/>
                <w:szCs w:val="20"/>
                <w:color w:val="auto"/>
              </w:rPr>
            </w:pPr>
            <w:r>
              <w:rPr>
                <w:rFonts w:ascii="Arial" w:cs="Arial" w:eastAsia="Arial" w:hAnsi="Arial"/>
                <w:sz w:val="18"/>
                <w:szCs w:val="18"/>
                <w:color w:val="auto"/>
              </w:rPr>
              <w:t>EXHIBIT INDEX</w:t>
            </w:r>
          </w:p>
        </w:tc>
      </w:tr>
      <w:tr>
        <w:trPr>
          <w:trHeight w:val="365"/>
        </w:trPr>
        <w:tc>
          <w:tcPr>
            <w:tcW w:w="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18"/>
        </w:trPr>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 U.S.C.</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r>
      <w:tr>
        <w:trPr>
          <w:trHeight w:val="418"/>
        </w:trPr>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 2002, 18 U.S.C.</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0" w:type="dxa"/>
            <w:vAlign w:val="bottom"/>
            <w:gridSpan w:val="2"/>
          </w:tcPr>
          <w:p>
            <w:pPr>
              <w:jc w:val="right"/>
              <w:ind w:right="5532"/>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41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Alan L. Stinson, certify that:</w:t>
      </w:r>
    </w:p>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Alan L. Stinson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Anthony J. Park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6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62" w:lineRule="exact"/>
        <w:rPr>
          <w:sz w:val="20"/>
          <w:szCs w:val="20"/>
          <w:color w:val="auto"/>
        </w:rPr>
      </w:pPr>
    </w:p>
    <w:p>
      <w:pPr>
        <w:ind w:left="260" w:right="100" w:hanging="252"/>
        <w:spacing w:after="0" w:line="277"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260" w:right="220" w:hanging="252"/>
        <w:spacing w:after="0" w:line="277"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Alan L. Stinson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6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62" w:lineRule="exact"/>
        <w:rPr>
          <w:sz w:val="20"/>
          <w:szCs w:val="20"/>
          <w:color w:val="auto"/>
        </w:rPr>
      </w:pPr>
    </w:p>
    <w:p>
      <w:pPr>
        <w:ind w:left="260" w:right="100" w:hanging="252"/>
        <w:spacing w:after="0" w:line="277"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260" w:right="220" w:hanging="252"/>
        <w:spacing w:after="0" w:line="277"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8,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Anthony J. Park</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59"/>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upperLetter"/>
      <w:start w:val="2"/>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2019-12-15T12:59:27Z</dcterms:created>
  <dcterms:modified xsi:type="dcterms:W3CDTF">2019-12-15T12:59:27Z</dcterms:modified>
</cp:coreProperties>
</file>