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2320" w:right="1080" w:hanging="1144"/>
        <w:spacing w:after="0" w:line="266" w:lineRule="auto"/>
        <w:tabs>
          <w:tab w:leader="none" w:pos="2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2320" w:right="1080" w:hanging="1108"/>
        <w:spacing w:after="0" w:line="282" w:lineRule="auto"/>
        <w:tabs>
          <w:tab w:leader="none" w:pos="23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1-32630</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FIDELITY NATIONAL FINANCIAL, INC.</w:t>
      </w:r>
    </w:p>
    <w:p>
      <w:pPr>
        <w:spacing w:after="0" w:line="45" w:lineRule="exact"/>
        <w:rPr>
          <w:sz w:val="24"/>
          <w:szCs w:val="24"/>
          <w:color w:val="auto"/>
        </w:rPr>
      </w:pPr>
    </w:p>
    <w:p>
      <w:pPr>
        <w:ind w:left="16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______________________________________________________________________________________________________________________________________________________</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89"/>
              </w:rPr>
              <w:t>Delaware</w:t>
            </w:r>
          </w:p>
        </w:tc>
        <w:tc>
          <w:tcPr>
            <w:tcW w:w="3620" w:type="dxa"/>
            <w:vAlign w:val="bottom"/>
          </w:tcPr>
          <w:p>
            <w:pPr>
              <w:jc w:val="right"/>
              <w:ind w:right="2090"/>
              <w:spacing w:after="0"/>
              <w:rPr>
                <w:sz w:val="20"/>
                <w:szCs w:val="20"/>
                <w:color w:val="auto"/>
              </w:rPr>
            </w:pPr>
            <w:r>
              <w:rPr>
                <w:rFonts w:ascii="Arial" w:cs="Arial" w:eastAsia="Arial" w:hAnsi="Arial"/>
                <w:sz w:val="18"/>
                <w:szCs w:val="18"/>
                <w:color w:val="auto"/>
              </w:rPr>
              <w:t>16-1725106</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22"/>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3"/>
              </w:rPr>
              <w:t>(I.R.S. Employer</w:t>
            </w:r>
          </w:p>
        </w:tc>
      </w:t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incorporation or organization)</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5"/>
              </w:rPr>
              <w:t>Identification Number)</w:t>
            </w:r>
          </w:p>
        </w:tc>
      </w:tr>
      <w:tr>
        <w:trPr>
          <w:trHeight w:val="540"/>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1"/>
              </w:rPr>
              <w:t>601 Riverside Avenue, Jacksonville, Florida</w:t>
            </w:r>
          </w:p>
        </w:tc>
        <w:tc>
          <w:tcPr>
            <w:tcW w:w="3620" w:type="dxa"/>
            <w:vAlign w:val="bottom"/>
          </w:tcPr>
          <w:p>
            <w:pPr>
              <w:jc w:val="right"/>
              <w:ind w:right="2310"/>
              <w:spacing w:after="0"/>
              <w:rPr>
                <w:sz w:val="20"/>
                <w:szCs w:val="20"/>
                <w:color w:val="auto"/>
              </w:rPr>
            </w:pPr>
            <w:r>
              <w:rPr>
                <w:rFonts w:ascii="Arial" w:cs="Arial" w:eastAsia="Arial" w:hAnsi="Arial"/>
                <w:sz w:val="18"/>
                <w:szCs w:val="18"/>
                <w:color w:val="auto"/>
              </w:rPr>
              <w:t>32204</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37"/>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2"/>
              </w:rPr>
              <w:t>(Address of principal executive offices)</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4"/>
              </w:rPr>
              <w:t>(Zip Code)</w:t>
            </w:r>
          </w:p>
        </w:tc>
      </w:tr>
      <w:tr>
        <w:trPr>
          <w:trHeight w:val="257"/>
        </w:trPr>
        <w:tc>
          <w:tcPr>
            <w:tcW w:w="7800" w:type="dxa"/>
            <w:vAlign w:val="bottom"/>
            <w:gridSpan w:val="3"/>
          </w:tcPr>
          <w:p>
            <w:pPr>
              <w:jc w:val="right"/>
              <w:ind w:right="1520"/>
              <w:spacing w:after="0"/>
              <w:rPr>
                <w:sz w:val="20"/>
                <w:szCs w:val="20"/>
                <w:color w:val="auto"/>
              </w:rPr>
            </w:pPr>
            <w:r>
              <w:rPr>
                <w:rFonts w:ascii="Arial" w:cs="Arial" w:eastAsia="Arial" w:hAnsi="Arial"/>
                <w:sz w:val="18"/>
                <w:szCs w:val="18"/>
                <w:color w:val="auto"/>
              </w:rPr>
              <w:t>(904) 854-8100</w:t>
            </w:r>
          </w:p>
        </w:tc>
        <w:tc>
          <w:tcPr>
            <w:tcW w:w="3620" w:type="dxa"/>
            <w:vAlign w:val="bottom"/>
          </w:tcPr>
          <w:p>
            <w:pPr>
              <w:spacing w:after="0"/>
              <w:rPr>
                <w:sz w:val="22"/>
                <w:szCs w:val="22"/>
                <w:color w:val="auto"/>
              </w:rPr>
            </w:pPr>
          </w:p>
        </w:tc>
      </w:tr>
      <w:tr>
        <w:trPr>
          <w:trHeight w:val="134"/>
        </w:trPr>
        <w:tc>
          <w:tcPr>
            <w:tcW w:w="7800" w:type="dxa"/>
            <w:vAlign w:val="bottom"/>
            <w:gridSpan w:val="3"/>
          </w:tcPr>
          <w:p>
            <w:pPr>
              <w:jc w:val="right"/>
              <w:ind w:right="280"/>
              <w:spacing w:after="0"/>
              <w:rPr>
                <w:sz w:val="20"/>
                <w:szCs w:val="20"/>
                <w:color w:val="auto"/>
              </w:rPr>
            </w:pPr>
            <w:r>
              <w:rPr>
                <w:rFonts w:ascii="Arial" w:cs="Arial" w:eastAsia="Arial" w:hAnsi="Arial"/>
                <w:sz w:val="11"/>
                <w:szCs w:val="11"/>
                <w:color w:val="auto"/>
              </w:rPr>
              <w:t>___________________________________________________________________</w:t>
            </w:r>
          </w:p>
        </w:tc>
        <w:tc>
          <w:tcPr>
            <w:tcW w:w="3620" w:type="dxa"/>
            <w:vAlign w:val="bottom"/>
          </w:tcPr>
          <w:p>
            <w:pPr>
              <w:spacing w:after="0"/>
              <w:rPr>
                <w:sz w:val="11"/>
                <w:szCs w:val="11"/>
                <w:color w:val="auto"/>
              </w:rPr>
            </w:pPr>
          </w:p>
        </w:tc>
      </w:tr>
      <w:tr>
        <w:trPr>
          <w:trHeight w:val="230"/>
        </w:trPr>
        <w:tc>
          <w:tcPr>
            <w:tcW w:w="7800" w:type="dxa"/>
            <w:vAlign w:val="bottom"/>
            <w:gridSpan w:val="3"/>
          </w:tcPr>
          <w:p>
            <w:pPr>
              <w:ind w:left="3800"/>
              <w:spacing w:after="0"/>
              <w:rPr>
                <w:sz w:val="20"/>
                <w:szCs w:val="20"/>
                <w:color w:val="auto"/>
              </w:rPr>
            </w:pPr>
            <w:r>
              <w:rPr>
                <w:rFonts w:ascii="Arial" w:cs="Arial" w:eastAsia="Arial" w:hAnsi="Arial"/>
                <w:sz w:val="18"/>
                <w:szCs w:val="18"/>
                <w:color w:val="auto"/>
                <w:w w:val="94"/>
              </w:rPr>
              <w:t>(Registrant’s telephone number, including area code)</w:t>
            </w:r>
          </w:p>
        </w:tc>
        <w:tc>
          <w:tcPr>
            <w:tcW w:w="3620" w:type="dxa"/>
            <w:vAlign w:val="bottom"/>
          </w:tcPr>
          <w:p>
            <w:pPr>
              <w:spacing w:after="0"/>
              <w:rPr>
                <w:sz w:val="20"/>
                <w:szCs w:val="20"/>
                <w:color w:val="auto"/>
              </w:rPr>
            </w:pPr>
          </w:p>
        </w:tc>
      </w:tr>
    </w:tbl>
    <w:p>
      <w:pPr>
        <w:spacing w:after="0" w:line="94" w:lineRule="exact"/>
        <w:rPr>
          <w:sz w:val="24"/>
          <w:szCs w:val="24"/>
          <w:color w:val="auto"/>
        </w:rPr>
      </w:pPr>
    </w:p>
    <w:p>
      <w:pPr>
        <w:jc w:val="both"/>
        <w:ind w:firstLine="263"/>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4"/>
          <w:szCs w:val="24"/>
          <w:color w:val="auto"/>
        </w:rPr>
      </w:pPr>
    </w:p>
    <w:p>
      <w:pPr>
        <w:jc w:val="both"/>
        <w:ind w:firstLine="227"/>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4"/>
          <w:szCs w:val="24"/>
          <w:color w:val="auto"/>
        </w:rPr>
      </w:pPr>
    </w:p>
    <w:p>
      <w:pPr>
        <w:jc w:val="both"/>
        <w:ind w:right="20" w:firstLine="25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7" w:lineRule="exact"/>
        <w:rPr>
          <w:sz w:val="24"/>
          <w:szCs w:val="24"/>
          <w:color w:val="auto"/>
        </w:rPr>
      </w:pPr>
    </w:p>
    <w:p>
      <w:pPr>
        <w:ind w:left="40"/>
        <w:spacing w:after="0" w:line="207" w:lineRule="exact"/>
        <w:tabs>
          <w:tab w:leader="none" w:pos="3280" w:val="left"/>
          <w:tab w:leader="none" w:pos="5900" w:val="left"/>
          <w:tab w:leader="none" w:pos="92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96" w:lineRule="exact"/>
        <w:rPr>
          <w:sz w:val="24"/>
          <w:szCs w:val="24"/>
          <w:color w:val="auto"/>
        </w:rPr>
      </w:pPr>
    </w:p>
    <w:p>
      <w:pPr>
        <w:jc w:val="center"/>
        <w:ind w:left="2080"/>
        <w:spacing w:after="0"/>
        <w:rPr>
          <w:sz w:val="20"/>
          <w:szCs w:val="20"/>
          <w:color w:val="auto"/>
        </w:rPr>
      </w:pPr>
      <w:r>
        <w:rPr>
          <w:rFonts w:ascii="Arial" w:cs="Arial" w:eastAsia="Arial" w:hAnsi="Arial"/>
          <w:sz w:val="18"/>
          <w:szCs w:val="18"/>
          <w:color w:val="auto"/>
        </w:rPr>
        <w:t>(Do not check if a smaller</w:t>
      </w:r>
    </w:p>
    <w:p>
      <w:pPr>
        <w:spacing w:after="0" w:line="23" w:lineRule="exact"/>
        <w:rPr>
          <w:sz w:val="24"/>
          <w:szCs w:val="24"/>
          <w:color w:val="auto"/>
        </w:rPr>
      </w:pPr>
    </w:p>
    <w:p>
      <w:pPr>
        <w:jc w:val="center"/>
        <w:ind w:left="2080"/>
        <w:spacing w:after="0"/>
        <w:rPr>
          <w:sz w:val="20"/>
          <w:szCs w:val="20"/>
          <w:color w:val="auto"/>
        </w:rPr>
      </w:pPr>
      <w:r>
        <w:rPr>
          <w:rFonts w:ascii="Arial" w:cs="Arial" w:eastAsia="Arial" w:hAnsi="Arial"/>
          <w:sz w:val="18"/>
          <w:szCs w:val="18"/>
          <w:color w:val="auto"/>
        </w:rPr>
        <w:t>reporting company)</w:t>
      </w:r>
    </w:p>
    <w:p>
      <w:pPr>
        <w:spacing w:after="0" w:line="22" w:lineRule="exact"/>
        <w:rPr>
          <w:sz w:val="24"/>
          <w:szCs w:val="24"/>
          <w:color w:val="auto"/>
        </w:rPr>
      </w:pPr>
    </w:p>
    <w:p>
      <w:pPr>
        <w:ind w:left="1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5240"/>
        <w:spacing w:after="0"/>
        <w:rPr>
          <w:sz w:val="20"/>
          <w:szCs w:val="20"/>
          <w:color w:val="auto"/>
        </w:rPr>
      </w:pPr>
      <w:r>
        <w:rPr>
          <w:rFonts w:ascii="Arial" w:cs="Arial" w:eastAsia="Arial" w:hAnsi="Arial"/>
          <w:sz w:val="18"/>
          <w:szCs w:val="18"/>
          <w:color w:val="auto"/>
        </w:rPr>
        <w:t>YES o NO R</w:t>
      </w:r>
    </w:p>
    <w:p>
      <w:pPr>
        <w:spacing w:after="0" w:line="103" w:lineRule="exact"/>
        <w:rPr>
          <w:sz w:val="24"/>
          <w:szCs w:val="24"/>
          <w:color w:val="auto"/>
        </w:rPr>
      </w:pPr>
    </w:p>
    <w:p>
      <w:pPr>
        <w:ind w:left="220"/>
        <w:spacing w:after="0"/>
        <w:rPr>
          <w:sz w:val="20"/>
          <w:szCs w:val="20"/>
          <w:color w:val="auto"/>
        </w:rPr>
      </w:pPr>
      <w:r>
        <w:rPr>
          <w:rFonts w:ascii="Arial" w:cs="Arial" w:eastAsia="Arial" w:hAnsi="Arial"/>
          <w:sz w:val="18"/>
          <w:szCs w:val="18"/>
          <w:color w:val="auto"/>
        </w:rPr>
        <w:t>As of July 31, 2013, there were 228,247,026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June 30, 2013</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Page</w:t>
            </w:r>
          </w:p>
        </w:tc>
      </w:tr>
      <w:tr>
        <w:trPr>
          <w:trHeight w:val="203"/>
        </w:trPr>
        <w:tc>
          <w:tcPr>
            <w:tcW w:w="2740" w:type="dxa"/>
            <w:vAlign w:val="bottom"/>
            <w:tcBorders>
              <w:bottom w:val="single" w:sz="8" w:color="0000FF"/>
            </w:tcBorders>
            <w:gridSpan w:val="9"/>
          </w:tcPr>
          <w:p>
            <w:pPr>
              <w:spacing w:after="0" w:line="202" w:lineRule="exact"/>
              <w:rPr>
                <w:rFonts w:ascii="Arial" w:cs="Arial" w:eastAsia="Arial" w:hAnsi="Arial"/>
                <w:sz w:val="18"/>
                <w:szCs w:val="18"/>
                <w:color w:val="0000FF"/>
                <w:w w:val="97"/>
              </w:rPr>
            </w:pPr>
            <w:hyperlink w:anchor="page2">
              <w:r>
                <w:rPr>
                  <w:rFonts w:ascii="Arial" w:cs="Arial" w:eastAsia="Arial" w:hAnsi="Arial"/>
                  <w:sz w:val="18"/>
                  <w:szCs w:val="18"/>
                  <w:color w:val="0000FF"/>
                  <w:w w:val="97"/>
                </w:rPr>
                <w:t>Part I: FINANCIAL INFORMATION</w:t>
              </w:r>
            </w:hyperlink>
          </w:p>
        </w:tc>
        <w:tc>
          <w:tcPr>
            <w:tcW w:w="7500" w:type="dxa"/>
            <w:vAlign w:val="bottom"/>
            <w:gridSpan w:val="12"/>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2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Condensed Consolidated Financial Statements</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2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A. Condensed Consolidated Balance Sheets as of June 30, 2013 and December 31, 2012</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20" w:type="dxa"/>
            <w:vAlign w:val="bottom"/>
            <w:gridSpan w:val="19"/>
          </w:tcPr>
          <w:p>
            <w:pPr>
              <w:spacing w:after="0"/>
              <w:rPr>
                <w:rFonts w:ascii="Arial" w:cs="Arial" w:eastAsia="Arial" w:hAnsi="Arial"/>
                <w:sz w:val="18"/>
                <w:szCs w:val="18"/>
                <w:color w:val="0000FF"/>
                <w:w w:val="95"/>
              </w:rPr>
            </w:pPr>
            <w:hyperlink w:anchor="page3">
              <w:r>
                <w:rPr>
                  <w:rFonts w:ascii="Arial" w:cs="Arial" w:eastAsia="Arial" w:hAnsi="Arial"/>
                  <w:sz w:val="18"/>
                  <w:szCs w:val="18"/>
                  <w:color w:val="0000FF"/>
                  <w:w w:val="95"/>
                </w:rPr>
                <w:t>B. Condensed Consolidated Statements of Earnings for the three-month and six-month periods ended June 30, 2013 and 2012</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20" w:type="dxa"/>
            <w:vAlign w:val="bottom"/>
            <w:gridSpan w:val="19"/>
          </w:tcPr>
          <w:p>
            <w:pPr>
              <w:spacing w:after="0"/>
              <w:rPr>
                <w:rFonts w:ascii="Arial" w:cs="Arial" w:eastAsia="Arial" w:hAnsi="Arial"/>
                <w:sz w:val="18"/>
                <w:szCs w:val="18"/>
                <w:color w:val="0000FF"/>
                <w:w w:val="91"/>
              </w:rPr>
            </w:pPr>
            <w:hyperlink w:anchor="page4">
              <w:r>
                <w:rPr>
                  <w:rFonts w:ascii="Arial" w:cs="Arial" w:eastAsia="Arial" w:hAnsi="Arial"/>
                  <w:sz w:val="18"/>
                  <w:szCs w:val="18"/>
                  <w:color w:val="0000FF"/>
                  <w:w w:val="91"/>
                </w:rPr>
                <w:t>C. Condensed Consolidated Statements of Comprehensive Earnings for the three-month and six-month periods ended June 30, 2013</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5"/>
              </w:rPr>
            </w:pPr>
            <w:hyperlink w:anchor="page4">
              <w:r>
                <w:rPr>
                  <w:rFonts w:ascii="Arial" w:cs="Arial" w:eastAsia="Arial" w:hAnsi="Arial"/>
                  <w:sz w:val="18"/>
                  <w:szCs w:val="18"/>
                  <w:color w:val="0000FF"/>
                  <w:w w:val="85"/>
                </w:rPr>
                <w:t>and 2012</w:t>
              </w:r>
            </w:hyperlink>
          </w:p>
        </w:tc>
        <w:tc>
          <w:tcPr>
            <w:tcW w:w="8840" w:type="dxa"/>
            <w:vAlign w:val="bottom"/>
            <w:tcBorders>
              <w:top w:val="single" w:sz="8" w:color="0000FF"/>
            </w:tcBorders>
            <w:gridSpan w:val="16"/>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12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D. Condensed Consolidated Statement of Equity for the three-month and six-month periods ended June 30, 2013</w:t>
              </w:r>
            </w:hyperlink>
          </w:p>
        </w:tc>
        <w:tc>
          <w:tcPr>
            <w:tcW w:w="1600" w:type="dxa"/>
            <w:vAlign w:val="bottom"/>
            <w:gridSpan w:val="3"/>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2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E. Condensed Consolidated Statements of Cash Flows for the six-month periods ended June 30, 2013 and 2012</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Borders>
              <w:top w:val="single" w:sz="8" w:color="0000FF"/>
            </w:tcBorders>
          </w:tcPr>
          <w:p>
            <w:pPr>
              <w:spacing w:after="0"/>
              <w:rPr>
                <w:sz w:val="21"/>
                <w:szCs w:val="21"/>
                <w:color w:val="auto"/>
              </w:rPr>
            </w:pPr>
          </w:p>
        </w:tc>
        <w:tc>
          <w:tcPr>
            <w:tcW w:w="418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F. Notes to Condensed Consolidated Financial Statements</w:t>
              </w:r>
            </w:hyperlink>
          </w:p>
        </w:tc>
        <w:tc>
          <w:tcPr>
            <w:tcW w:w="3300" w:type="dxa"/>
            <w:vAlign w:val="bottom"/>
            <w:tcBorders>
              <w:top w:val="single" w:sz="8" w:color="0000FF"/>
            </w:tcBorders>
            <w:gridSpan w:val="5"/>
          </w:tcPr>
          <w:p>
            <w:pPr>
              <w:spacing w:after="0"/>
              <w:rPr>
                <w:sz w:val="21"/>
                <w:szCs w:val="21"/>
                <w:color w:val="auto"/>
              </w:rPr>
            </w:pPr>
          </w:p>
        </w:tc>
        <w:tc>
          <w:tcPr>
            <w:tcW w:w="1720" w:type="dxa"/>
            <w:vAlign w:val="bottom"/>
            <w:gridSpan w:val="4"/>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20" w:type="dxa"/>
            <w:vAlign w:val="bottom"/>
            <w:gridSpan w:val="19"/>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2. Management’s Discussion and Analysis of Financial Condition and Results of Operations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26</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40" w:type="dxa"/>
            <w:vAlign w:val="bottom"/>
            <w:gridSpan w:val="11"/>
          </w:tcPr>
          <w:p>
            <w:pPr>
              <w:spacing w:after="0"/>
              <w:rPr>
                <w:rFonts w:ascii="Arial" w:cs="Arial" w:eastAsia="Arial" w:hAnsi="Arial"/>
                <w:sz w:val="18"/>
                <w:szCs w:val="18"/>
                <w:color w:val="0000FF"/>
                <w:w w:val="92"/>
              </w:rPr>
            </w:pPr>
            <w:hyperlink w:anchor="page44">
              <w:r>
                <w:rPr>
                  <w:rFonts w:ascii="Arial" w:cs="Arial" w:eastAsia="Arial" w:hAnsi="Arial"/>
                  <w:sz w:val="18"/>
                  <w:szCs w:val="18"/>
                  <w:color w:val="0000FF"/>
                  <w:w w:val="92"/>
                </w:rPr>
                <w:t>Item 3. Quantitative and Qualitative Disclosure About Market Risk</w:t>
              </w:r>
            </w:hyperlink>
          </w:p>
        </w:tc>
        <w:tc>
          <w:tcPr>
            <w:tcW w:w="2160" w:type="dxa"/>
            <w:vAlign w:val="bottom"/>
            <w:gridSpan w:val="3"/>
          </w:tcPr>
          <w:p>
            <w:pPr>
              <w:spacing w:after="0"/>
              <w:rPr>
                <w:sz w:val="21"/>
                <w:szCs w:val="21"/>
                <w:color w:val="auto"/>
              </w:rPr>
            </w:pPr>
          </w:p>
        </w:tc>
        <w:tc>
          <w:tcPr>
            <w:tcW w:w="272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40</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Item 4.</w:t>
              </w:r>
            </w:hyperlink>
          </w:p>
        </w:tc>
        <w:tc>
          <w:tcPr>
            <w:tcW w:w="4320" w:type="dxa"/>
            <w:vAlign w:val="bottom"/>
            <w:gridSpan w:val="10"/>
          </w:tcPr>
          <w:p>
            <w:pPr>
              <w:ind w:left="20"/>
              <w:spacing w:after="0"/>
              <w:rPr>
                <w:rFonts w:ascii="Arial" w:cs="Arial" w:eastAsia="Arial" w:hAnsi="Arial"/>
                <w:sz w:val="18"/>
                <w:szCs w:val="18"/>
                <w:color w:val="0000FF"/>
              </w:rPr>
            </w:pPr>
            <w:hyperlink w:anchor="page45">
              <w:r>
                <w:rPr>
                  <w:rFonts w:ascii="Arial" w:cs="Arial" w:eastAsia="Arial" w:hAnsi="Arial"/>
                  <w:sz w:val="18"/>
                  <w:szCs w:val="18"/>
                  <w:color w:val="0000FF"/>
                </w:rPr>
                <w:t>Controls and Procedures</w:t>
              </w:r>
            </w:hyperlink>
          </w:p>
        </w:tc>
        <w:tc>
          <w:tcPr>
            <w:tcW w:w="4880" w:type="dxa"/>
            <w:vAlign w:val="bottom"/>
            <w:gridSpan w:val="8"/>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41</w:t>
              </w:r>
            </w:hyperlink>
          </w:p>
        </w:tc>
      </w:tr>
      <w:tr>
        <w:trPr>
          <w:trHeight w:val="20"/>
        </w:trPr>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40" w:type="dxa"/>
            <w:vAlign w:val="bottom"/>
            <w:gridSpan w:val="21"/>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Part II: OTHER INFORMATION</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4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1.</w:t>
              </w:r>
            </w:hyperlink>
          </w:p>
        </w:tc>
        <w:tc>
          <w:tcPr>
            <w:tcW w:w="1360" w:type="dxa"/>
            <w:vAlign w:val="bottom"/>
            <w:tcBorders>
              <w:top w:val="single" w:sz="8" w:color="0000FF"/>
            </w:tcBorders>
            <w:gridSpan w:val="4"/>
          </w:tcPr>
          <w:p>
            <w:pPr>
              <w:ind w:left="20"/>
              <w:spacing w:after="0"/>
              <w:rPr>
                <w:rFonts w:ascii="Arial" w:cs="Arial" w:eastAsia="Arial" w:hAnsi="Arial"/>
                <w:sz w:val="18"/>
                <w:szCs w:val="18"/>
                <w:color w:val="0000FF"/>
                <w:w w:val="88"/>
              </w:rPr>
            </w:pPr>
            <w:hyperlink w:anchor="page46">
              <w:r>
                <w:rPr>
                  <w:rFonts w:ascii="Arial" w:cs="Arial" w:eastAsia="Arial" w:hAnsi="Arial"/>
                  <w:sz w:val="18"/>
                  <w:szCs w:val="18"/>
                  <w:color w:val="0000FF"/>
                  <w:w w:val="88"/>
                </w:rPr>
                <w:t>Legal Proceedings</w:t>
              </w:r>
            </w:hyperlink>
          </w:p>
        </w:tc>
        <w:tc>
          <w:tcPr>
            <w:tcW w:w="20" w:type="dxa"/>
            <w:vAlign w:val="bottom"/>
            <w:tcBorders>
              <w:top w:val="single" w:sz="8" w:color="0000FF"/>
            </w:tcBorders>
          </w:tcPr>
          <w:p>
            <w:pPr>
              <w:spacing w:after="0"/>
              <w:rPr>
                <w:sz w:val="21"/>
                <w:szCs w:val="21"/>
                <w:color w:val="auto"/>
              </w:rPr>
            </w:pPr>
          </w:p>
        </w:tc>
        <w:tc>
          <w:tcPr>
            <w:tcW w:w="7820" w:type="dxa"/>
            <w:vAlign w:val="bottom"/>
            <w:gridSpan w:val="13"/>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42</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540" w:type="dxa"/>
            <w:vAlign w:val="bottom"/>
            <w:gridSpan w:val="5"/>
          </w:tcPr>
          <w:p>
            <w:pP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Item 1a. Risk Factors</w:t>
              </w:r>
            </w:hyperlink>
          </w:p>
        </w:tc>
        <w:tc>
          <w:tcPr>
            <w:tcW w:w="8460" w:type="dxa"/>
            <w:vAlign w:val="bottom"/>
            <w:gridSpan w:val="1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42</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40" w:type="dxa"/>
            <w:vAlign w:val="bottom"/>
            <w:gridSpan w:val="8"/>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2.</w:t>
              </w:r>
            </w:hyperlink>
          </w:p>
        </w:tc>
        <w:tc>
          <w:tcPr>
            <w:tcW w:w="4380" w:type="dxa"/>
            <w:vAlign w:val="bottom"/>
            <w:gridSpan w:val="11"/>
          </w:tcPr>
          <w:p>
            <w:pPr>
              <w:ind w:left="20"/>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Unregistered Sales of Equity Securities and Use of Proceeds</w:t>
              </w:r>
            </w:hyperlink>
          </w:p>
        </w:tc>
        <w:tc>
          <w:tcPr>
            <w:tcW w:w="482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42</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760" w:type="dxa"/>
            <w:vAlign w:val="bottom"/>
            <w:gridSpan w:val="9"/>
            <w:shd w:val="clear" w:color="auto" w:fill="0000FF"/>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6.</w:t>
              </w:r>
            </w:hyperlink>
          </w:p>
        </w:tc>
        <w:tc>
          <w:tcPr>
            <w:tcW w:w="4380" w:type="dxa"/>
            <w:vAlign w:val="bottom"/>
            <w:gridSpan w:val="11"/>
          </w:tcPr>
          <w:p>
            <w:pPr>
              <w:ind w:left="20"/>
              <w:spacing w:after="0"/>
              <w:rPr>
                <w:rFonts w:ascii="Arial" w:cs="Arial" w:eastAsia="Arial" w:hAnsi="Arial"/>
                <w:sz w:val="18"/>
                <w:szCs w:val="18"/>
                <w:color w:val="0000FF"/>
              </w:rPr>
            </w:pPr>
            <w:hyperlink w:anchor="page46">
              <w:r>
                <w:rPr>
                  <w:rFonts w:ascii="Arial" w:cs="Arial" w:eastAsia="Arial" w:hAnsi="Arial"/>
                  <w:sz w:val="18"/>
                  <w:szCs w:val="18"/>
                  <w:color w:val="0000FF"/>
                </w:rPr>
                <w:t>Exhibits</w:t>
              </w:r>
            </w:hyperlink>
          </w:p>
        </w:tc>
        <w:tc>
          <w:tcPr>
            <w:tcW w:w="482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43</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12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20" w:type="dxa"/>
            <w:vAlign w:val="bottom"/>
            <w:gridSpan w:val="4"/>
          </w:tcPr>
          <w:p>
            <w:pPr>
              <w:spacing w:after="0"/>
              <w:rPr>
                <w:rFonts w:ascii="Arial" w:cs="Arial" w:eastAsia="Arial" w:hAnsi="Arial"/>
                <w:sz w:val="18"/>
                <w:szCs w:val="18"/>
                <w:b w:val="1"/>
                <w:bCs w:val="1"/>
                <w:color w:val="0000FF"/>
              </w:rPr>
            </w:pPr>
            <w:hyperlink w:anchor="page1">
              <w:r>
                <w:rPr>
                  <w:rFonts w:ascii="Arial" w:cs="Arial" w:eastAsia="Arial" w:hAnsi="Arial"/>
                  <w:sz w:val="18"/>
                  <w:szCs w:val="18"/>
                  <w:b w:val="1"/>
                  <w:bCs w:val="1"/>
                  <w:color w:val="0000FF"/>
                </w:rPr>
                <w:t>Table of Contents</w:t>
              </w:r>
            </w:hyperlink>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3"/>
            <w:shd w:val="clear" w:color="auto" w:fill="0000FF"/>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9020" w:type="dxa"/>
            <w:vAlign w:val="bottom"/>
            <w:gridSpan w:val="4"/>
          </w:tcPr>
          <w:p>
            <w:pPr>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gridSpan w:val="2"/>
          </w:tcPr>
          <w:p>
            <w:pPr>
              <w:spacing w:after="0"/>
              <w:rPr>
                <w:sz w:val="20"/>
                <w:szCs w:val="20"/>
                <w:color w:val="auto"/>
              </w:rPr>
            </w:pPr>
            <w:r>
              <w:rPr>
                <w:rFonts w:ascii="Arial" w:cs="Arial" w:eastAsia="Arial" w:hAnsi="Arial"/>
                <w:sz w:val="18"/>
                <w:szCs w:val="18"/>
                <w:b w:val="1"/>
                <w:bCs w:val="1"/>
                <w:color w:val="auto"/>
                <w:w w:val="94"/>
              </w:rPr>
              <w:t>Item 1.</w:t>
            </w:r>
          </w:p>
        </w:tc>
        <w:tc>
          <w:tcPr>
            <w:tcW w:w="8460" w:type="dxa"/>
            <w:vAlign w:val="bottom"/>
            <w:gridSpan w:val="2"/>
          </w:tcPr>
          <w:p>
            <w:pPr>
              <w:ind w:left="420"/>
              <w:spacing w:after="0"/>
              <w:rPr>
                <w:sz w:val="20"/>
                <w:szCs w:val="20"/>
                <w:color w:val="auto"/>
              </w:rPr>
            </w:pPr>
            <w:r>
              <w:rPr>
                <w:rFonts w:ascii="Arial" w:cs="Arial" w:eastAsia="Arial" w:hAnsi="Arial"/>
                <w:sz w:val="18"/>
                <w:szCs w:val="18"/>
                <w:b w:val="1"/>
                <w:bCs w:val="1"/>
                <w:color w:val="auto"/>
              </w:rPr>
              <w:t>Condensed Consolidated Financial Statements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60" w:type="dxa"/>
            <w:vAlign w:val="bottom"/>
          </w:tcPr>
          <w:p>
            <w:pPr>
              <w:jc w:val="center"/>
              <w:ind w:left="977"/>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60" w:type="dxa"/>
            <w:vAlign w:val="bottom"/>
          </w:tcPr>
          <w:p>
            <w:pPr>
              <w:jc w:val="center"/>
              <w:ind w:left="957"/>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60" w:type="dxa"/>
            <w:vAlign w:val="bottom"/>
          </w:tcPr>
          <w:p>
            <w:pPr>
              <w:jc w:val="center"/>
              <w:ind w:left="977"/>
              <w:spacing w:after="0"/>
              <w:rPr>
                <w:sz w:val="20"/>
                <w:szCs w:val="20"/>
                <w:color w:val="auto"/>
              </w:rPr>
            </w:pPr>
            <w:r>
              <w:rPr>
                <w:rFonts w:ascii="Arial" w:cs="Arial" w:eastAsia="Arial" w:hAnsi="Arial"/>
                <w:sz w:val="14"/>
                <w:szCs w:val="14"/>
                <w:color w:val="auto"/>
                <w:w w:val="94"/>
              </w:rPr>
              <w:t>(Dollars in millions, except share data)</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June 30,</w:t>
            </w:r>
          </w:p>
        </w:tc>
        <w:tc>
          <w:tcPr>
            <w:tcW w:w="11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(Unaudited)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7660" w:type="dxa"/>
            <w:vAlign w:val="bottom"/>
            <w:tcBorders>
              <w:bottom w:val="single" w:sz="8" w:color="CCEEFF"/>
            </w:tcBorders>
            <w:shd w:val="clear" w:color="auto" w:fill="CCEEFF"/>
          </w:tcPr>
          <w:p>
            <w:pPr>
              <w:jc w:val="center"/>
              <w:ind w:left="977"/>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0"/>
              <w:spacing w:after="0"/>
              <w:rPr>
                <w:sz w:val="20"/>
                <w:szCs w:val="20"/>
                <w:color w:val="auto"/>
              </w:rPr>
            </w:pPr>
            <w:r>
              <w:rPr>
                <w:rFonts w:ascii="Arial" w:cs="Arial" w:eastAsia="Arial" w:hAnsi="Arial"/>
                <w:sz w:val="16"/>
                <w:szCs w:val="16"/>
                <w:color w:val="auto"/>
              </w:rPr>
              <w:t>Investments: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90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3"/>
              </w:rPr>
              <w:t>Fixed maturity securities available for sale, at fair value, at June 30, 2013 and December 31, 2012 includes pledged fixed maturity of</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0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$281 and $275, respectively, related to secured trust deposits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rPr>
              <w:t>Preferred stock available for sale, at fair value</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Equity securities available for sale, at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rPr>
              <w:t>Investments in unconsolidated affiliates</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Other long-term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rPr>
              <w:t>Short-term investments</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000" w:type="dxa"/>
            <w:vAlign w:val="bottom"/>
            <w:gridSpan w:val="3"/>
          </w:tcPr>
          <w:p>
            <w:pPr>
              <w:ind w:left="20"/>
              <w:spacing w:after="0"/>
              <w:rPr>
                <w:sz w:val="20"/>
                <w:szCs w:val="20"/>
                <w:color w:val="auto"/>
              </w:rPr>
            </w:pPr>
            <w:r>
              <w:rPr>
                <w:rFonts w:ascii="Arial" w:cs="Arial" w:eastAsia="Arial" w:hAnsi="Arial"/>
                <w:sz w:val="16"/>
                <w:szCs w:val="16"/>
                <w:color w:val="auto"/>
                <w:w w:val="93"/>
              </w:rPr>
              <w:t>Cash and cash equivalents, at June 30, 2013 and December 31, 2012 includes $384 and $266, respectively, of pledged cash related to</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000" w:type="dxa"/>
            <w:vAlign w:val="bottom"/>
            <w:gridSpan w:val="3"/>
          </w:tcPr>
          <w:p>
            <w:pPr>
              <w:ind w:left="20"/>
              <w:spacing w:after="0"/>
              <w:rPr>
                <w:sz w:val="20"/>
                <w:szCs w:val="20"/>
                <w:color w:val="auto"/>
              </w:rPr>
            </w:pPr>
            <w:r>
              <w:rPr>
                <w:rFonts w:ascii="Arial" w:cs="Arial" w:eastAsia="Arial" w:hAnsi="Arial"/>
                <w:sz w:val="16"/>
                <w:szCs w:val="16"/>
                <w:color w:val="auto"/>
              </w:rPr>
              <w:t>secured trust deposits</w:t>
            </w:r>
          </w:p>
        </w:tc>
        <w:tc>
          <w:tcPr>
            <w:tcW w:w="14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1,285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1,132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Trade and notes receivables, net of allowance of $23 and $22, at June 30, 2013 and December 31, 2012, respectively</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1,909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Prepaid expenses and 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0"/>
              <w:spacing w:after="0"/>
              <w:rPr>
                <w:sz w:val="20"/>
                <w:szCs w:val="20"/>
                <w:color w:val="auto"/>
              </w:rPr>
            </w:pPr>
            <w:r>
              <w:rPr>
                <w:rFonts w:ascii="Arial" w:cs="Arial" w:eastAsia="Arial" w:hAnsi="Arial"/>
                <w:sz w:val="16"/>
                <w:szCs w:val="16"/>
                <w:color w:val="auto"/>
              </w:rPr>
              <w:t>Other intangible assets, net</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651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Title plants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7660" w:type="dxa"/>
            <w:vAlign w:val="bottom"/>
            <w:vMerge w:val="restart"/>
          </w:tcPr>
          <w:p>
            <w:pPr>
              <w:jc w:val="center"/>
              <w:ind w:left="957"/>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w w:val="92"/>
              </w:rPr>
              <w:t>Accounts payable and accrued liabilities, at June 30, 2013 and December 31, 2012 includes accounts payable to related parties of $4</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rPr>
              <w:t>and $5, respectively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1,287</w:t>
            </w:r>
          </w:p>
        </w:tc>
        <w:tc>
          <w:tcPr>
            <w:tcW w:w="10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1,308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Notes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rPr>
              <w:t>Reserve for title claim losses</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1,717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1,748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Secured trust deposits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rPr>
              <w:t>Income taxes payable</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0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Deferred tax liability</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5,181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5,154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800" w:type="dxa"/>
            <w:vAlign w:val="bottom"/>
            <w:tcBorders>
              <w:bottom w:val="single" w:sz="8" w:color="CCEEFF"/>
            </w:tcBorders>
            <w:shd w:val="clear" w:color="auto" w:fill="CCEEFF"/>
          </w:tcPr>
          <w:p>
            <w:pPr>
              <w:spacing w:after="0"/>
              <w:rPr>
                <w:sz w:val="20"/>
                <w:szCs w:val="20"/>
                <w:color w:val="auto"/>
              </w:rPr>
            </w:pPr>
          </w:p>
        </w:tc>
        <w:tc>
          <w:tcPr>
            <w:tcW w:w="76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w w:val="95"/>
              </w:rPr>
              <w:t>Common stock, Class A, $0.0001 par value; authorized 600,000,000 shares as of June 30, 2013 and December 31, 2012; issued</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rPr>
              <w:t>269,602,512 as of June 30, 2013 and 268,541,117 as of December 31, 2012</w:t>
            </w:r>
          </w:p>
        </w:tc>
        <w:tc>
          <w:tcPr>
            <w:tcW w:w="1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Preferred stock, $0.0001 par value; authorized 50,000,000 shares; issued and outstanding, none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4,057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4,018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gridSpan w:val="3"/>
          </w:tcPr>
          <w:p>
            <w:pPr>
              <w:ind w:left="280"/>
              <w:spacing w:after="0"/>
              <w:rPr>
                <w:sz w:val="20"/>
                <w:szCs w:val="20"/>
                <w:color w:val="auto"/>
              </w:rPr>
            </w:pPr>
            <w:r>
              <w:rPr>
                <w:rFonts w:ascii="Arial" w:cs="Arial" w:eastAsia="Arial" w:hAnsi="Arial"/>
                <w:sz w:val="16"/>
                <w:szCs w:val="16"/>
                <w:color w:val="auto"/>
              </w:rPr>
              <w:t>Accumulated other comprehensive earnings</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0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w w:val="94"/>
              </w:rPr>
              <w:t>Less: treasury stock, 41,396,129 shares and 39,995,513 shares as of June 30, 2013 and December 31, 2012, respectively, at cost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Total Fidelity National Financial, Inc. shareholders’ equity</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4,380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4,268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0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Total equity</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4,834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4,749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00"/>
          </w:cols>
          <w:pgMar w:left="240" w:top="108"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108" w:right="25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Three months ended June 30,</w:t>
            </w:r>
          </w:p>
        </w:tc>
        <w:tc>
          <w:tcPr>
            <w:tcW w:w="178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80"/>
        </w:trPr>
        <w:tc>
          <w:tcPr>
            <w:tcW w:w="75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75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21"/>
                <w:szCs w:val="21"/>
                <w:color w:val="auto"/>
              </w:rPr>
            </w:pPr>
          </w:p>
        </w:tc>
        <w:tc>
          <w:tcPr>
            <w:tcW w:w="160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540" w:type="dxa"/>
            <w:vAlign w:val="bottom"/>
          </w:tcPr>
          <w:p>
            <w:pPr>
              <w:ind w:left="280"/>
              <w:spacing w:after="0"/>
              <w:rPr>
                <w:sz w:val="20"/>
                <w:szCs w:val="20"/>
                <w:color w:val="auto"/>
              </w:rPr>
            </w:pPr>
            <w:r>
              <w:rPr>
                <w:rFonts w:ascii="Arial" w:cs="Arial" w:eastAsia="Arial" w:hAnsi="Arial"/>
                <w:sz w:val="14"/>
                <w:szCs w:val="14"/>
                <w:color w:val="auto"/>
              </w:rPr>
              <w:t>Direct title insurance premiums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492</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426</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905</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779</w:t>
            </w:r>
          </w:p>
        </w:tc>
        <w:tc>
          <w:tcPr>
            <w:tcW w:w="0" w:type="dxa"/>
            <w:vAlign w:val="bottom"/>
          </w:tcPr>
          <w:p>
            <w:pPr>
              <w:spacing w:after="0"/>
              <w:rPr>
                <w:sz w:val="1"/>
                <w:szCs w:val="1"/>
                <w:color w:val="auto"/>
              </w:rPr>
            </w:pPr>
          </w:p>
        </w:tc>
      </w:tr>
      <w:tr>
        <w:trPr>
          <w:trHeight w:val="276"/>
        </w:trPr>
        <w:tc>
          <w:tcPr>
            <w:tcW w:w="7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Agency title insurance premiums</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932</w:t>
            </w:r>
          </w:p>
        </w:tc>
        <w:tc>
          <w:tcPr>
            <w:tcW w:w="0" w:type="dxa"/>
            <w:vAlign w:val="bottom"/>
          </w:tcPr>
          <w:p>
            <w:pPr>
              <w:spacing w:after="0"/>
              <w:rPr>
                <w:sz w:val="1"/>
                <w:szCs w:val="1"/>
                <w:color w:val="auto"/>
              </w:rPr>
            </w:pPr>
          </w:p>
        </w:tc>
      </w:tr>
      <w:tr>
        <w:trPr>
          <w:trHeight w:val="264"/>
        </w:trPr>
        <w:tc>
          <w:tcPr>
            <w:tcW w:w="7540" w:type="dxa"/>
            <w:vAlign w:val="bottom"/>
          </w:tcPr>
          <w:p>
            <w:pPr>
              <w:ind w:left="280"/>
              <w:spacing w:after="0"/>
              <w:rPr>
                <w:sz w:val="20"/>
                <w:szCs w:val="20"/>
                <w:color w:val="auto"/>
              </w:rPr>
            </w:pPr>
            <w:r>
              <w:rPr>
                <w:rFonts w:ascii="Arial" w:cs="Arial" w:eastAsia="Arial" w:hAnsi="Arial"/>
                <w:sz w:val="14"/>
                <w:szCs w:val="14"/>
                <w:color w:val="auto"/>
              </w:rPr>
              <w:t>Escrow, title related and other fees</w:t>
            </w:r>
          </w:p>
        </w:tc>
        <w:tc>
          <w:tcPr>
            <w:tcW w:w="10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489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924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276"/>
        </w:trPr>
        <w:tc>
          <w:tcPr>
            <w:tcW w:w="7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Auto parts revenue</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540" w:type="dxa"/>
            <w:vAlign w:val="bottom"/>
          </w:tcPr>
          <w:p>
            <w:pPr>
              <w:ind w:left="280"/>
              <w:spacing w:after="0"/>
              <w:rPr>
                <w:sz w:val="20"/>
                <w:szCs w:val="20"/>
                <w:color w:val="auto"/>
              </w:rPr>
            </w:pPr>
            <w:r>
              <w:rPr>
                <w:rFonts w:ascii="Arial" w:cs="Arial" w:eastAsia="Arial" w:hAnsi="Arial"/>
                <w:sz w:val="14"/>
                <w:szCs w:val="14"/>
                <w:color w:val="auto"/>
              </w:rPr>
              <w:t>Restaurant revenue</w:t>
            </w:r>
          </w:p>
        </w:tc>
        <w:tc>
          <w:tcPr>
            <w:tcW w:w="10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347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701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76"/>
        </w:trPr>
        <w:tc>
          <w:tcPr>
            <w:tcW w:w="7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and investment income</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Realized gains and losses, net</w:t>
            </w: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56"/>
        </w:trPr>
        <w:tc>
          <w:tcPr>
            <w:tcW w:w="75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Total revenues</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2,279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2,907</w:t>
            </w:r>
          </w:p>
        </w:tc>
        <w:tc>
          <w:tcPr>
            <w:tcW w:w="0" w:type="dxa"/>
            <w:vAlign w:val="bottom"/>
          </w:tcPr>
          <w:p>
            <w:pPr>
              <w:spacing w:after="0"/>
              <w:rPr>
                <w:sz w:val="1"/>
                <w:szCs w:val="1"/>
                <w:color w:val="auto"/>
              </w:rPr>
            </w:pP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Expenses:</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Personnel costs</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852</w:t>
            </w:r>
          </w:p>
        </w:tc>
        <w:tc>
          <w:tcPr>
            <w:tcW w:w="0" w:type="dxa"/>
            <w:vAlign w:val="bottom"/>
          </w:tcPr>
          <w:p>
            <w:pPr>
              <w:spacing w:after="0"/>
              <w:rPr>
                <w:sz w:val="1"/>
                <w:szCs w:val="1"/>
                <w:color w:val="auto"/>
              </w:rPr>
            </w:pPr>
          </w:p>
        </w:tc>
      </w:tr>
      <w:tr>
        <w:trPr>
          <w:trHeight w:val="264"/>
        </w:trPr>
        <w:tc>
          <w:tcPr>
            <w:tcW w:w="7540" w:type="dxa"/>
            <w:vAlign w:val="bottom"/>
          </w:tcPr>
          <w:p>
            <w:pPr>
              <w:ind w:left="280"/>
              <w:spacing w:after="0"/>
              <w:rPr>
                <w:sz w:val="20"/>
                <w:szCs w:val="20"/>
                <w:color w:val="auto"/>
              </w:rPr>
            </w:pPr>
            <w:r>
              <w:rPr>
                <w:rFonts w:ascii="Arial" w:cs="Arial" w:eastAsia="Arial" w:hAnsi="Arial"/>
                <w:sz w:val="14"/>
                <w:szCs w:val="14"/>
                <w:color w:val="auto"/>
              </w:rPr>
              <w:t>Agent commissions</w:t>
            </w:r>
          </w:p>
        </w:tc>
        <w:tc>
          <w:tcPr>
            <w:tcW w:w="10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870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712</w:t>
            </w:r>
          </w:p>
        </w:tc>
        <w:tc>
          <w:tcPr>
            <w:tcW w:w="0" w:type="dxa"/>
            <w:vAlign w:val="bottom"/>
          </w:tcPr>
          <w:p>
            <w:pPr>
              <w:spacing w:after="0"/>
              <w:rPr>
                <w:sz w:val="1"/>
                <w:szCs w:val="1"/>
                <w:color w:val="auto"/>
              </w:rPr>
            </w:pPr>
          </w:p>
        </w:tc>
      </w:tr>
      <w:tr>
        <w:trPr>
          <w:trHeight w:val="276"/>
        </w:trPr>
        <w:tc>
          <w:tcPr>
            <w:tcW w:w="7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operating expenses</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157"/>
        </w:trPr>
        <w:tc>
          <w:tcPr>
            <w:tcW w:w="7540" w:type="dxa"/>
            <w:vAlign w:val="bottom"/>
          </w:tcPr>
          <w:p>
            <w:pPr>
              <w:ind w:left="280"/>
              <w:spacing w:after="0" w:line="157" w:lineRule="exact"/>
              <w:rPr>
                <w:sz w:val="20"/>
                <w:szCs w:val="20"/>
                <w:color w:val="auto"/>
              </w:rPr>
            </w:pPr>
            <w:r>
              <w:rPr>
                <w:rFonts w:ascii="Arial" w:cs="Arial" w:eastAsia="Arial" w:hAnsi="Arial"/>
                <w:sz w:val="14"/>
                <w:szCs w:val="14"/>
                <w:color w:val="auto"/>
                <w:w w:val="94"/>
              </w:rPr>
              <w:t>Cost of auto parts revenue, includes $18 and $36 of depreciation and amortization for the three and six months ended June</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540" w:type="dxa"/>
            <w:vAlign w:val="bottom"/>
          </w:tcPr>
          <w:p>
            <w:pPr>
              <w:ind w:left="280"/>
              <w:spacing w:after="0"/>
              <w:rPr>
                <w:sz w:val="20"/>
                <w:szCs w:val="20"/>
                <w:color w:val="auto"/>
              </w:rPr>
            </w:pPr>
            <w:r>
              <w:rPr>
                <w:rFonts w:ascii="Arial" w:cs="Arial" w:eastAsia="Arial" w:hAnsi="Arial"/>
                <w:sz w:val="14"/>
                <w:szCs w:val="14"/>
                <w:color w:val="auto"/>
              </w:rPr>
              <w:t>30, 2013, respectively</w:t>
            </w:r>
          </w:p>
        </w:tc>
        <w:tc>
          <w:tcPr>
            <w:tcW w:w="10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of restaurant revenue</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64"/>
        </w:trPr>
        <w:tc>
          <w:tcPr>
            <w:tcW w:w="754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76"/>
        </w:trPr>
        <w:tc>
          <w:tcPr>
            <w:tcW w:w="7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Provision for title claim losses</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Interest expense</w:t>
            </w: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50"/>
        </w:trPr>
        <w:tc>
          <w:tcPr>
            <w:tcW w:w="75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Total expenses</w:t>
            </w:r>
          </w:p>
        </w:tc>
        <w:tc>
          <w:tcPr>
            <w:tcW w:w="1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2,056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3,960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2,585</w:t>
            </w:r>
          </w:p>
        </w:tc>
        <w:tc>
          <w:tcPr>
            <w:tcW w:w="0" w:type="dxa"/>
            <w:vAlign w:val="bottom"/>
          </w:tcPr>
          <w:p>
            <w:pPr>
              <w:spacing w:after="0"/>
              <w:rPr>
                <w:sz w:val="1"/>
                <w:szCs w:val="1"/>
                <w:color w:val="auto"/>
              </w:rPr>
            </w:pPr>
          </w:p>
        </w:tc>
      </w:tr>
      <w:tr>
        <w:trPr>
          <w:trHeight w:val="250"/>
        </w:trPr>
        <w:tc>
          <w:tcPr>
            <w:tcW w:w="7540" w:type="dxa"/>
            <w:vAlign w:val="bottom"/>
          </w:tcPr>
          <w:p>
            <w:pPr>
              <w:ind w:left="40"/>
              <w:spacing w:after="0"/>
              <w:rPr>
                <w:sz w:val="20"/>
                <w:szCs w:val="20"/>
                <w:color w:val="auto"/>
              </w:rPr>
            </w:pPr>
            <w:r>
              <w:rPr>
                <w:rFonts w:ascii="Arial" w:cs="Arial" w:eastAsia="Arial" w:hAnsi="Arial"/>
                <w:sz w:val="14"/>
                <w:szCs w:val="14"/>
                <w:color w:val="auto"/>
              </w:rPr>
              <w:t>Earnings from continuing operations before income taxes and equity in (losses) earnings of unconsolidated affiliates</w:t>
            </w:r>
          </w:p>
        </w:tc>
        <w:tc>
          <w:tcPr>
            <w:tcW w:w="10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w:t>
            </w: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50"/>
        </w:trPr>
        <w:tc>
          <w:tcPr>
            <w:tcW w:w="7540" w:type="dxa"/>
            <w:vAlign w:val="bottom"/>
          </w:tcPr>
          <w:p>
            <w:pPr>
              <w:ind w:left="40"/>
              <w:spacing w:after="0"/>
              <w:rPr>
                <w:sz w:val="20"/>
                <w:szCs w:val="20"/>
                <w:color w:val="auto"/>
              </w:rPr>
            </w:pPr>
            <w:r>
              <w:rPr>
                <w:rFonts w:ascii="Arial" w:cs="Arial" w:eastAsia="Arial" w:hAnsi="Arial"/>
                <w:sz w:val="14"/>
                <w:szCs w:val="14"/>
                <w:color w:val="auto"/>
              </w:rPr>
              <w:t>Earnings from continuing operations before equity in (losses) earnings of unconsolidated affiliates</w:t>
            </w:r>
          </w:p>
        </w:tc>
        <w:tc>
          <w:tcPr>
            <w:tcW w:w="10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(losses) earnings of unconsolidated affiliates</w:t>
            </w: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50"/>
        </w:trPr>
        <w:tc>
          <w:tcPr>
            <w:tcW w:w="7540" w:type="dxa"/>
            <w:vAlign w:val="bottom"/>
          </w:tcPr>
          <w:p>
            <w:pPr>
              <w:ind w:left="40"/>
              <w:spacing w:after="0"/>
              <w:rPr>
                <w:sz w:val="20"/>
                <w:szCs w:val="20"/>
                <w:color w:val="auto"/>
              </w:rPr>
            </w:pPr>
            <w:r>
              <w:rPr>
                <w:rFonts w:ascii="Arial" w:cs="Arial" w:eastAsia="Arial" w:hAnsi="Arial"/>
                <w:sz w:val="14"/>
                <w:szCs w:val="14"/>
                <w:color w:val="auto"/>
              </w:rPr>
              <w:t>Net earnings from continuing operations</w:t>
            </w:r>
          </w:p>
        </w:tc>
        <w:tc>
          <w:tcPr>
            <w:tcW w:w="10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earnings from discontinued operations, net of tax</w:t>
            </w: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50"/>
        </w:trPr>
        <w:tc>
          <w:tcPr>
            <w:tcW w:w="7540" w:type="dxa"/>
            <w:vAlign w:val="bottom"/>
          </w:tcPr>
          <w:p>
            <w:pPr>
              <w:ind w:left="40"/>
              <w:spacing w:after="0"/>
              <w:rPr>
                <w:sz w:val="20"/>
                <w:szCs w:val="20"/>
                <w:color w:val="auto"/>
              </w:rPr>
            </w:pPr>
            <w:r>
              <w:rPr>
                <w:rFonts w:ascii="Arial" w:cs="Arial" w:eastAsia="Arial" w:hAnsi="Arial"/>
                <w:sz w:val="14"/>
                <w:szCs w:val="14"/>
                <w:color w:val="auto"/>
              </w:rPr>
              <w:t>Net earnings</w:t>
            </w:r>
          </w:p>
        </w:tc>
        <w:tc>
          <w:tcPr>
            <w:tcW w:w="10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earnings attributable to noncontrolling interests</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43"/>
        </w:trPr>
        <w:tc>
          <w:tcPr>
            <w:tcW w:w="7540" w:type="dxa"/>
            <w:vAlign w:val="bottom"/>
          </w:tcPr>
          <w:p>
            <w:pPr>
              <w:ind w:left="440"/>
              <w:spacing w:after="0"/>
              <w:rPr>
                <w:sz w:val="20"/>
                <w:szCs w:val="20"/>
                <w:color w:val="auto"/>
              </w:rPr>
            </w:pPr>
            <w:r>
              <w:rPr>
                <w:rFonts w:ascii="Arial" w:cs="Arial" w:eastAsia="Arial" w:hAnsi="Arial"/>
                <w:sz w:val="14"/>
                <w:szCs w:val="14"/>
                <w:color w:val="auto"/>
              </w:rPr>
              <w:t>Net earnings attributable to Fidelity National Financial, Inc. common shareholders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Earnings per share</w:t>
            </w: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540" w:type="dxa"/>
            <w:vAlign w:val="bottom"/>
          </w:tcPr>
          <w:p>
            <w:pPr>
              <w:ind w:left="40"/>
              <w:spacing w:after="0"/>
              <w:rPr>
                <w:sz w:val="20"/>
                <w:szCs w:val="20"/>
                <w:color w:val="auto"/>
              </w:rPr>
            </w:pPr>
            <w:r>
              <w:rPr>
                <w:rFonts w:ascii="Arial" w:cs="Arial" w:eastAsia="Arial" w:hAnsi="Arial"/>
                <w:sz w:val="14"/>
                <w:szCs w:val="14"/>
                <w:i w:val="1"/>
                <w:iCs w:val="1"/>
                <w:color w:val="auto"/>
              </w:rPr>
              <w:t>Basic</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from continuing operations attributable to Fidelity National Financial, Inc.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0.96</w:t>
            </w: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earnings from discontinued operations attributable to Fidelity National Financial, Inc. common shareholders</w:t>
            </w: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43"/>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earnings attributable to Fidelity National Financial, Inc. common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5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from continuing operations attributable to Fidelity National Financial, Inc.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0.94</w:t>
            </w: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earnings from discontinued operations attributable to Fidelity National Financial, Inc. common shareholders</w:t>
            </w: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43"/>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earnings attributable to Fidelity National Financial, Inc. common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0.99</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Weighted average shares outstanding, basic basis</w:t>
            </w: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1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Weighted average shares outstanding, diluted basis</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tcPr>
          <w:p>
            <w:pPr>
              <w:ind w:left="40"/>
              <w:spacing w:after="0"/>
              <w:rPr>
                <w:sz w:val="20"/>
                <w:szCs w:val="20"/>
                <w:color w:val="auto"/>
              </w:rPr>
            </w:pPr>
            <w:r>
              <w:rPr>
                <w:rFonts w:ascii="Arial" w:cs="Arial" w:eastAsia="Arial" w:hAnsi="Arial"/>
                <w:sz w:val="14"/>
                <w:szCs w:val="14"/>
                <w:color w:val="auto"/>
              </w:rPr>
              <w:t>Cash dividends paid per share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Amounts attributable to Fidelity National Financial, Inc. common shareholders</w:t>
            </w: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7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 and diluted net earnings from continuing operations attributable to FNF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Basic and diluted net earnings from discontinued operations attributable to FNF common shareholders</w:t>
            </w: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43"/>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Basic and diluted net earnings attributable to FNF common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1" w:right="239" w:bottom="894"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894"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FIDELITY NATIONAL FINANCIAL, INC. AND SUBSIDIARIES CONDENSED CONSOLIDATED STATEMENTS OF COMPREHENSIVE EARNINGS </w:t>
      </w:r>
      <w:r>
        <w:rPr>
          <w:rFonts w:ascii="Arial" w:cs="Arial" w:eastAsia="Arial" w:hAnsi="Arial"/>
          <w:sz w:val="18"/>
          <w:szCs w:val="18"/>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0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2"/>
              </w:rPr>
              <w:t>Three months ended June 30,</w:t>
            </w:r>
          </w:p>
        </w:tc>
        <w:tc>
          <w:tcPr>
            <w:tcW w:w="140" w:type="dxa"/>
            <w:vAlign w:val="bottom"/>
          </w:tcPr>
          <w:p>
            <w:pPr>
              <w:spacing w:after="0"/>
              <w:rPr>
                <w:sz w:val="16"/>
                <w:szCs w:val="16"/>
                <w:color w:val="auto"/>
              </w:rPr>
            </w:pPr>
          </w:p>
        </w:tc>
        <w:tc>
          <w:tcPr>
            <w:tcW w:w="178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21"/>
                <w:szCs w:val="21"/>
                <w:color w:val="auto"/>
              </w:rPr>
            </w:pPr>
          </w:p>
        </w:tc>
        <w:tc>
          <w:tcPr>
            <w:tcW w:w="178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earnings: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Unrealized (loss) gain on investments and other financial instruments, net (excluding investments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 unconsolidated affiliates) (1)</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Unrealized loss on investments in unconsolidated affiliates (2)</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 on foreign currency translation and cash flow hedging (3)</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w w:val="90"/>
              </w:rPr>
              <w:t>Reclassification adjustments for change in unrealized gains and losses included in net earnings (4)</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Minimum pension liability adjustment (5)</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earnings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earnings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Comprehensive earnings attributable to noncontrolling interests</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Comprehensive earnings attributable to Fidelity National Financial, Inc. common shareholders</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80" w:right="2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expense of $(22) million and $(2) million for the three-month periods ended June 30, 2013 and 2012, respectively, and $(14) million and $15 million for the six-month periods ended June 30, 2013 and 2012, respectively.</w:t>
      </w:r>
    </w:p>
    <w:p>
      <w:pPr>
        <w:spacing w:after="0" w:line="116" w:lineRule="exact"/>
        <w:rPr>
          <w:rFonts w:ascii="Arial" w:cs="Arial" w:eastAsia="Arial" w:hAnsi="Arial"/>
          <w:sz w:val="18"/>
          <w:szCs w:val="18"/>
          <w:color w:val="auto"/>
        </w:rPr>
      </w:pPr>
    </w:p>
    <w:p>
      <w:pPr>
        <w:ind w:left="98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of $2 million and $1 million for the three-month periods ended June 30, 2013 and 2012, respectively, and $7 million and $1 million for the six-month periods ended June 30, 2013 and 2012, respectively.</w:t>
      </w:r>
    </w:p>
    <w:p>
      <w:pPr>
        <w:spacing w:after="0" w:line="116" w:lineRule="exact"/>
        <w:rPr>
          <w:rFonts w:ascii="Arial" w:cs="Arial" w:eastAsia="Arial" w:hAnsi="Arial"/>
          <w:sz w:val="18"/>
          <w:szCs w:val="18"/>
          <w:color w:val="auto"/>
        </w:rPr>
      </w:pPr>
    </w:p>
    <w:p>
      <w:pPr>
        <w:ind w:left="98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of $4 million and $1 million for the three-month periods ended June 30, 2013 and 2012, respectively, and $6 million and less than $1 million for the six-month periods ended June 30, 2013 and 2012, respectively.</w:t>
      </w:r>
    </w:p>
    <w:p>
      <w:pPr>
        <w:spacing w:after="0" w:line="116" w:lineRule="exact"/>
        <w:rPr>
          <w:rFonts w:ascii="Arial" w:cs="Arial" w:eastAsia="Arial" w:hAnsi="Arial"/>
          <w:sz w:val="18"/>
          <w:szCs w:val="18"/>
          <w:color w:val="auto"/>
        </w:rPr>
      </w:pPr>
    </w:p>
    <w:p>
      <w:pPr>
        <w:ind w:left="98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$2 million and $3 million for the three-month periods ended June 30, 2013 and 2012, respectively, and $3 million and $4 million for the six-month periods ended June 30, 2013 and 2012, respectively.</w:t>
      </w:r>
    </w:p>
    <w:p>
      <w:pPr>
        <w:spacing w:after="0" w:line="116"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of less than $1 million for six-month period ended June 30, 2013.</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10"/>
          </w:tcPr>
          <w:p>
            <w:pPr>
              <w:ind w:left="100"/>
              <w:spacing w:after="0"/>
              <w:rPr>
                <w:sz w:val="20"/>
                <w:szCs w:val="20"/>
                <w:color w:val="auto"/>
              </w:rPr>
            </w:pPr>
            <w:r>
              <w:rPr>
                <w:rFonts w:ascii="Arial" w:cs="Arial" w:eastAsia="Arial" w:hAnsi="Arial"/>
                <w:sz w:val="14"/>
                <w:szCs w:val="14"/>
                <w:b w:val="1"/>
                <w:bCs w:val="1"/>
                <w:color w:val="auto"/>
                <w:w w:val="97"/>
              </w:rPr>
              <w:t>Fidelity National Financial, Inc. Common Shareholders</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58"/>
        </w:trPr>
        <w:tc>
          <w:tcPr>
            <w:tcW w:w="2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0"/>
        </w:trPr>
        <w:tc>
          <w:tcPr>
            <w:tcW w:w="2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6"/>
        </w:trPr>
        <w:tc>
          <w:tcPr>
            <w:tcW w:w="2160" w:type="dxa"/>
            <w:vAlign w:val="bottom"/>
          </w:tcPr>
          <w:p>
            <w:pPr>
              <w:spacing w:after="0"/>
              <w:rPr>
                <w:sz w:val="24"/>
                <w:szCs w:val="24"/>
                <w:color w:val="auto"/>
              </w:rPr>
            </w:pPr>
          </w:p>
        </w:tc>
        <w:tc>
          <w:tcPr>
            <w:tcW w:w="16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Comprehensive</w:t>
            </w:r>
          </w:p>
        </w:tc>
        <w:tc>
          <w:tcPr>
            <w:tcW w:w="154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Noncontrolling</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64"/>
        </w:trPr>
        <w:tc>
          <w:tcPr>
            <w:tcW w:w="216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0"/>
              </w:rPr>
              <w:t>Earnings (Loss)</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Interests</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Equity</w:t>
            </w:r>
          </w:p>
        </w:tc>
      </w:tr>
      <w:tr>
        <w:trPr>
          <w:trHeight w:val="236"/>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2012</w:t>
            </w:r>
          </w:p>
        </w:tc>
        <w:tc>
          <w:tcPr>
            <w:tcW w:w="7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4,018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849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4,749</w:t>
            </w:r>
          </w:p>
        </w:tc>
      </w:tr>
      <w:tr>
        <w:trPr>
          <w:trHeight w:val="237"/>
        </w:trPr>
        <w:tc>
          <w:tcPr>
            <w:tcW w:w="216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700" w:type="dxa"/>
            <w:vAlign w:val="bottom"/>
          </w:tcPr>
          <w:p>
            <w:pPr>
              <w:jc w:val="right"/>
              <w:ind w:right="6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63"/>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18</w:t>
            </w:r>
          </w:p>
        </w:tc>
      </w:tr>
      <w:tr>
        <w:trPr>
          <w:trHeight w:val="33"/>
        </w:trPr>
        <w:tc>
          <w:tcPr>
            <w:tcW w:w="2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Treasury stock repurchased</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20"/>
        </w:trPr>
        <w:tc>
          <w:tcPr>
            <w:tcW w:w="2160" w:type="dxa"/>
            <w:vAlign w:val="bottom"/>
          </w:tcPr>
          <w:p>
            <w:pPr>
              <w:ind w:left="20"/>
              <w:spacing w:after="0"/>
              <w:rPr>
                <w:sz w:val="20"/>
                <w:szCs w:val="20"/>
                <w:color w:val="auto"/>
              </w:rPr>
            </w:pPr>
            <w:r>
              <w:rPr>
                <w:rFonts w:ascii="Arial" w:cs="Arial" w:eastAsia="Arial" w:hAnsi="Arial"/>
                <w:sz w:val="16"/>
                <w:szCs w:val="16"/>
                <w:color w:val="auto"/>
                <w:w w:val="96"/>
              </w:rPr>
              <w:t>Tax benefit associated with the</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63"/>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20955</wp:posOffset>
            </wp:positionV>
            <wp:extent cx="7186295" cy="805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295" cy="805815"/>
                    </a:xfrm>
                    <a:prstGeom prst="rect">
                      <a:avLst/>
                    </a:prstGeom>
                    <a:noFill/>
                  </pic:spPr>
                </pic:pic>
              </a:graphicData>
            </a:graphic>
          </wp:anchor>
        </w:drawing>
      </w:r>
    </w:p>
    <w:p>
      <w:pPr>
        <w:spacing w:after="0" w:line="30" w:lineRule="exact"/>
        <w:rPr>
          <w:sz w:val="20"/>
          <w:szCs w:val="20"/>
          <w:color w:val="auto"/>
        </w:rPr>
      </w:pPr>
    </w:p>
    <w:p>
      <w:pPr>
        <w:ind w:left="80"/>
        <w:spacing w:after="0"/>
        <w:rPr>
          <w:sz w:val="20"/>
          <w:szCs w:val="20"/>
          <w:color w:val="auto"/>
        </w:rPr>
      </w:pPr>
      <w:r>
        <w:rPr>
          <w:rFonts w:ascii="Arial" w:cs="Arial" w:eastAsia="Arial" w:hAnsi="Arial"/>
          <w:sz w:val="16"/>
          <w:szCs w:val="16"/>
          <w:color w:val="auto"/>
        </w:rPr>
        <w:t>Other comprehensive earnings</w:t>
      </w:r>
    </w:p>
    <w:p>
      <w:pPr>
        <w:spacing w:after="0" w:line="22" w:lineRule="exact"/>
        <w:rPr>
          <w:sz w:val="20"/>
          <w:szCs w:val="20"/>
          <w:color w:val="auto"/>
        </w:rPr>
      </w:pPr>
    </w:p>
    <w:p>
      <w:pPr>
        <w:ind w:left="80" w:right="9260"/>
        <w:spacing w:after="0" w:line="301" w:lineRule="auto"/>
        <w:rPr>
          <w:sz w:val="20"/>
          <w:szCs w:val="20"/>
          <w:color w:val="auto"/>
        </w:rPr>
      </w:pPr>
      <w:r>
        <w:rPr>
          <w:rFonts w:ascii="Arial" w:cs="Arial" w:eastAsia="Arial" w:hAnsi="Arial"/>
          <w:sz w:val="14"/>
          <w:szCs w:val="14"/>
          <w:color w:val="auto"/>
        </w:rPr>
        <w:t>— unrealized loss on investments and other financial instruments (excluding investments in unconsolidated</w:t>
      </w:r>
    </w:p>
    <w:p>
      <w:pPr>
        <w:spacing w:after="0" w:line="3" w:lineRule="exact"/>
        <w:rPr>
          <w:sz w:val="20"/>
          <w:szCs w:val="20"/>
          <w:color w:val="auto"/>
        </w:rPr>
      </w:pPr>
    </w:p>
    <w:p>
      <w:pPr>
        <w:ind w:left="80"/>
        <w:spacing w:after="0"/>
        <w:tabs>
          <w:tab w:leader="none" w:pos="2600" w:val="left"/>
          <w:tab w:leader="none" w:pos="3540" w:val="left"/>
          <w:tab w:leader="none" w:pos="4580" w:val="left"/>
          <w:tab w:leader="none" w:pos="5640" w:val="left"/>
          <w:tab w:leader="none" w:pos="7040" w:val="left"/>
          <w:tab w:leader="none" w:pos="7860" w:val="left"/>
          <w:tab w:leader="none" w:pos="8740" w:val="left"/>
          <w:tab w:leader="none" w:pos="10080" w:val="left"/>
          <w:tab w:leader="none" w:pos="11020" w:val="left"/>
        </w:tabs>
        <w:rPr>
          <w:sz w:val="20"/>
          <w:szCs w:val="20"/>
          <w:color w:val="auto"/>
        </w:rPr>
      </w:pPr>
      <w:r>
        <w:rPr>
          <w:rFonts w:ascii="Arial" w:cs="Arial" w:eastAsia="Arial" w:hAnsi="Arial"/>
          <w:sz w:val="16"/>
          <w:szCs w:val="16"/>
          <w:color w:val="auto"/>
        </w:rPr>
        <w:t>affiliates)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(28)</w:t>
      </w:r>
    </w:p>
    <w:p>
      <w:pPr>
        <w:spacing w:after="0" w:line="69" w:lineRule="exact"/>
        <w:rPr>
          <w:sz w:val="20"/>
          <w:szCs w:val="20"/>
          <w:color w:val="auto"/>
        </w:rPr>
      </w:pPr>
    </w:p>
    <w:p>
      <w:pPr>
        <w:ind w:left="80"/>
        <w:spacing w:after="0"/>
        <w:rPr>
          <w:sz w:val="20"/>
          <w:szCs w:val="20"/>
          <w:color w:val="auto"/>
        </w:rPr>
      </w:pPr>
      <w:r>
        <w:rPr>
          <w:rFonts w:ascii="Arial" w:cs="Arial" w:eastAsia="Arial" w:hAnsi="Arial"/>
          <w:sz w:val="16"/>
          <w:szCs w:val="16"/>
          <w:color w:val="auto"/>
        </w:rPr>
        <w:t>Other comprehensive earnings</w:t>
      </w:r>
    </w:p>
    <w:p>
      <w:pPr>
        <w:spacing w:after="0" w:line="22" w:lineRule="exact"/>
        <w:rPr>
          <w:sz w:val="20"/>
          <w:szCs w:val="20"/>
          <w:color w:val="auto"/>
        </w:rPr>
      </w:pPr>
    </w:p>
    <w:p>
      <w:pPr>
        <w:ind w:left="80" w:right="9340"/>
        <w:spacing w:after="0" w:line="301" w:lineRule="auto"/>
        <w:rPr>
          <w:sz w:val="20"/>
          <w:szCs w:val="20"/>
          <w:color w:val="auto"/>
        </w:rPr>
      </w:pPr>
      <w:r>
        <w:rPr>
          <w:rFonts w:ascii="Arial" w:cs="Arial" w:eastAsia="Arial" w:hAnsi="Arial"/>
          <w:sz w:val="14"/>
          <w:szCs w:val="14"/>
          <w:color w:val="auto"/>
        </w:rPr>
        <w:t>— unrealized loss on investments in unconsolidated</w:t>
      </w:r>
    </w:p>
    <w:p>
      <w:pPr>
        <w:spacing w:after="0" w:line="1" w:lineRule="exact"/>
        <w:rPr>
          <w:sz w:val="20"/>
          <w:szCs w:val="20"/>
          <w:color w:val="auto"/>
        </w:rPr>
      </w:pPr>
    </w:p>
    <w:p>
      <w:pPr>
        <w:ind w:left="80"/>
        <w:spacing w:after="0"/>
        <w:tabs>
          <w:tab w:leader="none" w:pos="2600" w:val="left"/>
          <w:tab w:leader="none" w:pos="3540" w:val="left"/>
          <w:tab w:leader="none" w:pos="4580" w:val="left"/>
          <w:tab w:leader="none" w:pos="5640" w:val="left"/>
          <w:tab w:leader="none" w:pos="7060" w:val="left"/>
          <w:tab w:leader="none" w:pos="7860" w:val="left"/>
          <w:tab w:leader="none" w:pos="8740" w:val="left"/>
          <w:tab w:leader="none" w:pos="10080" w:val="left"/>
          <w:tab w:leader="none" w:pos="11040" w:val="left"/>
        </w:tabs>
        <w:rPr>
          <w:sz w:val="20"/>
          <w:szCs w:val="20"/>
          <w:color w:val="auto"/>
        </w:rPr>
      </w:pPr>
      <w:r>
        <w:rPr>
          <w:rFonts w:ascii="Arial" w:cs="Arial" w:eastAsia="Arial" w:hAnsi="Arial"/>
          <w:sz w:val="16"/>
          <w:szCs w:val="16"/>
          <w:color w:val="auto"/>
        </w:rPr>
        <w:t>affiliates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(11)</w:t>
      </w:r>
    </w:p>
    <w:p>
      <w:pPr>
        <w:spacing w:after="0" w:line="52"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Other comprehensive earnings</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03"/>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unrealized loss on foreign</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translation and cash</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9"/>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flow hedging</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20"/>
        </w:trPr>
        <w:tc>
          <w:tcPr>
            <w:tcW w:w="2160" w:type="dxa"/>
            <w:vAlign w:val="bottom"/>
          </w:tcPr>
          <w:p>
            <w:pPr>
              <w:ind w:left="20"/>
              <w:spacing w:after="0"/>
              <w:rPr>
                <w:sz w:val="20"/>
                <w:szCs w:val="20"/>
                <w:color w:val="auto"/>
              </w:rPr>
            </w:pPr>
            <w:r>
              <w:rPr>
                <w:rFonts w:ascii="Arial" w:cs="Arial" w:eastAsia="Arial" w:hAnsi="Arial"/>
                <w:sz w:val="16"/>
                <w:szCs w:val="16"/>
                <w:color w:val="auto"/>
                <w:w w:val="96"/>
              </w:rPr>
              <w:t>Other comprehensive earnings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03"/>
        </w:trPr>
        <w:tc>
          <w:tcPr>
            <w:tcW w:w="2160" w:type="dxa"/>
            <w:vAlign w:val="bottom"/>
          </w:tcPr>
          <w:p>
            <w:pPr>
              <w:ind w:left="20"/>
              <w:spacing w:after="0"/>
              <w:rPr>
                <w:sz w:val="20"/>
                <w:szCs w:val="20"/>
                <w:color w:val="auto"/>
              </w:rPr>
            </w:pPr>
            <w:r>
              <w:rPr>
                <w:rFonts w:ascii="Arial" w:cs="Arial" w:eastAsia="Arial" w:hAnsi="Arial"/>
                <w:sz w:val="16"/>
                <w:szCs w:val="16"/>
                <w:color w:val="auto"/>
              </w:rPr>
              <w:t>— minimum pension liability</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adjustment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0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7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2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r>
      <w:tr>
        <w:trPr>
          <w:trHeight w:val="237"/>
        </w:trPr>
        <w:tc>
          <w:tcPr>
            <w:tcW w:w="2160" w:type="dxa"/>
            <w:vAlign w:val="bottom"/>
          </w:tcPr>
          <w:p>
            <w:pPr>
              <w:ind w:left="20"/>
              <w:spacing w:after="0"/>
              <w:rPr>
                <w:sz w:val="20"/>
                <w:szCs w:val="20"/>
                <w:color w:val="auto"/>
              </w:rPr>
            </w:pPr>
            <w:r>
              <w:rPr>
                <w:rFonts w:ascii="Arial" w:cs="Arial" w:eastAsia="Arial" w:hAnsi="Arial"/>
                <w:sz w:val="16"/>
                <w:szCs w:val="16"/>
                <w:color w:val="auto"/>
              </w:rPr>
              <w:t>Dividends declared</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0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33"/>
        </w:trPr>
        <w:tc>
          <w:tcPr>
            <w:tcW w:w="2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0"/>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Consolidation of previous</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9"/>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minority-owned subsidiary</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20"/>
        </w:trPr>
        <w:tc>
          <w:tcPr>
            <w:tcW w:w="2160" w:type="dxa"/>
            <w:vAlign w:val="bottom"/>
          </w:tcPr>
          <w:p>
            <w:pPr>
              <w:ind w:left="20"/>
              <w:spacing w:after="0"/>
              <w:rPr>
                <w:sz w:val="20"/>
                <w:szCs w:val="20"/>
                <w:color w:val="auto"/>
              </w:rPr>
            </w:pPr>
            <w:r>
              <w:rPr>
                <w:rFonts w:ascii="Arial" w:cs="Arial" w:eastAsia="Arial" w:hAnsi="Arial"/>
                <w:sz w:val="16"/>
                <w:szCs w:val="16"/>
                <w:color w:val="auto"/>
                <w:w w:val="98"/>
              </w:rPr>
              <w:t>Contributions to noncontrolling</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interests</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0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w:t>
            </w:r>
          </w:p>
        </w:tc>
      </w:tr>
      <w:tr>
        <w:trPr>
          <w:trHeight w:val="33"/>
        </w:trPr>
        <w:tc>
          <w:tcPr>
            <w:tcW w:w="2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0"/>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Subsidiary dividends declared</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9"/>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 noncontrolling interests</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216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0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234</w:t>
            </w:r>
          </w:p>
        </w:tc>
      </w:tr>
      <w:tr>
        <w:trPr>
          <w:trHeight w:val="33"/>
        </w:trPr>
        <w:tc>
          <w:tcPr>
            <w:tcW w:w="21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June 30, 2013</w:t>
            </w: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   $</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4,057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4,834</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21"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80" w:type="dxa"/>
            <w:vAlign w:val="bottom"/>
          </w:tcPr>
          <w:p>
            <w:pPr>
              <w:spacing w:after="0"/>
              <w:rPr>
                <w:sz w:val="18"/>
                <w:szCs w:val="18"/>
                <w:color w:val="auto"/>
              </w:rPr>
            </w:pPr>
          </w:p>
        </w:tc>
        <w:tc>
          <w:tcPr>
            <w:tcW w:w="1940" w:type="dxa"/>
            <w:vAlign w:val="bottom"/>
            <w:gridSpan w:val="5"/>
          </w:tcPr>
          <w:p>
            <w:pPr>
              <w:jc w:val="right"/>
              <w:spacing w:after="0"/>
              <w:rPr>
                <w:sz w:val="20"/>
                <w:szCs w:val="20"/>
                <w:color w:val="auto"/>
              </w:rPr>
            </w:pPr>
            <w:r>
              <w:rPr>
                <w:rFonts w:ascii="Arial" w:cs="Arial" w:eastAsia="Arial" w:hAnsi="Arial"/>
                <w:sz w:val="16"/>
                <w:szCs w:val="16"/>
                <w:b w:val="1"/>
                <w:bCs w:val="1"/>
                <w:color w:val="auto"/>
                <w:w w:val="91"/>
              </w:rPr>
              <w:t>Six months ended June 30,</w:t>
            </w:r>
          </w:p>
        </w:tc>
      </w:tr>
      <w:tr>
        <w:trPr>
          <w:trHeight w:val="33"/>
        </w:trPr>
        <w:tc>
          <w:tcPr>
            <w:tcW w:w="9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9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2012</w:t>
            </w:r>
          </w:p>
        </w:tc>
      </w:tr>
      <w:tr>
        <w:trPr>
          <w:trHeight w:val="33"/>
        </w:trPr>
        <w:tc>
          <w:tcPr>
            <w:tcW w:w="9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r>
      <w:tr>
        <w:trPr>
          <w:trHeight w:val="217"/>
        </w:trPr>
        <w:tc>
          <w:tcPr>
            <w:tcW w:w="9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(Unaudited)</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Net earnings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224</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480" w:type="dxa"/>
            <w:vAlign w:val="bottom"/>
          </w:tcPr>
          <w:p>
            <w:pPr>
              <w:ind w:left="5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Equity in losses (earnings) of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Gain on sales of investments and other assets, net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Gain on consolidation of O'Charley's Inc. and American Blue Ribbon Holdings, LLC</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Tax benefit associated with the exercise of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decrease (increase) in pledged cash, pledged investments, and secured trust deposits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Net increase in trade receivables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increase in prepaid expenses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Net decrease in accounts payable, accrued liabilities, deferred revenue and other</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decrease in reserve for title claim losses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Net change in income taxes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118</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sales of investment securities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Proceeds from calls and maturities of investment securities available for sale</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158</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Additions to property and equipment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investment securities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Net proceeds from (purchases of) short-term investment securities</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purchases of other long 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Contributions to investments in unconsolidated affiliates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other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Acquisition of O'Charley's Inc. and American Blue Ribbon Holdings, LLC, net of cash acquired</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personal lines insurance business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Other acquisitions/disposals of businesses, net of cash acquired</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Borrowings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Debt service payments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4% ownership interest of Digital Insurance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Additional investment in non-controlling interest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Dividends paid</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Subsidiary dividends paid to noncontrolling interest shareholders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 of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Debt issuance costs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 benefit associated with the exercise of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Purchases of treasury stock</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 excluding pledged cash related to secured trust deposits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excluding pledged cash related to secured trust deposits at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w:t>
            </w:r>
          </w:p>
        </w:tc>
      </w:tr>
      <w:tr>
        <w:trPr>
          <w:trHeight w:val="284"/>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excluding pledged cash related to secured trust deposits at end of period</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901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603</w:t>
            </w:r>
          </w:p>
        </w:tc>
      </w:tr>
      <w:tr>
        <w:trPr>
          <w:trHeight w:val="22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cash flow information:</w:t>
            </w: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r>
      <w:tr>
        <w:trPr>
          <w:trHeight w:val="290"/>
        </w:trPr>
        <w:tc>
          <w:tcPr>
            <w:tcW w:w="94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Income taxes paid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paid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1">
            <w:col w:w="11420"/>
          </w:cols>
          <w:pgMar w:left="240" w:top="121" w:right="239" w:bottom="26" w:gutter="0" w:footer="0" w:header="0"/>
        </w:sectPr>
      </w:pPr>
    </w:p>
    <w:p>
      <w:pPr>
        <w:jc w:val="center"/>
        <w:spacing w:after="0"/>
        <w:rPr>
          <w:sz w:val="20"/>
          <w:szCs w:val="20"/>
          <w:color w:val="auto"/>
        </w:rPr>
      </w:pPr>
      <w:r>
        <w:rPr>
          <w:rFonts w:ascii="Arial" w:cs="Arial" w:eastAsia="Arial" w:hAnsi="Arial"/>
          <w:sz w:val="15"/>
          <w:szCs w:val="15"/>
          <w:color w:val="auto"/>
        </w:rPr>
        <w:t>See Notes to Condensed Consolidated Financial Statements</w:t>
      </w:r>
    </w:p>
    <w:p>
      <w:pPr>
        <w:sectPr>
          <w:pgSz w:w="11900" w:h="16838" w:orient="portrait"/>
          <w:cols w:equalWidth="0" w:num="1">
            <w:col w:w="11420"/>
          </w:cols>
          <w:pgMar w:left="240" w:top="121" w:right="239" w:bottom="26"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125"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financial information in this report includes the accounts of Fidelity National Financial, Inc. and its subsidiaries (collectively, “we,” “us,” “our,” or “FNF”) prepared in accordance with U.S. generally accepted accounting principles ("GAAP") and the instructions to Form 10-Q and Article 10 of Regulation S-X. All adjustments considered necessary for a fair presentation have been included. This report should be read in conjunction with our Annual Report on Form 10-K for the year ended December 31, 2012.</w:t>
      </w:r>
    </w:p>
    <w:p>
      <w:pPr>
        <w:spacing w:after="0" w:line="79" w:lineRule="exact"/>
        <w:rPr>
          <w:sz w:val="20"/>
          <w:szCs w:val="20"/>
          <w:color w:val="auto"/>
        </w:rPr>
      </w:pPr>
    </w:p>
    <w:p>
      <w:pPr>
        <w:ind w:right="800" w:firstLine="324"/>
        <w:spacing w:after="0" w:line="375" w:lineRule="auto"/>
        <w:rPr>
          <w:sz w:val="20"/>
          <w:szCs w:val="20"/>
          <w:color w:val="auto"/>
        </w:rPr>
      </w:pPr>
      <w:r>
        <w:rPr>
          <w:rFonts w:ascii="Arial" w:cs="Arial" w:eastAsia="Arial" w:hAnsi="Arial"/>
          <w:sz w:val="18"/>
          <w:szCs w:val="18"/>
          <w:color w:val="auto"/>
        </w:rPr>
        <w:t xml:space="preserve">Certain reclassifications have been made in the 2012 Condensed Consolidated Financial Statements to conform to classifications used in 2013.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a leading provider of title insurance, mortgage services and other diversified services. FNF is the nation's largest title insurance company through its title insurance underwriters - Fidelity National Title, Chicago Title, Commonwealth Land Title and Alamo Title - that collectively issue more title insurance policies than any other title company in the United States. We also hold a 55% ownership interest in American Blue Ribbon Holdings, LLC ("ABRH"), the owner and operator of the O'Charley's, Ninety Nine Restaurants, Max &amp; Erma's, Village Inn and Bakers Square restaurant concepts. ABRH also franchises O'Charley's, Max and Erma's and Village Inn concepts. We also have an 87% ownership interest in J. Alexander's Holdings, LLC ("J. Alexander's"), an upscale dining restaurant owner and operator of the J. Alexander's and Stoney River Legendary Steaks ("Stoney River") concepts. In addition, we hold a 51% ownership interest in Remy International, Inc. ("Remy"), a leading designer, manufacturer, remanufacturer, marketer and distributor of aftermarket and original equipment electrical components for automobiles, light trucks, heavy-duty trucks and other vehicles. FNF also owns a minority interest in Ceridian Corporation ("Ceridian"), a leading provider of global human capital management and payment solutions.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May 28, 2013, we announced the signing of a definitive agreement under which we will acquire all of the outstanding common stock of Lender Processing Services ("LPS") for an estimated $33.25 per common share, for a total equity value of approximately $2.9 billion. Under the terms of the definitive agreement, we will pay the consideration for the LPS shares of common stock in a combination of cash and shares of our common stock, subject to adjustments as described in the agreement. At closing, we will combine our ServiceLink business with LPS in a new consolidated holding company and sell a minority equity interest in the new consolidated holding company to funds affiliated with Thomas H. Lee Partners, L.P. We will retain a majority ownership interest in the new consolidated holding company. The transaction is subject to approval by LPS and potentially by FNF shareholders, approvals from applicable federal and state regulators and satisfaction of other customary closing conditions. On July 12, 2013, we received a second request from the United States Federal Trade Commission (the "FTC") regarding their regulatory review of the transaction. We will respond to this request and will continue to work, cooperatively with the FTC. Closing of the transaction currently is expected to occur in the fourth quarter of 2013.</w:t>
      </w:r>
    </w:p>
    <w:p>
      <w:pPr>
        <w:spacing w:after="0" w:line="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February 25, 2013, we formed J. Alexander's, a restaurant company which is focused on the upscale dining segment. J. Alexander's consists of thirty J. Alexander's locations and ten Stoney River locations. ABRH contributed the ten Stoney River locations to J. Alexander's for an approximate 28% ownership interest in the new company, giving us an overall 87% ownership interest in J. Alexander's. The operations of J. Alexander's are consolidated in our existing Restaurant Group segment. Previously, in September 2012, we purchased all of the outstanding common stock of J. Alexander's Corporation for total consideration of $70 million in cash, net of cash acquired of $7 million.</w:t>
      </w:r>
    </w:p>
    <w:p>
      <w:pPr>
        <w:spacing w:after="0" w:line="8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December 31, 2012, we acquired Digital Insurance, Inc. ("Digital Insurance"). Total consideration paid was $98 million in cash, net of cash acquired of $3 million. We have consolidated the operations of Digital Insurance as of December 31, 2012. Digital Insurance is the nation's leading employee benefits platform specializing in health insurance distribution and benefits management for small and mid-sized businesses.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third quarter of 2012, we acquired 1.5 million additional shares of Remy, increasing our ownership interest to 16.3 million shares or 51% of Remy's total outstanding common shares. As a result of this acquisition we began to consolidate the results of Remy effective August 14, 2012. We previously held a 47% ownership interest in Remy.</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9, 2012, we successfully closed a tender offer for the outstanding common stock of O'Charley's Inc. ("O'Charley's"). We have consolidated the results of O'Charley's as of April 9, 2012. On May 11, 2012, we merged O'Charley's with our investment in ABRH in exchange for an increase in our ownership position in ABRH from 45% to 55%. Total consideration paid was $122 million in cash, net of cash acquired of $35 million. Our investment in ABRH, prior to the merger was $37 million and was included in Investments in unconsolidated affiliates on the Condensed Consolidated Balance Sheet. Our investment in O'Charley's prior to</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tender offer of $14 million was included in Equity securities available for sale on the Condensed Consolidated Balance Sheet. We have consolidated the operations of ABRH with the O'Charley's group of companies, beginning on May 11, 2012. A realized gain of $66 million, which is included in Realized gains and losses on the Condensed Consolidated Statement of Earnings, was recognized in the three and six months ending June 30, 2012 for the difference between our basis in our equity method investment of ABRH prior to consolidation and the fair value of our investment in ABRH at the date of consolidation. In regards to O'Charley's, we recognized a realized gain of $7 million in the three and six months ending June 30, 2012, respectively. The gain results from the difference in the basis of our holdings in O'Charley's common stock prior to consolidation and the fair value of O'Charley's common stock at the date of consolidation.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9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results from two closed J. Alexander's locations and a settlement services company closed in the second quarter of 2013 are reflected in the Condensed Consolidated Statements of Earnings as discontinued operations for all periods presented. Total revenues included in discontinued operations are $1 million and $9 million for the three months ending June 30, 2013 and 2012, respectively, and $8 million and $19 million for the six months ending June 30, 2013 and 2012, respectively. Pre-tax (loss) earnings included in discontinued operations are $(2) million and $3 million for the three months ending June 30, 2013 and 2012, respectively, and $(2) million and $5 million for the six months ending June 30, 2013 and 2012, respectively.</w:t>
      </w:r>
    </w:p>
    <w:p>
      <w:pPr>
        <w:spacing w:after="0" w:line="13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May 1, 2012, we completed the sale of an 85% interest in our subsidiaries that write personal lines insurance to WT Holdings, Inc. for $120 million. Accordingly, the results of this business through the date of sale (which we refer to as our "at-risk" insurance business) for all periods presented are reflected in the Condensed Consolidated Statements of Earnings as discontinued operations. Total revenues from the at-risk insurance business included in discontinued operations are $21 million and $57 million for the three and six months ending June 30, 2012, respectively. Pre-tax earnings from the at-risk insurance business included in discontinued operations are $6 million and $10 million for the three and six months ending June 30, 2012,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Related Parties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Fidelity National Information Services, Inc. ("FIS")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agreements that were in effect with FIS through June 30, 2013, is as follows:</w:t>
      </w:r>
    </w:p>
    <w:p>
      <w:pPr>
        <w:spacing w:after="0" w:line="279" w:lineRule="exact"/>
        <w:rPr>
          <w:sz w:val="20"/>
          <w:szCs w:val="20"/>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Technology (“IT”) and data processing services from FIS. This agreement governs IT support services provided to us by FIS, primarily consisting of infrastructure support and data center management. Subject to certain early termination provisions, the agreement expires on or about June 30, 2014, with an option to renew for one additional year.</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Administrative corporate support and cost-sharing services to FIS. We have provided certain administrative corporate support services such as corporate aviation and other administrative support services to FIS.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detail of net revenues and expenses between us and FIS that were included in our results of operations for the periods presented is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Three months ended</w:t>
            </w:r>
          </w:p>
        </w:tc>
        <w:tc>
          <w:tcPr>
            <w:tcW w:w="16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Three months ended</w:t>
            </w:r>
          </w:p>
        </w:tc>
        <w:tc>
          <w:tcPr>
            <w:tcW w:w="22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Six months ended</w:t>
            </w:r>
          </w:p>
        </w:tc>
        <w:tc>
          <w:tcPr>
            <w:tcW w:w="220" w:type="dxa"/>
            <w:vAlign w:val="bottom"/>
          </w:tcPr>
          <w:p>
            <w:pPr>
              <w:spacing w:after="0"/>
              <w:rPr>
                <w:sz w:val="14"/>
                <w:szCs w:val="14"/>
                <w:color w:val="auto"/>
              </w:rPr>
            </w:pPr>
          </w:p>
        </w:tc>
        <w:tc>
          <w:tcPr>
            <w:tcW w:w="1480" w:type="dxa"/>
            <w:vAlign w:val="bottom"/>
          </w:tcPr>
          <w:p>
            <w:pPr>
              <w:jc w:val="right"/>
              <w:ind w:right="217"/>
              <w:spacing w:after="0"/>
              <w:rPr>
                <w:sz w:val="20"/>
                <w:szCs w:val="20"/>
                <w:color w:val="auto"/>
              </w:rPr>
            </w:pPr>
            <w:r>
              <w:rPr>
                <w:rFonts w:ascii="Arial" w:cs="Arial" w:eastAsia="Arial" w:hAnsi="Arial"/>
                <w:sz w:val="14"/>
                <w:szCs w:val="14"/>
                <w:b w:val="1"/>
                <w:bCs w:val="1"/>
                <w:color w:val="auto"/>
                <w:w w:val="96"/>
              </w:rPr>
              <w:t>Six months ended</w:t>
            </w:r>
          </w:p>
        </w:tc>
      </w:tr>
      <w:tr>
        <w:trPr>
          <w:trHeight w:val="192"/>
        </w:trPr>
        <w:tc>
          <w:tcPr>
            <w:tcW w:w="4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2013</w:t>
            </w: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2012</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2013</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June 30, 2012</w:t>
            </w:r>
          </w:p>
        </w:tc>
      </w:tr>
      <w:tr>
        <w:trPr>
          <w:trHeight w:val="196"/>
        </w:trPr>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gridSpan w:val="5"/>
          </w:tcPr>
          <w:p>
            <w:pPr>
              <w:ind w:left="120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services and cost-sharing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Data processing expense</w:t>
            </w: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believe the amounts earned by us or charged to us under each of the foregoing arrangements are fair and reasonable. The information technology infrastructure support and data center management services provided to us are priced within the range of prices that FIS offers to its unaffiliated third party customers for the same types of services. However, the amounts we earned or were charged under these arrangements were not negotiated at arm’s-length, and may not represent the terms that we might have obtained from an unrelated third party. The net amounts due to FIS as a result of these agreements were $4 million and $5 million as of June 30, 2013 and December 31, 2012, respectively.</w:t>
      </w:r>
    </w:p>
    <w:p>
      <w:pPr>
        <w:spacing w:after="0" w:line="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Included in equity securities available for sale are 1,603,860 shares of FIS stock which were purchased during the fourth quarter of 2009 in connection with a merger between FIS and Metavante Technologies, Inc. The fair value of our investment was $69 million and $56 million as of June 30, 2013 and December 31, 2012,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Also included in fixed maturities available for sale are FIS bonds with a fair value of $46 million and $53 million as of June 30, 2013 and December 31, 2012,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Basic earnings per share, as presented on the Condensed Consolidated Statement of Earnings, is computed by dividing net earnings available to common shareholders by the weighted average number of common shares outstanding during the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options and shares of restricted stock as well as convertible debt instruments which have been treated as common share equivalents for purposes of calculating diluted earnings per share for periods in which positive earnings have been reported.</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Options to purchase shares of our common stock that are antidilutive are excluded from the computation of diluted earnings per share. Antidilutive options totaled one million shares for the three and six month periods ended June 30, 2013 and three million shares for the three and six month periods ended June 30, 2012.</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Fair Value Measurements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fair value hierarchy for those assets and liabilities measured at fair value on a recurring basis as of June 30, 2013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respectively: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4"/>
                <w:szCs w:val="14"/>
                <w:b w:val="1"/>
                <w:bCs w:val="1"/>
                <w:color w:val="auto"/>
              </w:rPr>
              <w:t>June 30, 2013</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right"/>
              <w:ind w:right="474"/>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agencies</w:t>
            </w:r>
          </w:p>
        </w:tc>
        <w:tc>
          <w:tcPr>
            <w:tcW w:w="2480" w:type="dxa"/>
            <w:vAlign w:val="bottom"/>
            <w:tcBorders>
              <w:bottom w:val="single" w:sz="8" w:color="CCEEFF"/>
            </w:tcBorders>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State and political subdivisions</w:t>
            </w: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1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1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1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Other long-term investments</w:t>
            </w: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4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225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3,194</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248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4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CCEEFF"/>
            </w:tcBorders>
            <w:vMerge w:val="restart"/>
          </w:tcPr>
          <w:p>
            <w:pPr>
              <w:jc w:val="right"/>
              <w:ind w:right="210"/>
              <w:spacing w:after="0"/>
              <w:rPr>
                <w:sz w:val="20"/>
                <w:szCs w:val="20"/>
                <w:color w:val="auto"/>
              </w:rPr>
            </w:pPr>
            <w:r>
              <w:rPr>
                <w:rFonts w:ascii="Arial" w:cs="Arial" w:eastAsia="Arial" w:hAnsi="Arial"/>
                <w:sz w:val="18"/>
                <w:szCs w:val="18"/>
                <w:color w:val="auto"/>
              </w:rPr>
              <w:t>8</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6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rPr>
              <w:t>December 31, 2012</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right"/>
              <w:ind w:right="674"/>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140</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1,499</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47</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138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138</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247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3,253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3,541</w:t>
            </w:r>
          </w:p>
        </w:tc>
      </w:tr>
      <w:tr>
        <w:trPr>
          <w:trHeight w:val="20"/>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880" w:type="dxa"/>
            <w:vAlign w:val="bottom"/>
          </w:tcPr>
          <w:p>
            <w:pPr>
              <w:jc w:val="right"/>
              <w:ind w:right="674"/>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57"/>
        </w:trPr>
        <w:tc>
          <w:tcPr>
            <w:tcW w:w="606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88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r>
      <w:tr>
        <w:trPr>
          <w:trHeight w:val="20"/>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Level 2 fair value measures for fixed-maturities available for sale are provided by third-party pricing services. We utilize one firm for our taxable bond and preferred stock portfolio and another for our tax-exempt bond portfolio. These pricing services are leading global providers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 party pricing services are as follows: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U.S. government and agencies: These securities are valued based on data obtained for similar securities in active markets and from inter-dealer brokers.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State and political subdivisions: These securities are valued based on data obtained for similar securities in active markets and from inter-dealer brokers.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considered include relevant trade information, dealer quotes and other relevant market data.</w:t>
      </w:r>
    </w:p>
    <w:p>
      <w:pPr>
        <w:spacing w:after="0" w:line="21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or any other feature which may influence its risk and thus marketability, as well as relative credit information and relevant sector news.</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Mortgage-backed/asset-backed securities: These securities are comprised of agency mortgage-backed securities, commercial mortgage-backed securities, collaterized mortgage obligations, and asset-backed securities. They are valued based on available trade information, dealer quotes, cash flows, relevant indices and market data for similar assets in active markets.</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Preferred stock: Preferred stocks are valued by calculating the appropriate spread over a comparable U.S. Treasury security. Inputs include benchmark quotes and other relevant market data.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Level 2 fair value measures for our interest rate swap, foreign exchange contracts, and commodity contracts are valued using the income approach. This approach uses techniques to convert future amounts to a single present value amount based upon market expectations (including present value techniques, option-pricing and excess earnings models).</w:t>
      </w:r>
    </w:p>
    <w:p>
      <w:pPr>
        <w:spacing w:after="0" w:line="7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Level 3 investments consist of structured notes that were purchased in 2009. The structured notes had a par value of $38 million and fair value of $39 million at June 30, 2013, and a par value of $38 million and fair value of $41 million at December 31, 2012. The structured notes are held for general investment purposes and represent approximately one percent of our total investment portfolio. The structured notes are classified as other long-term investments and are measured in their entirety at fair value with changes in fair value recognized in earnings. The fair value of these instruments represents exit prices obtained from a broker-dealer. These exit prices are the product of a proprietary valuation model utilized by the trading desk of the broker-dealer and contain assumptions relating to volatility, the level of interest rates, and the value of the underlying commodity indices. We reviewed the pricing methodologies for our Level 3 investments to ensure that they are reasonable and believe they represent an exit price for the securities as of June 30, 2013.</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changes in our investments that are classified as Level 3 for the period ended June 30, 2013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December 31, 2012</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Net realized loss</w:t>
            </w:r>
          </w:p>
        </w:tc>
        <w:tc>
          <w:tcPr>
            <w:tcW w:w="6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10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2013</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0"/>
        </w:trPr>
        <w:tc>
          <w:tcPr>
            <w:tcW w:w="10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carrying amounts of short-term investments, accounts receivable and notes receivable approximate fair value due to their short-term nature.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the fair value of our investment portfolio is included in Note 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and fair values of our available for sale securities at June 30, 2013 and December 31, 2012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2013</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58"/>
        </w:trPr>
        <w:tc>
          <w:tcPr>
            <w:tcW w:w="4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22"/>
                <w:szCs w:val="22"/>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22"/>
                <w:szCs w:val="22"/>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22"/>
                <w:szCs w:val="22"/>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22"/>
                <w:szCs w:val="22"/>
                <w:color w:val="auto"/>
              </w:rPr>
            </w:pPr>
          </w:p>
        </w:tc>
        <w:tc>
          <w:tcPr>
            <w:tcW w:w="980" w:type="dxa"/>
            <w:vAlign w:val="bottom"/>
          </w:tcPr>
          <w:p>
            <w:pPr>
              <w:jc w:val="right"/>
              <w:ind w:right="414"/>
              <w:spacing w:after="0"/>
              <w:rPr>
                <w:sz w:val="20"/>
                <w:szCs w:val="20"/>
                <w:color w:val="auto"/>
              </w:rPr>
            </w:pPr>
            <w:r>
              <w:rPr>
                <w:rFonts w:ascii="Arial" w:cs="Arial" w:eastAsia="Arial" w:hAnsi="Arial"/>
                <w:sz w:val="14"/>
                <w:szCs w:val="14"/>
                <w:b w:val="1"/>
                <w:bCs w:val="1"/>
                <w:color w:val="auto"/>
              </w:rPr>
              <w:t>Fair</w:t>
            </w:r>
          </w:p>
        </w:tc>
      </w:tr>
      <w:tr>
        <w:trPr>
          <w:trHeight w:val="276"/>
        </w:trPr>
        <w:tc>
          <w:tcPr>
            <w:tcW w:w="4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Basis</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Value</w:t>
            </w:r>
          </w:p>
        </w:tc>
      </w:tr>
      <w:tr>
        <w:trPr>
          <w:trHeight w:val="196"/>
        </w:trPr>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133</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1,190</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1,601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127</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150</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3,417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3,417</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2012</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58"/>
        </w:trPr>
        <w:tc>
          <w:tcPr>
            <w:tcW w:w="4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22"/>
                <w:szCs w:val="22"/>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22"/>
                <w:szCs w:val="22"/>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22"/>
                <w:szCs w:val="22"/>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22"/>
                <w:szCs w:val="22"/>
                <w:color w:val="auto"/>
              </w:rPr>
            </w:pPr>
          </w:p>
        </w:tc>
        <w:tc>
          <w:tcPr>
            <w:tcW w:w="980" w:type="dxa"/>
            <w:vAlign w:val="bottom"/>
          </w:tcPr>
          <w:p>
            <w:pPr>
              <w:jc w:val="right"/>
              <w:ind w:right="414"/>
              <w:spacing w:after="0"/>
              <w:rPr>
                <w:sz w:val="20"/>
                <w:szCs w:val="20"/>
                <w:color w:val="auto"/>
              </w:rPr>
            </w:pPr>
            <w:r>
              <w:rPr>
                <w:rFonts w:ascii="Arial" w:cs="Arial" w:eastAsia="Arial" w:hAnsi="Arial"/>
                <w:sz w:val="14"/>
                <w:szCs w:val="14"/>
                <w:b w:val="1"/>
                <w:bCs w:val="1"/>
                <w:color w:val="auto"/>
              </w:rPr>
              <w:t>Fair</w:t>
            </w:r>
          </w:p>
        </w:tc>
      </w:tr>
      <w:tr>
        <w:trPr>
          <w:trHeight w:val="276"/>
        </w:trPr>
        <w:tc>
          <w:tcPr>
            <w:tcW w:w="4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Basis</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Value</w:t>
            </w:r>
          </w:p>
        </w:tc>
      </w:tr>
      <w:tr>
        <w:trPr>
          <w:trHeight w:val="196"/>
        </w:trPr>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140</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1,300</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1,439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1,499</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154</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138</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3,495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3,495</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cost basis of fixed maturity securities available for sale includes an adjustment for amortized premium or discount since the date of purchase.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 at June 30,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837"/>
              <w:spacing w:after="0"/>
              <w:rPr>
                <w:sz w:val="20"/>
                <w:szCs w:val="20"/>
                <w:color w:val="auto"/>
              </w:rPr>
            </w:pPr>
            <w:r>
              <w:rPr>
                <w:rFonts w:ascii="Arial" w:cs="Arial" w:eastAsia="Arial" w:hAnsi="Arial"/>
                <w:sz w:val="14"/>
                <w:szCs w:val="14"/>
                <w:b w:val="1"/>
                <w:bCs w:val="1"/>
                <w:color w:val="auto"/>
                <w:w w:val="92"/>
              </w:rPr>
              <w:t>June 30, 2013</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58"/>
        </w:trPr>
        <w:tc>
          <w:tcPr>
            <w:tcW w:w="5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Amortized</w:t>
            </w:r>
          </w:p>
        </w:tc>
        <w:tc>
          <w:tcPr>
            <w:tcW w:w="1420" w:type="dxa"/>
            <w:vAlign w:val="bottom"/>
            <w:gridSpan w:val="2"/>
          </w:tcPr>
          <w:p>
            <w:pPr>
              <w:ind w:left="500"/>
              <w:spacing w:after="0"/>
              <w:rPr>
                <w:sz w:val="20"/>
                <w:szCs w:val="20"/>
                <w:color w:val="auto"/>
              </w:rPr>
            </w:pPr>
            <w:r>
              <w:rPr>
                <w:rFonts w:ascii="Arial" w:cs="Arial" w:eastAsia="Arial" w:hAnsi="Arial"/>
                <w:sz w:val="14"/>
                <w:szCs w:val="14"/>
                <w:b w:val="1"/>
                <w:bCs w:val="1"/>
                <w:color w:val="auto"/>
              </w:rPr>
              <w:t>% of</w:t>
            </w:r>
          </w:p>
        </w:tc>
        <w:tc>
          <w:tcPr>
            <w:tcW w:w="420" w:type="dxa"/>
            <w:vAlign w:val="bottom"/>
          </w:tcPr>
          <w:p>
            <w:pPr>
              <w:spacing w:after="0"/>
              <w:rPr>
                <w:sz w:val="22"/>
                <w:szCs w:val="22"/>
                <w:color w:val="auto"/>
              </w:rPr>
            </w:pPr>
          </w:p>
        </w:tc>
        <w:tc>
          <w:tcPr>
            <w:tcW w:w="9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Fair</w:t>
            </w:r>
          </w:p>
        </w:tc>
        <w:tc>
          <w:tcPr>
            <w:tcW w:w="1340" w:type="dxa"/>
            <w:vAlign w:val="bottom"/>
          </w:tcPr>
          <w:p>
            <w:pPr>
              <w:jc w:val="right"/>
              <w:ind w:right="434"/>
              <w:spacing w:after="0"/>
              <w:rPr>
                <w:sz w:val="20"/>
                <w:szCs w:val="20"/>
                <w:color w:val="auto"/>
              </w:rPr>
            </w:pPr>
            <w:r>
              <w:rPr>
                <w:rFonts w:ascii="Arial" w:cs="Arial" w:eastAsia="Arial" w:hAnsi="Arial"/>
                <w:sz w:val="14"/>
                <w:szCs w:val="14"/>
                <w:b w:val="1"/>
                <w:bCs w:val="1"/>
                <w:color w:val="auto"/>
              </w:rPr>
              <w:t>% of</w:t>
            </w:r>
          </w:p>
        </w:tc>
      </w:tr>
      <w:tr>
        <w:trPr>
          <w:trHeight w:val="276"/>
        </w:trPr>
        <w:tc>
          <w:tcPr>
            <w:tcW w:w="5900" w:type="dxa"/>
            <w:vAlign w:val="bottom"/>
            <w:gridSpan w:val="2"/>
          </w:tcPr>
          <w:p>
            <w:pPr>
              <w:ind w:left="4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24"/>
                <w:szCs w:val="2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420" w:type="dxa"/>
            <w:vAlign w:val="bottom"/>
            <w:gridSpan w:val="2"/>
          </w:tcPr>
          <w:p>
            <w:pPr>
              <w:ind w:left="500"/>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24"/>
                <w:szCs w:val="24"/>
                <w:color w:val="auto"/>
              </w:rPr>
            </w:pPr>
          </w:p>
        </w:tc>
        <w:tc>
          <w:tcPr>
            <w:tcW w:w="9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Value</w:t>
            </w:r>
          </w:p>
        </w:tc>
        <w:tc>
          <w:tcPr>
            <w:tcW w:w="134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50"/>
        </w:trPr>
        <w:tc>
          <w:tcPr>
            <w:tcW w:w="5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1340" w:type="dxa"/>
            <w:vAlign w:val="bottom"/>
            <w:tcBorders>
              <w:top w:val="single" w:sz="8" w:color="auto"/>
            </w:tcBorders>
          </w:tcPr>
          <w:p>
            <w:pPr>
              <w:spacing w:after="0"/>
              <w:rPr>
                <w:sz w:val="21"/>
                <w:szCs w:val="21"/>
                <w:color w:val="auto"/>
              </w:rPr>
            </w:pPr>
          </w:p>
        </w:tc>
      </w:tr>
      <w:tr>
        <w:trPr>
          <w:trHeight w:val="256"/>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After one year through five years</w:t>
            </w: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21"/>
                <w:szCs w:val="21"/>
                <w:color w:val="auto"/>
              </w:rPr>
            </w:pP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21"/>
                <w:szCs w:val="21"/>
                <w:color w:val="auto"/>
              </w:rPr>
            </w:pP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60</w:t>
            </w: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24</w:t>
            </w: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After ten years</w:t>
            </w: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w:t>
            </w: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w:t>
            </w:r>
          </w:p>
        </w:tc>
      </w:tr>
      <w:tr>
        <w:trPr>
          <w:trHeight w:val="297"/>
        </w:trPr>
        <w:tc>
          <w:tcPr>
            <w:tcW w:w="590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3,019</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3,101</w:t>
            </w:r>
          </w:p>
        </w:tc>
        <w:tc>
          <w:tcPr>
            <w:tcW w:w="10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51"/>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Subject to call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1,668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Expected maturities may differ from contractual maturities because certain borrowers have the right to call or prepay obligations with or without call or prepayment penalties. Included above in amounts subject to call are $1,195 million and $1,218 million in amortized cost and fair value, respectively, of fixed maturity securities with make-whole call provisions as of June 30, 2013.</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Equity securities available for sale includes an investment in FIS stock. The fair value of our investment in the FIS stock was $69 million and $56 million at June 30, 2013 and December 31, 2012, respectively.</w:t>
      </w:r>
    </w:p>
    <w:p>
      <w:pPr>
        <w:spacing w:after="0" w:line="6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Included in our other long-term investments are fixed maturity structured notes purchased in 2009 and various cost-method investments. The structured notes are carried at fair value (see Note B) and changes in the fair value of these structured notes are recorded as Realized gains and losses in the Condensed Consolidated Statements of Earnings. The carrying value of the structured notes was $39 million and $41 million as of June 30, 2013 and December 31, 2012, respectively. We recorded a net loss of $1 million and $2 million related to the structured notes in the three and six-month period ended June 30, 2013, and recorded a net loss of $3 million and $2 million in the three and six-month period ended June 30, 2012.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ind w:right="20" w:firstLine="274"/>
        <w:spacing w:after="0" w:line="308" w:lineRule="auto"/>
        <w:rPr>
          <w:sz w:val="20"/>
          <w:szCs w:val="20"/>
          <w:color w:val="auto"/>
        </w:rPr>
      </w:pPr>
      <w:r>
        <w:rPr>
          <w:rFonts w:ascii="Arial" w:cs="Arial" w:eastAsia="Arial" w:hAnsi="Arial"/>
          <w:sz w:val="17"/>
          <w:szCs w:val="17"/>
          <w:color w:val="auto"/>
        </w:rPr>
        <w:t>Net unrealized losses on investment securities and the fair value of the related securities, aggregated by investment category and length of time that individual securities have been in a continuous unrealized loss position at June 30, 2013 and December 31, 2012, were as follows (in millions):</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60" w:type="dxa"/>
            <w:vAlign w:val="bottom"/>
            <w:tcBorders>
              <w:bottom w:val="single" w:sz="8" w:color="auto"/>
            </w:tcBorders>
            <w:gridSpan w:val="5"/>
          </w:tcPr>
          <w:p>
            <w:pPr>
              <w:jc w:val="right"/>
              <w:ind w:right="496"/>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80" w:type="dxa"/>
            <w:vAlign w:val="bottom"/>
          </w:tcPr>
          <w:p>
            <w:pPr>
              <w:jc w:val="center"/>
              <w:ind w:left="322"/>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6"/>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6"/>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Pr>
          <w:p>
            <w:pPr>
              <w:spacing w:after="0"/>
              <w:rPr>
                <w:sz w:val="24"/>
                <w:szCs w:val="24"/>
                <w:color w:val="auto"/>
              </w:rPr>
            </w:pPr>
          </w:p>
        </w:tc>
        <w:tc>
          <w:tcPr>
            <w:tcW w:w="780" w:type="dxa"/>
            <w:vAlign w:val="bottom"/>
            <w:tcBorders>
              <w:bottom w:val="single" w:sz="8" w:color="auto"/>
            </w:tcBorders>
          </w:tcPr>
          <w:p>
            <w:pPr>
              <w:jc w:val="center"/>
              <w:ind w:left="322"/>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43"/>
        </w:trPr>
        <w:tc>
          <w:tcPr>
            <w:tcW w:w="4000" w:type="dxa"/>
            <w:vAlign w:val="bottom"/>
          </w:tcPr>
          <w:p>
            <w:pPr>
              <w:ind w:left="520"/>
              <w:spacing w:after="0"/>
              <w:rPr>
                <w:sz w:val="20"/>
                <w:szCs w:val="20"/>
                <w:color w:val="auto"/>
              </w:rPr>
            </w:pPr>
            <w:r>
              <w:rPr>
                <w:rFonts w:ascii="Arial" w:cs="Arial" w:eastAsia="Arial" w:hAnsi="Arial"/>
                <w:sz w:val="18"/>
                <w:szCs w:val="18"/>
                <w:color w:val="auto"/>
              </w:rPr>
              <w:t>State and political subdivisions</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166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Foreign government bonds</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temporarily impaired securities</w:t>
            </w:r>
          </w:p>
        </w:tc>
        <w:tc>
          <w:tcPr>
            <w:tcW w:w="7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823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December 31, 2012</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00" w:type="dxa"/>
            <w:vAlign w:val="bottom"/>
          </w:tcPr>
          <w:p>
            <w:pPr>
              <w:spacing w:after="0"/>
              <w:rPr>
                <w:sz w:val="24"/>
                <w:szCs w:val="24"/>
                <w:color w:val="auto"/>
              </w:rPr>
            </w:pPr>
          </w:p>
        </w:tc>
        <w:tc>
          <w:tcPr>
            <w:tcW w:w="2460" w:type="dxa"/>
            <w:vAlign w:val="bottom"/>
            <w:tcBorders>
              <w:bottom w:val="single" w:sz="8" w:color="auto"/>
            </w:tcBorders>
            <w:gridSpan w:val="5"/>
          </w:tcPr>
          <w:p>
            <w:pPr>
              <w:jc w:val="right"/>
              <w:ind w:right="496"/>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80" w:type="dxa"/>
            <w:vAlign w:val="bottom"/>
          </w:tcPr>
          <w:p>
            <w:pPr>
              <w:jc w:val="center"/>
              <w:ind w:left="322"/>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6"/>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6"/>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center"/>
              <w:ind w:left="322"/>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780" w:type="dxa"/>
            <w:vAlign w:val="bottom"/>
            <w:tcBorders>
              <w:bottom w:val="single" w:sz="8" w:color="CCEEFF"/>
            </w:tcBorders>
            <w:shd w:val="clear" w:color="auto" w:fill="CCEEFF"/>
          </w:tcPr>
          <w:p>
            <w:pPr>
              <w:jc w:val="right"/>
              <w:ind w:right="582"/>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temporarily impaired securities</w:t>
            </w:r>
          </w:p>
        </w:tc>
        <w:tc>
          <w:tcPr>
            <w:tcW w:w="7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127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During the three-month period ended June 30, 2013, we recorded no impairment charges relating to investments that were determined to be other-than-temporarily impaired. During the six month period ended June 30, 2013 we recorded impairment charges on fixed maturity securities relating to investments that were determined to be other-than-temporarily impaired, which resulted in additional expense of $1 million. During the three and six-month periods ended June 30, 2012, we recorded no impairment charges relating to investments that were determined to be other-than-temporarily impaired. Impairment charges recorded during 2013 related to fixed maturity securities primarily related to our conclusion that the credit risk of these holdings was high and the ability of the issuer to pay the full amount of the principal outstanding was unlikely. As of June 30, 2013, we held no fixed maturity securities for which other-than-temporary impairment had been previously recognized. It is possible that future events may lead us to recognize potential future impairment losses related to our investment portfolio and that unanticipated future events may lead us to dispose of certain investment holdings and recognize the effects of any market movements in our condensed consolidated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realized gains and losses on investments and other assets and proceeds from the sale or maturity of investments and other assets for the three and six-month periods ending June 30, 2013 and 2012, respectively: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center"/>
              <w:spacing w:after="0"/>
              <w:rPr>
                <w:sz w:val="20"/>
                <w:szCs w:val="20"/>
                <w:color w:val="auto"/>
              </w:rPr>
            </w:pPr>
            <w:r>
              <w:rPr>
                <w:rFonts w:ascii="Arial" w:cs="Arial" w:eastAsia="Arial" w:hAnsi="Arial"/>
                <w:sz w:val="14"/>
                <w:szCs w:val="14"/>
                <w:b w:val="1"/>
                <w:bCs w:val="1"/>
                <w:color w:val="auto"/>
                <w:w w:val="89"/>
              </w:rPr>
              <w:t>Six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8"/>
              </w:rPr>
              <w:t>June 30, 2013</w:t>
            </w: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June 30, 2013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91"/>
              </w:rPr>
              <w:t>Gross Proceeds</w:t>
            </w:r>
          </w:p>
        </w:tc>
        <w:tc>
          <w:tcPr>
            <w:tcW w:w="100" w:type="dxa"/>
            <w:vAlign w:val="bottom"/>
          </w:tcPr>
          <w:p>
            <w:pPr>
              <w:spacing w:after="0"/>
              <w:rPr>
                <w:sz w:val="13"/>
                <w:szCs w:val="13"/>
                <w:color w:val="auto"/>
              </w:rPr>
            </w:pPr>
          </w:p>
        </w:tc>
        <w:tc>
          <w:tcPr>
            <w:tcW w:w="580" w:type="dxa"/>
            <w:vAlign w:val="bottom"/>
            <w:vMerge w:val="restart"/>
          </w:tcPr>
          <w:p>
            <w:pPr>
              <w:jc w:val="center"/>
              <w:ind w:left="145"/>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400"/>
              <w:spacing w:after="0" w:line="153" w:lineRule="exact"/>
              <w:rPr>
                <w:sz w:val="20"/>
                <w:szCs w:val="20"/>
                <w:color w:val="auto"/>
              </w:rPr>
            </w:pPr>
            <w:r>
              <w:rPr>
                <w:rFonts w:ascii="Arial" w:cs="Arial" w:eastAsia="Arial" w:hAnsi="Arial"/>
                <w:sz w:val="14"/>
                <w:szCs w:val="14"/>
                <w:b w:val="1"/>
                <w:bCs w:val="1"/>
                <w:color w:val="auto"/>
              </w:rPr>
              <w:t>Net</w:t>
            </w: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w w:val="96"/>
              </w:rPr>
              <w:t>Gross Realized</w:t>
            </w:r>
          </w:p>
        </w:tc>
        <w:tc>
          <w:tcPr>
            <w:tcW w:w="2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auto"/>
                <w:w w:val="93"/>
              </w:rPr>
              <w:t>Net Realized</w:t>
            </w:r>
          </w:p>
        </w:tc>
        <w:tc>
          <w:tcPr>
            <w:tcW w:w="10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Realized</w:t>
            </w: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Realized</w:t>
            </w:r>
          </w:p>
        </w:tc>
        <w:tc>
          <w:tcPr>
            <w:tcW w:w="200" w:type="dxa"/>
            <w:vAlign w:val="bottom"/>
          </w:tcPr>
          <w:p>
            <w:pPr>
              <w:spacing w:after="0"/>
              <w:rPr>
                <w:sz w:val="12"/>
                <w:szCs w:val="12"/>
                <w:color w:val="auto"/>
              </w:rPr>
            </w:pPr>
          </w:p>
        </w:tc>
        <w:tc>
          <w:tcPr>
            <w:tcW w:w="124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from</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160" w:type="dxa"/>
            <w:vAlign w:val="bottom"/>
          </w:tcPr>
          <w:p>
            <w:pPr>
              <w:spacing w:after="0"/>
              <w:rPr>
                <w:sz w:val="12"/>
                <w:szCs w:val="12"/>
                <w:color w:val="auto"/>
              </w:rPr>
            </w:pPr>
          </w:p>
        </w:tc>
        <w:tc>
          <w:tcPr>
            <w:tcW w:w="78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w w:val="91"/>
              </w:rPr>
              <w:t>Realized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75"/>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Gains</w:t>
            </w: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Losses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89"/>
              </w:rPr>
              <w:t>Gains (Losses)</w:t>
            </w: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Sale/Maturity</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jc w:val="center"/>
              <w:ind w:left="145"/>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(Losses)</w:t>
            </w: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Sale/Maturity</w:t>
            </w:r>
          </w:p>
        </w:tc>
        <w:tc>
          <w:tcPr>
            <w:tcW w:w="0" w:type="dxa"/>
            <w:vAlign w:val="bottom"/>
          </w:tcPr>
          <w:p>
            <w:pPr>
              <w:spacing w:after="0"/>
              <w:rPr>
                <w:sz w:val="1"/>
                <w:szCs w:val="1"/>
                <w:color w:val="auto"/>
              </w:rPr>
            </w:pPr>
          </w:p>
        </w:tc>
      </w:tr>
      <w:tr>
        <w:trPr>
          <w:trHeight w:val="250"/>
        </w:trPr>
        <w:tc>
          <w:tcPr>
            <w:tcW w:w="2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4"/>
          </w:tcPr>
          <w:p>
            <w:pPr>
              <w:ind w:left="300"/>
              <w:spacing w:after="0"/>
              <w:rPr>
                <w:sz w:val="20"/>
                <w:szCs w:val="20"/>
                <w:color w:val="auto"/>
              </w:rPr>
            </w:pPr>
            <w:r>
              <w:rPr>
                <w:rFonts w:ascii="Arial" w:cs="Arial" w:eastAsia="Arial" w:hAnsi="Arial"/>
                <w:sz w:val="14"/>
                <w:szCs w:val="14"/>
                <w:b w:val="1"/>
                <w:bCs w:val="1"/>
                <w:color w:val="auto"/>
              </w:rPr>
              <w:t>(Dollars in millions)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Fixed maturity securities available for</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36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6</w:t>
            </w:r>
          </w:p>
        </w:tc>
        <w:tc>
          <w:tcPr>
            <w:tcW w:w="200" w:type="dxa"/>
            <w:vAlign w:val="bottom"/>
          </w:tcPr>
          <w:p>
            <w:pPr>
              <w:spacing w:after="0"/>
              <w:rPr>
                <w:sz w:val="21"/>
                <w:szCs w:val="21"/>
                <w:color w:val="auto"/>
              </w:rPr>
            </w:pPr>
          </w:p>
        </w:tc>
        <w:tc>
          <w:tcPr>
            <w:tcW w:w="860" w:type="dxa"/>
            <w:vAlign w:val="bottom"/>
            <w:gridSpan w:val="2"/>
          </w:tcPr>
          <w:p>
            <w:pPr>
              <w:jc w:val="right"/>
              <w:ind w:right="79"/>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gridSpan w:val="3"/>
          </w:tcPr>
          <w:p>
            <w:pPr>
              <w:jc w:val="right"/>
              <w:ind w:right="4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1"/>
                <w:szCs w:val="21"/>
                <w:color w:val="auto"/>
              </w:rPr>
            </w:pPr>
          </w:p>
        </w:tc>
        <w:tc>
          <w:tcPr>
            <w:tcW w:w="780" w:type="dxa"/>
            <w:vAlign w:val="bottom"/>
          </w:tcPr>
          <w:p>
            <w:pPr>
              <w:jc w:val="right"/>
              <w:ind w:right="63"/>
              <w:spacing w:after="0"/>
              <w:rPr>
                <w:sz w:val="20"/>
                <w:szCs w:val="20"/>
                <w:color w:val="auto"/>
              </w:rPr>
            </w:pPr>
            <w:r>
              <w:rPr>
                <w:rFonts w:ascii="Arial" w:cs="Arial" w:eastAsia="Arial" w:hAnsi="Arial"/>
                <w:sz w:val="18"/>
                <w:szCs w:val="18"/>
                <w:color w:val="auto"/>
              </w:rPr>
              <w:t>(2)</w:t>
            </w:r>
          </w:p>
        </w:tc>
        <w:tc>
          <w:tcPr>
            <w:tcW w:w="1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1</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Other long-term investments</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w w:val="81"/>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Debt extinguishment costs</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w w:val="81"/>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gridSpan w:val="3"/>
          </w:tcPr>
          <w:p>
            <w:pPr>
              <w:ind w:left="100"/>
              <w:spacing w:after="0"/>
              <w:rPr>
                <w:sz w:val="20"/>
                <w:szCs w:val="20"/>
                <w:color w:val="auto"/>
              </w:rPr>
            </w:pPr>
            <w:r>
              <w:rPr>
                <w:rFonts w:ascii="Arial" w:cs="Arial" w:eastAsia="Arial" w:hAnsi="Arial"/>
                <w:sz w:val="14"/>
                <w:szCs w:val="14"/>
                <w:b w:val="1"/>
                <w:bCs w:val="1"/>
                <w:color w:val="auto"/>
                <w:w w:val="94"/>
              </w:rPr>
              <w:t>Three months ended</w:t>
            </w: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June 30, 2012</w:t>
            </w: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rPr>
              <w:t>June 30, 2012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gridSpan w:val="2"/>
            <w:vMerge w:val="restart"/>
          </w:tcPr>
          <w:p>
            <w:pPr>
              <w:jc w:val="center"/>
              <w:ind w:right="182"/>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Gross Proceeds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jc w:val="right"/>
              <w:ind w:right="145"/>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8"/>
              </w:rPr>
              <w:t>Gross Realized</w:t>
            </w:r>
          </w:p>
        </w:tc>
        <w:tc>
          <w:tcPr>
            <w:tcW w:w="3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80" w:type="dxa"/>
            <w:vAlign w:val="bottom"/>
            <w:gridSpan w:val="3"/>
            <w:vMerge w:val="restart"/>
          </w:tcPr>
          <w:p>
            <w:pPr>
              <w:jc w:val="right"/>
              <w:ind w:right="50"/>
              <w:spacing w:after="0"/>
              <w:rPr>
                <w:sz w:val="20"/>
                <w:szCs w:val="20"/>
                <w:color w:val="auto"/>
              </w:rPr>
            </w:pPr>
            <w:r>
              <w:rPr>
                <w:rFonts w:ascii="Arial" w:cs="Arial" w:eastAsia="Arial" w:hAnsi="Arial"/>
                <w:sz w:val="14"/>
                <w:szCs w:val="14"/>
                <w:b w:val="1"/>
                <w:bCs w:val="1"/>
                <w:color w:val="auto"/>
              </w:rPr>
              <w:t>Net Realized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8"/>
              </w:rPr>
              <w:t>Proceeds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center"/>
              <w:ind w:right="182"/>
              <w:spacing w:after="0" w:line="149" w:lineRule="exact"/>
              <w:rPr>
                <w:sz w:val="20"/>
                <w:szCs w:val="20"/>
                <w:color w:val="auto"/>
              </w:rPr>
            </w:pPr>
            <w:r>
              <w:rPr>
                <w:rFonts w:ascii="Arial" w:cs="Arial" w:eastAsia="Arial" w:hAnsi="Arial"/>
                <w:sz w:val="14"/>
                <w:szCs w:val="14"/>
                <w:b w:val="1"/>
                <w:bCs w:val="1"/>
                <w:color w:val="auto"/>
                <w:w w:val="91"/>
              </w:rPr>
              <w:t>Realized</w:t>
            </w: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6"/>
              </w:rPr>
              <w:t>from</w:t>
            </w:r>
          </w:p>
        </w:tc>
        <w:tc>
          <w:tcPr>
            <w:tcW w:w="100" w:type="dxa"/>
            <w:vAlign w:val="bottom"/>
          </w:tcPr>
          <w:p>
            <w:pPr>
              <w:spacing w:after="0"/>
              <w:rPr>
                <w:sz w:val="12"/>
                <w:szCs w:val="12"/>
                <w:color w:val="auto"/>
              </w:rPr>
            </w:pPr>
          </w:p>
        </w:tc>
        <w:tc>
          <w:tcPr>
            <w:tcW w:w="680" w:type="dxa"/>
            <w:vAlign w:val="bottom"/>
            <w:gridSpan w:val="2"/>
          </w:tcPr>
          <w:p>
            <w:pPr>
              <w:jc w:val="right"/>
              <w:ind w:right="65"/>
              <w:spacing w:after="0" w:line="149" w:lineRule="exact"/>
              <w:rPr>
                <w:sz w:val="20"/>
                <w:szCs w:val="20"/>
                <w:color w:val="auto"/>
              </w:rPr>
            </w:pPr>
            <w:r>
              <w:rPr>
                <w:rFonts w:ascii="Arial" w:cs="Arial" w:eastAsia="Arial" w:hAnsi="Arial"/>
                <w:sz w:val="14"/>
                <w:szCs w:val="14"/>
                <w:b w:val="1"/>
                <w:bCs w:val="1"/>
                <w:color w:val="auto"/>
                <w:w w:val="91"/>
              </w:rPr>
              <w:t>Realized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103"/>
              <w:spacing w:after="0" w:line="149" w:lineRule="exact"/>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199"/>
              <w:spacing w:after="0"/>
              <w:rPr>
                <w:sz w:val="20"/>
                <w:szCs w:val="20"/>
                <w:color w:val="auto"/>
              </w:rPr>
            </w:pPr>
            <w:r>
              <w:rPr>
                <w:rFonts w:ascii="Arial" w:cs="Arial" w:eastAsia="Arial" w:hAnsi="Arial"/>
                <w:sz w:val="14"/>
                <w:szCs w:val="14"/>
                <w:b w:val="1"/>
                <w:bCs w:val="1"/>
                <w:color w:val="auto"/>
              </w:rPr>
              <w:t>Gains</w:t>
            </w:r>
          </w:p>
        </w:tc>
        <w:tc>
          <w:tcPr>
            <w:tcW w:w="300" w:type="dxa"/>
            <w:vAlign w:val="bottom"/>
          </w:tcPr>
          <w:p>
            <w:pPr>
              <w:spacing w:after="0"/>
              <w:rPr>
                <w:sz w:val="16"/>
                <w:szCs w:val="16"/>
                <w:color w:val="auto"/>
              </w:rPr>
            </w:pPr>
          </w:p>
        </w:tc>
        <w:tc>
          <w:tcPr>
            <w:tcW w:w="860" w:type="dxa"/>
            <w:vAlign w:val="bottom"/>
            <w:gridSpan w:val="2"/>
          </w:tcPr>
          <w:p>
            <w:pPr>
              <w:jc w:val="center"/>
              <w:ind w:right="182"/>
              <w:spacing w:after="0"/>
              <w:rPr>
                <w:sz w:val="20"/>
                <w:szCs w:val="20"/>
                <w:color w:val="auto"/>
              </w:rPr>
            </w:pPr>
            <w:r>
              <w:rPr>
                <w:rFonts w:ascii="Arial" w:cs="Arial" w:eastAsia="Arial" w:hAnsi="Arial"/>
                <w:sz w:val="14"/>
                <w:szCs w:val="14"/>
                <w:b w:val="1"/>
                <w:bCs w:val="1"/>
                <w:color w:val="auto"/>
                <w:w w:val="82"/>
              </w:rPr>
              <w:t>Losses</w:t>
            </w: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Gains (Losses)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Sale/Maturity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45"/>
              <w:spacing w:after="0"/>
              <w:rPr>
                <w:sz w:val="20"/>
                <w:szCs w:val="20"/>
                <w:color w:val="auto"/>
              </w:rPr>
            </w:pPr>
            <w:r>
              <w:rPr>
                <w:rFonts w:ascii="Arial" w:cs="Arial" w:eastAsia="Arial" w:hAnsi="Arial"/>
                <w:sz w:val="14"/>
                <w:szCs w:val="14"/>
                <w:b w:val="1"/>
                <w:bCs w:val="1"/>
                <w:color w:val="auto"/>
                <w:w w:val="87"/>
              </w:rPr>
              <w:t>Gains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(Losses)</w:t>
            </w:r>
          </w:p>
        </w:tc>
        <w:tc>
          <w:tcPr>
            <w:tcW w:w="10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Sale/Maturity</w:t>
            </w:r>
          </w:p>
        </w:tc>
        <w:tc>
          <w:tcPr>
            <w:tcW w:w="0" w:type="dxa"/>
            <w:vAlign w:val="bottom"/>
          </w:tcPr>
          <w:p>
            <w:pPr>
              <w:spacing w:after="0"/>
              <w:rPr>
                <w:sz w:val="1"/>
                <w:szCs w:val="1"/>
                <w:color w:val="auto"/>
              </w:rPr>
            </w:pPr>
          </w:p>
        </w:tc>
      </w:tr>
      <w:tr>
        <w:trPr>
          <w:trHeight w:val="250"/>
        </w:trPr>
        <w:tc>
          <w:tcPr>
            <w:tcW w:w="29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8"/>
              </w:rPr>
              <w:t>(Dollars in millions)</w:t>
            </w:r>
          </w:p>
        </w:tc>
        <w:tc>
          <w:tcPr>
            <w:tcW w:w="3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Fixed maturity securities available for</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ind w:right="25"/>
              <w:spacing w:after="0"/>
              <w:rPr>
                <w:sz w:val="20"/>
                <w:szCs w:val="20"/>
                <w:color w:val="auto"/>
              </w:rPr>
            </w:pPr>
            <w:r>
              <w:rPr>
                <w:rFonts w:ascii="Arial" w:cs="Arial" w:eastAsia="Arial" w:hAnsi="Arial"/>
                <w:sz w:val="18"/>
                <w:szCs w:val="18"/>
                <w:color w:val="auto"/>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60" w:type="dxa"/>
            <w:vAlign w:val="bottom"/>
          </w:tcPr>
          <w:p>
            <w:pPr>
              <w:ind w:left="40"/>
              <w:spacing w:after="0"/>
              <w:rPr>
                <w:sz w:val="20"/>
                <w:szCs w:val="20"/>
                <w:color w:val="auto"/>
              </w:rPr>
            </w:pPr>
            <w:r>
              <w:rPr>
                <w:rFonts w:ascii="Arial" w:cs="Arial" w:eastAsia="Arial" w:hAnsi="Arial"/>
                <w:sz w:val="18"/>
                <w:szCs w:val="18"/>
                <w:color w:val="auto"/>
                <w:w w:val="99"/>
              </w:rPr>
              <w:t>Gain on consolidation of O'Charley's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40"/>
              <w:spacing w:after="0"/>
              <w:rPr>
                <w:sz w:val="20"/>
                <w:szCs w:val="20"/>
                <w:color w:val="auto"/>
              </w:rPr>
            </w:pPr>
            <w:r>
              <w:rPr>
                <w:rFonts w:ascii="Arial" w:cs="Arial" w:eastAsia="Arial" w:hAnsi="Arial"/>
                <w:sz w:val="18"/>
                <w:szCs w:val="18"/>
                <w:color w:val="auto"/>
              </w:rPr>
              <w:t>and ABRH</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2960" w:type="dxa"/>
            <w:vAlign w:val="bottom"/>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Investments in unconsolidated affiliates are recorded using the equity method of accounting. As of June 30, 2013 and December 31, 2012, investments in unconsolidated affiliates consisted of the following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1660" w:type="dxa"/>
            <w:vAlign w:val="bottom"/>
            <w:gridSpan w:val="2"/>
          </w:tcPr>
          <w:p>
            <w:pPr>
              <w:ind w:left="180"/>
              <w:spacing w:after="0"/>
              <w:rPr>
                <w:sz w:val="20"/>
                <w:szCs w:val="20"/>
                <w:color w:val="auto"/>
              </w:rPr>
            </w:pPr>
            <w:r>
              <w:rPr>
                <w:rFonts w:ascii="Arial" w:cs="Arial" w:eastAsia="Arial" w:hAnsi="Arial"/>
                <w:sz w:val="14"/>
                <w:szCs w:val="14"/>
                <w:b w:val="1"/>
                <w:bCs w:val="1"/>
                <w:color w:val="auto"/>
              </w:rPr>
              <w:t>Current Ownership</w:t>
            </w: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2013</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2012</w:t>
            </w:r>
          </w:p>
        </w:tc>
      </w:tr>
      <w:tr>
        <w:trPr>
          <w:trHeight w:val="250"/>
        </w:trPr>
        <w:tc>
          <w:tcPr>
            <w:tcW w:w="6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Ceridian</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351</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Other</w:t>
            </w:r>
          </w:p>
        </w:tc>
        <w:tc>
          <w:tcPr>
            <w:tcW w:w="1660" w:type="dxa"/>
            <w:vAlign w:val="bottom"/>
            <w:gridSpan w:val="2"/>
          </w:tcPr>
          <w:p>
            <w:pPr>
              <w:ind w:left="820"/>
              <w:spacing w:after="0"/>
              <w:rPr>
                <w:sz w:val="20"/>
                <w:szCs w:val="20"/>
                <w:color w:val="auto"/>
              </w:rPr>
            </w:pPr>
            <w:r>
              <w:rPr>
                <w:rFonts w:ascii="Arial" w:cs="Arial" w:eastAsia="Arial" w:hAnsi="Arial"/>
                <w:sz w:val="18"/>
                <w:szCs w:val="18"/>
                <w:color w:val="auto"/>
              </w:rPr>
              <w:t>Various</w:t>
            </w: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41</w:t>
            </w:r>
          </w:p>
        </w:tc>
      </w:tr>
      <w:tr>
        <w:trPr>
          <w:trHeight w:val="27"/>
        </w:trPr>
        <w:tc>
          <w:tcPr>
            <w:tcW w:w="62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6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392</w:t>
            </w:r>
          </w:p>
        </w:tc>
      </w:tr>
      <w:tr>
        <w:trPr>
          <w:trHeight w:val="20"/>
        </w:trPr>
        <w:tc>
          <w:tcPr>
            <w:tcW w:w="6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first quarter of 2013, we purchased $24 million in Ceridian bonds which are included in Fixed maturity securities available for sale, and have a fair value of $26 million as of June 30, 2013.</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account for our equity in Ceridian on a three-month lag. Accordingly, our net earnings for the three and six-month periods ended June 30, 2013, includes our equity in Ceridian’s earnings for the three and six-month periods ended March 31, 2013, and our net earnings for the three and six-month periods ended June 30, 2012, includes our equity in Ceridian’s earnings for the three and six-month periods ended March 31, 2012. During the three and six-month periods ended June 30, 2013 and 2012, we recorded $6 million and $10 million, and $2 million and $9 million in equity in losses of Ceridian, respectively. Equity in earnings of other unconsolidated affiliates was $3 million and $4 million and $4 million and $17 million for the three and six-month periods ended June 30, 2013 and 2012, respectively.</w:t>
      </w:r>
    </w:p>
    <w:p>
      <w:pPr>
        <w:sectPr>
          <w:pgSz w:w="11900" w:h="16838" w:orient="portrait"/>
          <w:cols w:equalWidth="0" w:num="1">
            <w:col w:w="11420"/>
          </w:cols>
          <w:pgMar w:left="240" w:top="121"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Summarized financial information for Ceridian for the relevant dates and time periods included in our Condensed Consolidated Financial Statements is presented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2013</w:t>
            </w: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1"/>
              </w:rPr>
              <w:t>September 30, 2012</w:t>
            </w:r>
          </w:p>
        </w:tc>
      </w:tr>
      <w:tr>
        <w:trPr>
          <w:trHeight w:val="196"/>
        </w:trPr>
        <w:tc>
          <w:tcPr>
            <w:tcW w:w="4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gridSpan w:val="4"/>
          </w:tcPr>
          <w:p>
            <w:pPr>
              <w:jc w:val="right"/>
              <w:ind w:right="139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Customer funds</w:t>
            </w: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5,799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3,925</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other 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4,630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157</w:t>
            </w: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12,038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9,921</w:t>
            </w:r>
          </w:p>
        </w:tc>
      </w:tr>
      <w:tr>
        <w:trPr>
          <w:trHeight w:val="20"/>
        </w:trPr>
        <w:tc>
          <w:tcPr>
            <w:tcW w:w="4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1,315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995</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3,874</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Long-term obligations, less current portion</w:t>
            </w: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3,445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3,445</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489</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11,007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8,803</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1,118</w:t>
            </w: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12,038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9,921</w:t>
            </w:r>
          </w:p>
        </w:tc>
      </w:tr>
      <w:tr>
        <w:trPr>
          <w:trHeight w:val="20"/>
        </w:trPr>
        <w:tc>
          <w:tcPr>
            <w:tcW w:w="4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491"/>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right"/>
              <w:ind w:right="157"/>
              <w:spacing w:after="0"/>
              <w:rPr>
                <w:sz w:val="20"/>
                <w:szCs w:val="20"/>
                <w:color w:val="auto"/>
              </w:rPr>
            </w:pPr>
            <w:r>
              <w:rPr>
                <w:rFonts w:ascii="Arial" w:cs="Arial" w:eastAsia="Arial" w:hAnsi="Arial"/>
                <w:sz w:val="14"/>
                <w:szCs w:val="14"/>
                <w:b w:val="1"/>
                <w:bCs w:val="1"/>
                <w:color w:val="auto"/>
                <w:w w:val="96"/>
              </w:rPr>
              <w:t>Three Months Ended</w:t>
            </w:r>
          </w:p>
        </w:tc>
        <w:tc>
          <w:tcPr>
            <w:tcW w:w="240" w:type="dxa"/>
            <w:vAlign w:val="bottom"/>
          </w:tcPr>
          <w:p>
            <w:pPr>
              <w:spacing w:after="0"/>
              <w:rPr>
                <w:sz w:val="24"/>
                <w:szCs w:val="24"/>
                <w:color w:val="auto"/>
              </w:rPr>
            </w:pPr>
          </w:p>
        </w:tc>
        <w:tc>
          <w:tcPr>
            <w:tcW w:w="1640" w:type="dxa"/>
            <w:vAlign w:val="bottom"/>
          </w:tcPr>
          <w:p>
            <w:pPr>
              <w:jc w:val="right"/>
              <w:ind w:right="219"/>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24"/>
                <w:szCs w:val="24"/>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Six Months Ended March</w:t>
            </w:r>
          </w:p>
        </w:tc>
        <w:tc>
          <w:tcPr>
            <w:tcW w:w="120" w:type="dxa"/>
            <w:vAlign w:val="bottom"/>
          </w:tcPr>
          <w:p>
            <w:pPr>
              <w:spacing w:after="0"/>
              <w:rPr>
                <w:sz w:val="24"/>
                <w:szCs w:val="24"/>
                <w:color w:val="auto"/>
              </w:rPr>
            </w:pPr>
          </w:p>
        </w:tc>
        <w:tc>
          <w:tcPr>
            <w:tcW w:w="1700" w:type="dxa"/>
            <w:vAlign w:val="bottom"/>
          </w:tcPr>
          <w:p>
            <w:pPr>
              <w:jc w:val="center"/>
              <w:ind w:right="33"/>
              <w:spacing w:after="0"/>
              <w:rPr>
                <w:sz w:val="20"/>
                <w:szCs w:val="20"/>
                <w:color w:val="auto"/>
              </w:rPr>
            </w:pPr>
            <w:r>
              <w:rPr>
                <w:rFonts w:ascii="Arial" w:cs="Arial" w:eastAsia="Arial" w:hAnsi="Arial"/>
                <w:sz w:val="14"/>
                <w:szCs w:val="14"/>
                <w:b w:val="1"/>
                <w:bCs w:val="1"/>
                <w:color w:val="auto"/>
                <w:w w:val="94"/>
              </w:rPr>
              <w:t>Six Months Ended March</w:t>
            </w:r>
          </w:p>
        </w:tc>
      </w:tr>
      <w:tr>
        <w:trPr>
          <w:trHeight w:val="192"/>
        </w:trPr>
        <w:tc>
          <w:tcPr>
            <w:tcW w:w="4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March 31, 2013</w:t>
            </w: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March 31, 2012</w:t>
            </w: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1"/>
              </w:rPr>
              <w:t>31, 2013</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1"/>
              </w:rPr>
              <w:t>31, 2012</w:t>
            </w:r>
          </w:p>
        </w:tc>
      </w:tr>
      <w:tr>
        <w:trPr>
          <w:trHeight w:val="196"/>
        </w:trPr>
        <w:tc>
          <w:tcPr>
            <w:tcW w:w="4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375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21"/>
                <w:szCs w:val="21"/>
                <w:color w:val="auto"/>
              </w:rPr>
            </w:pP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1"/>
                <w:szCs w:val="21"/>
                <w:color w:val="auto"/>
              </w:rPr>
            </w:pPr>
          </w:p>
        </w:tc>
        <w:tc>
          <w:tcPr>
            <w:tcW w:w="1640" w:type="dxa"/>
            <w:vAlign w:val="bottom"/>
          </w:tcPr>
          <w:p>
            <w:pPr>
              <w:jc w:val="right"/>
              <w:ind w:right="79"/>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4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—Remy Derivative Financial Instruments and Concentration of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describes risks based and derivative instruments held by Remy.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Remy manufactures and sells products primarily in North America, South America, Asia, Europe and Africa. As a result, financial results could be significantly affected by factors such as changes in foreign currency exchange rates or weak economic conditions in foreign markets in which Remy manufactures and sells products. Remy generally tries to use natural hedges within its foreign currency activities, including the matching of revenues and costs, to minimize foreign currency risk. Where natural hedges are not in place, Remy considers managing certain aspects of its foreign currency activities through the use of foreign exchange contracts. Remy primarily utilizes forward exchange contracts with maturities generally within twenty-four months to hedge against currency rate fluctuations, some of which are designated as hedges. As of June 30, 2013, Remy had the following outstanding foreign currency contracts to hedge forecasted purchases and revenues (in millions):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8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Currency Denomination</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b w:val="1"/>
                <w:bCs w:val="1"/>
                <w:color w:val="auto"/>
              </w:rPr>
              <w:t>Foreign currency contract</w:t>
            </w:r>
          </w:p>
        </w:tc>
        <w:tc>
          <w:tcPr>
            <w:tcW w:w="280" w:type="dxa"/>
            <w:vAlign w:val="bottom"/>
          </w:tcPr>
          <w:p>
            <w:pPr>
              <w:spacing w:after="0"/>
              <w:rPr>
                <w:sz w:val="23"/>
                <w:szCs w:val="23"/>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2013</w:t>
            </w:r>
          </w:p>
        </w:tc>
        <w:tc>
          <w:tcPr>
            <w:tcW w:w="180" w:type="dxa"/>
            <w:vAlign w:val="bottom"/>
          </w:tcPr>
          <w:p>
            <w:pPr>
              <w:spacing w:after="0"/>
              <w:rPr>
                <w:sz w:val="23"/>
                <w:szCs w:val="23"/>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2012</w:t>
            </w:r>
          </w:p>
        </w:tc>
      </w:tr>
      <w:tr>
        <w:trPr>
          <w:trHeight w:val="27"/>
        </w:trPr>
        <w:tc>
          <w:tcPr>
            <w:tcW w:w="7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South Korean Won Forward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Mexican Peso Contracts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Brazilian Real Forward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Hungarian Forint Forward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British Pound Forward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7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There were net accumulated unrealized losses of less than $1 million relating to these instruments as of June 30, 2013. Accumulated unrealized net gains of $3 million were recorded in Accumulated other comprehensive earnings (loss) as of December 31, 2012, related to these instruments. As of June 30, 2013, losses related to these instruments of $1 million are expected to be reclassified to the Condensed Consolidated Statement of Earnings within the next 12 months. Any ineffectiveness during the three and six month periods ended June 30, 2013 was immaterial.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2010, Remy entered into an interest rate swap agreement in respect of 50% of the outstanding principal balance of its Term B Loan under which a variable LIBOR rate with a floor of 1.750% was swapped to a fixed rate of 3.345%. Due to the significant value of the terminated swaps which were transferred into this new swap, this interest rate swap is an undesignated hedge and changes in the fair value are recorded as Interest expense in the accompanying Condensed Consolidated Statements of Earnings.</w:t>
      </w:r>
    </w:p>
    <w:p>
      <w:pPr>
        <w:spacing w:after="0" w:line="7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March 27, 2013, Remy terminated its undesignated Term B Loan interest rate swap and transferred the value into a new undesignated interest rate swap agreement of $72 million of the outstanding principal loan balance under which Remy will swap a variable LIBOR rate with a floor of 1.25% to a fixed rate of 4.045% with an effective date of December 30, 2016 and expiration date of December 31, 2019. The notional value of this interest rate swap is $72 million. Due to the significant value of the terminated swaps which were transferred into this new swap, this interest rate swap is an undesignated hedge and changes in the fair value are recorded as Interest expense in the accompanying Condensed Consolidated Statements of Earnings.</w:t>
      </w:r>
    </w:p>
    <w:p>
      <w:pPr>
        <w:spacing w:after="0" w:line="5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27, 2013, Remy also entered into a designated interest rate swap agreement for $72 million of the outstanding principal balance of its long term debt. Under the terms of the new interest rate swap agreement, Remy will swap a variable LIBOR rate with a floor of 1.25% to a fixed rate of 2.75% with an effective date of December 30, 2016 and expiration date of December 31, 2019. The notional value of this interest rate swap is $72 million. This interest rate swap has been designated as a cash flow hedging instrument. Accumulated unrealized net gains of $1 million were recorded in Accumulated other comprehensive income (loss) as of June 30, 2013, and there were none as of December 31, 2012. As of June 30, 2013, no gains are expected to be reclassified to the Condensed Consolidated Statement of Earnings within the next twelve months. Any ineffectiveness during the three and six month periods ended June 30, 2013 was immaterial.</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interest rate swaps reduce Remy's overall interest rate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Remy production processes are dependent upon the supply of certain components whose raw materials are exposed to price fluctuations on the open market. The primary purpose of Remy's commodity price forward contract activity is to manage the volatility associated with forecasted purchases. Remy monitors commodity price risk exposures regularly to maximize the overall effectiveness of commodity forward contracts. The principal raw material hedged is copper. Forward contracts are used to mitigate commodity price risk associated with raw materials, generally related to purchases forecast for up to twenty-four months in the future. Additionally, Remy purchases certain commodities during the normal course of business which result in physical delivery and are excluded from hedge accounting.</w:t>
      </w:r>
    </w:p>
    <w:p>
      <w:pPr>
        <w:spacing w:after="0" w:line="24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Remy had twenty-nine commodity price hedge contracts outstanding at June 30, 2013, and thirty-six commodity price hedge contracts outstanding at December 31, 2012, with combined notional quantities of 5,751 and 6,566 metric tons of copper, respectively. These contracts mature within the next fifteen months and were designated as cash flow hedging instruments. Accumulated unrealized net losses of $7 million and less than $1 million, were recorded in Accumulated other comprehensive earnings as of June 30, 2013, and December 31, 2012, respectively, related to these contracts. As of June 30, 2013, net losses related to these contracts of $6 million are expected to be reclassified to the accompanying Condensed Consolidated Statement of Earnings within the next 12 months. Hedging ineffectiveness during the three and six month periods ended June 30, 2013 was immaterial.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Remy's derivative positions and any related material collateral under master netting agreements are presented on a net basis.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derivatives designated as cash flow hedges, changes in the time value are excluded from the assessment of hedge effectiveness. Unrealized gains and losses associated with ineffective hedges, determined using the change in fair value method, are recognized in the accompanying Condensed Consolidated Statement of Earnings. Derivative gains and losses included in Accumulated other comprehensive earnings for effective hedges are reclassified into the accompanying Condensed Consolidated Statement of Earnings upon recognition of the hedged transaction.</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Any derivative instrument designated initially, but no longer effective as a hedge, or initially not effective as a hedge, is recorded at fair value and the related gains and losses are recognized in the accompanying Condensed Consolidated Statement of Earnings. Remy's undesignated hedges are primarily Remy's interest rate swaps whose fair value at inception of the instrument due to the rollover of existing interest rate swaps resulted in ineffectiveness. All asset and liability derivatives are included in Prepaid expenses and other assets and Accounts payable and accrued liabilities, respectively, on the Condensed Consolidated Balance Sheets. The following table discloses the fair values of Remy's derivative instruments (in millions):</w:t>
      </w: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2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June 30, 2013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2012</w:t>
            </w:r>
          </w:p>
        </w:tc>
      </w:tr>
      <w:tr>
        <w:trPr>
          <w:trHeight w:val="27"/>
        </w:trPr>
        <w:tc>
          <w:tcPr>
            <w:tcW w:w="51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Liability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b w:val="1"/>
                <w:bCs w:val="1"/>
                <w:color w:val="auto"/>
              </w:rPr>
              <w:t>Liability</w:t>
            </w:r>
          </w:p>
        </w:tc>
      </w:tr>
      <w:tr>
        <w:trPr>
          <w:trHeight w:val="234"/>
        </w:trPr>
        <w:tc>
          <w:tcPr>
            <w:tcW w:w="5140" w:type="dxa"/>
            <w:vAlign w:val="bottom"/>
          </w:tcPr>
          <w:p>
            <w:pPr>
              <w:spacing w:after="0"/>
              <w:rPr>
                <w:sz w:val="20"/>
                <w:szCs w:val="20"/>
                <w:color w:val="auto"/>
              </w:rPr>
            </w:pPr>
          </w:p>
        </w:tc>
        <w:tc>
          <w:tcPr>
            <w:tcW w:w="1620" w:type="dxa"/>
            <w:vAlign w:val="bottom"/>
            <w:gridSpan w:val="3"/>
          </w:tcPr>
          <w:p>
            <w:pPr>
              <w:ind w:left="80"/>
              <w:spacing w:after="0"/>
              <w:rPr>
                <w:sz w:val="20"/>
                <w:szCs w:val="20"/>
                <w:color w:val="auto"/>
              </w:rPr>
            </w:pPr>
            <w:r>
              <w:rPr>
                <w:rFonts w:ascii="Arial" w:cs="Arial" w:eastAsia="Arial" w:hAnsi="Arial"/>
                <w:sz w:val="18"/>
                <w:szCs w:val="18"/>
                <w:b w:val="1"/>
                <w:bCs w:val="1"/>
                <w:color w:val="auto"/>
              </w:rPr>
              <w:t>Asset Derivatives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Derivatives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Asset Derivatives</w:t>
            </w:r>
          </w:p>
        </w:tc>
        <w:tc>
          <w:tcPr>
            <w:tcW w:w="20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Derivatives</w:t>
            </w:r>
          </w:p>
        </w:tc>
      </w:tr>
      <w:tr>
        <w:trPr>
          <w:trHeight w:val="27"/>
        </w:trPr>
        <w:tc>
          <w:tcPr>
            <w:tcW w:w="5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5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4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derivatives designated as hedging instruments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10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0"/>
        </w:trPr>
        <w:tc>
          <w:tcPr>
            <w:tcW w:w="5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11"/>
        </w:trPr>
        <w:tc>
          <w:tcPr>
            <w:tcW w:w="5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ind w:firstLine="381"/>
        <w:spacing w:after="0" w:line="259" w:lineRule="auto"/>
        <w:rPr>
          <w:sz w:val="20"/>
          <w:szCs w:val="20"/>
          <w:color w:val="auto"/>
        </w:rPr>
      </w:pPr>
      <w:r>
        <w:rPr>
          <w:rFonts w:ascii="Arial" w:cs="Arial" w:eastAsia="Arial" w:hAnsi="Arial"/>
          <w:sz w:val="18"/>
          <w:szCs w:val="18"/>
          <w:color w:val="auto"/>
        </w:rPr>
        <w:t>Gains and losses on Remy's derivative instruments, which are reclassified from Accumulated other comprehensive earnings (AOCI) into earnings, are included in Cost of auto parts revenue for commodity and foreign currency contracts, and Interest expense for interest rate swap contracts on the accompanying Condensed Consolidated Statement of Earnings. The following table discloses the effect of Remy's derivative instruments for the three months ended June 30, 2013 (in millions):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Amount of gain (loss)</w:t>
            </w:r>
          </w:p>
        </w:tc>
        <w:tc>
          <w:tcPr>
            <w:tcW w:w="160" w:type="dxa"/>
            <w:vAlign w:val="bottom"/>
          </w:tcPr>
          <w:p>
            <w:pPr>
              <w:spacing w:after="0"/>
              <w:rPr>
                <w:sz w:val="14"/>
                <w:szCs w:val="14"/>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Amount of gain (loss)</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6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Amount of gain (loss)</w:t>
            </w:r>
          </w:p>
        </w:tc>
        <w:tc>
          <w:tcPr>
            <w:tcW w:w="15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reclassified from</w:t>
            </w:r>
          </w:p>
        </w:tc>
        <w:tc>
          <w:tcPr>
            <w:tcW w:w="160" w:type="dxa"/>
            <w:vAlign w:val="bottom"/>
          </w:tcPr>
          <w:p>
            <w:pPr>
              <w:spacing w:after="0"/>
              <w:rPr>
                <w:sz w:val="12"/>
                <w:szCs w:val="12"/>
                <w:color w:val="auto"/>
              </w:rPr>
            </w:pPr>
          </w:p>
        </w:tc>
        <w:tc>
          <w:tcPr>
            <w:tcW w:w="1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(ineffective portion and</w:t>
            </w:r>
          </w:p>
        </w:tc>
        <w:tc>
          <w:tcPr>
            <w:tcW w:w="180" w:type="dxa"/>
            <w:vAlign w:val="bottom"/>
          </w:tcPr>
          <w:p>
            <w:pPr>
              <w:spacing w:after="0"/>
              <w:rPr>
                <w:sz w:val="12"/>
                <w:szCs w:val="12"/>
                <w:color w:val="auto"/>
              </w:rPr>
            </w:pPr>
          </w:p>
        </w:tc>
        <w:tc>
          <w:tcPr>
            <w:tcW w:w="12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9"/>
              </w:rPr>
              <w:t>Amount of gain</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recognized in AOCI</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AOCI into income</w:t>
            </w:r>
          </w:p>
        </w:tc>
        <w:tc>
          <w:tcPr>
            <w:tcW w:w="160" w:type="dxa"/>
            <w:vAlign w:val="bottom"/>
          </w:tcPr>
          <w:p>
            <w:pPr>
              <w:spacing w:after="0"/>
              <w:rPr>
                <w:sz w:val="12"/>
                <w:szCs w:val="12"/>
                <w:color w:val="auto"/>
              </w:rPr>
            </w:pP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amount excluded from</w:t>
            </w:r>
          </w:p>
        </w:tc>
        <w:tc>
          <w:tcPr>
            <w:tcW w:w="1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(effective portion)</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(effective portion)</w:t>
            </w:r>
          </w:p>
        </w:tc>
        <w:tc>
          <w:tcPr>
            <w:tcW w:w="160" w:type="dxa"/>
            <w:vAlign w:val="bottom"/>
          </w:tcPr>
          <w:p>
            <w:pPr>
              <w:spacing w:after="0"/>
              <w:rPr>
                <w:sz w:val="16"/>
                <w:szCs w:val="16"/>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effectiveness testing)</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recognized in income</w:t>
            </w:r>
          </w:p>
        </w:tc>
        <w:tc>
          <w:tcPr>
            <w:tcW w:w="0" w:type="dxa"/>
            <w:vAlign w:val="bottom"/>
          </w:tcPr>
          <w:p>
            <w:pPr>
              <w:spacing w:after="0"/>
              <w:rPr>
                <w:sz w:val="1"/>
                <w:szCs w:val="1"/>
                <w:color w:val="auto"/>
              </w:rPr>
            </w:pPr>
          </w:p>
        </w:tc>
      </w:tr>
      <w:tr>
        <w:trPr>
          <w:trHeight w:val="250"/>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cash flow hedging instruments: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8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derivatives designated as hedging instruments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discloses the effect of Remy's derivative instruments for the six months ended June 30, 2013 (in millions):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Amount of gain (loss)</w:t>
            </w:r>
          </w:p>
        </w:tc>
        <w:tc>
          <w:tcPr>
            <w:tcW w:w="160" w:type="dxa"/>
            <w:vAlign w:val="bottom"/>
          </w:tcPr>
          <w:p>
            <w:pPr>
              <w:spacing w:after="0"/>
              <w:rPr>
                <w:sz w:val="14"/>
                <w:szCs w:val="14"/>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Amount of gain (loss)</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6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Amount of gain (loss)</w:t>
            </w:r>
          </w:p>
        </w:tc>
        <w:tc>
          <w:tcPr>
            <w:tcW w:w="15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reclassified from</w:t>
            </w:r>
          </w:p>
        </w:tc>
        <w:tc>
          <w:tcPr>
            <w:tcW w:w="160" w:type="dxa"/>
            <w:vAlign w:val="bottom"/>
          </w:tcPr>
          <w:p>
            <w:pPr>
              <w:spacing w:after="0"/>
              <w:rPr>
                <w:sz w:val="12"/>
                <w:szCs w:val="12"/>
                <w:color w:val="auto"/>
              </w:rPr>
            </w:pPr>
          </w:p>
        </w:tc>
        <w:tc>
          <w:tcPr>
            <w:tcW w:w="1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(ineffective portion and</w:t>
            </w:r>
          </w:p>
        </w:tc>
        <w:tc>
          <w:tcPr>
            <w:tcW w:w="180" w:type="dxa"/>
            <w:vAlign w:val="bottom"/>
          </w:tcPr>
          <w:p>
            <w:pPr>
              <w:spacing w:after="0"/>
              <w:rPr>
                <w:sz w:val="12"/>
                <w:szCs w:val="12"/>
                <w:color w:val="auto"/>
              </w:rPr>
            </w:pPr>
          </w:p>
        </w:tc>
        <w:tc>
          <w:tcPr>
            <w:tcW w:w="12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9"/>
              </w:rPr>
              <w:t>Amount of gain</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recognized in AOCI</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AOCI into income</w:t>
            </w:r>
          </w:p>
        </w:tc>
        <w:tc>
          <w:tcPr>
            <w:tcW w:w="160" w:type="dxa"/>
            <w:vAlign w:val="bottom"/>
          </w:tcPr>
          <w:p>
            <w:pPr>
              <w:spacing w:after="0"/>
              <w:rPr>
                <w:sz w:val="12"/>
                <w:szCs w:val="12"/>
                <w:color w:val="auto"/>
              </w:rPr>
            </w:pP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amount excluded from</w:t>
            </w:r>
          </w:p>
        </w:tc>
        <w:tc>
          <w:tcPr>
            <w:tcW w:w="1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(effective portion)</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(effective portion)</w:t>
            </w:r>
          </w:p>
        </w:tc>
        <w:tc>
          <w:tcPr>
            <w:tcW w:w="160" w:type="dxa"/>
            <w:vAlign w:val="bottom"/>
          </w:tcPr>
          <w:p>
            <w:pPr>
              <w:spacing w:after="0"/>
              <w:rPr>
                <w:sz w:val="16"/>
                <w:szCs w:val="16"/>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effectiveness testing)</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recognized in income</w:t>
            </w:r>
          </w:p>
        </w:tc>
        <w:tc>
          <w:tcPr>
            <w:tcW w:w="0" w:type="dxa"/>
            <w:vAlign w:val="bottom"/>
          </w:tcPr>
          <w:p>
            <w:pPr>
              <w:spacing w:after="0"/>
              <w:rPr>
                <w:sz w:val="1"/>
                <w:szCs w:val="1"/>
                <w:color w:val="auto"/>
              </w:rPr>
            </w:pPr>
          </w:p>
        </w:tc>
      </w:tr>
      <w:tr>
        <w:trPr>
          <w:trHeight w:val="250"/>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cash flow hedging instruments: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8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derivatives designated as hedging instruments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594"/>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43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r>
              <w:rPr>
                <w:rFonts w:ascii="Arial" w:cs="Arial" w:eastAsia="Arial" w:hAnsi="Arial"/>
                <w:sz w:val="18"/>
                <w:szCs w:val="18"/>
                <w:b w:val="1"/>
                <w:bCs w:val="1"/>
                <w:color w:val="auto"/>
              </w:rPr>
              <w:t>Note E —Notes Payable</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24"/>
        </w:trPr>
        <w:tc>
          <w:tcPr>
            <w:tcW w:w="8320" w:type="dxa"/>
            <w:vAlign w:val="bottom"/>
          </w:tcPr>
          <w:p>
            <w:pPr>
              <w:ind w:left="280"/>
              <w:spacing w:after="0"/>
              <w:rPr>
                <w:sz w:val="20"/>
                <w:szCs w:val="20"/>
                <w:color w:val="auto"/>
              </w:rPr>
            </w:pPr>
            <w:r>
              <w:rPr>
                <w:rFonts w:ascii="Arial" w:cs="Arial" w:eastAsia="Arial" w:hAnsi="Arial"/>
                <w:sz w:val="18"/>
                <w:szCs w:val="18"/>
                <w:color w:val="auto"/>
              </w:rPr>
              <w:t>Notes payable consists of the following:</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0"/>
        </w:trPr>
        <w:tc>
          <w:tcPr>
            <w:tcW w:w="8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2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(In millions)</w:t>
            </w:r>
          </w:p>
        </w:tc>
      </w:tr>
      <w:tr>
        <w:trPr>
          <w:trHeight w:val="270"/>
        </w:trPr>
        <w:tc>
          <w:tcPr>
            <w:tcW w:w="8320" w:type="dxa"/>
            <w:vAlign w:val="bottom"/>
          </w:tcPr>
          <w:p>
            <w:pPr>
              <w:ind w:left="40"/>
              <w:spacing w:after="0"/>
              <w:rPr>
                <w:sz w:val="20"/>
                <w:szCs w:val="20"/>
                <w:color w:val="auto"/>
              </w:rPr>
            </w:pPr>
            <w:r>
              <w:rPr>
                <w:rFonts w:ascii="Arial" w:cs="Arial" w:eastAsia="Arial" w:hAnsi="Arial"/>
                <w:sz w:val="18"/>
                <w:szCs w:val="18"/>
                <w:color w:val="auto"/>
              </w:rPr>
              <w:t>Unsecured notes, net of discount, interest payable semi-annually at 5.50%, due September 2022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398</w:t>
            </w: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Unsecured convertible notes, net of discount, interest payable semi-annually at 4.25%, due August 2018</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Unsecured notes, net of discount, interest payable semi-annually at 6.60%, due May 2017</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300</w:t>
            </w: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Revolving Credit Facility, unsecured, unused portion of $800 at June 30, 2013, due July 2018 with interest</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payable monthly at LIBOR + 1.45% (1.64% at June 30, 2013)</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Remy Term B Loan, interest payable quarterly at LIBOR (floor of 1.75%) + 4.50%, due December 2016</w:t>
            </w:r>
          </w:p>
        </w:tc>
        <w:tc>
          <w:tcPr>
            <w:tcW w:w="2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259</w:t>
            </w: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Remy Amended and Restated Term B Loan, interest payable quarterly at LIBOR (floor of 1.25%) + 3.00%</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(4.25% at June 30, 2013), due March 2020</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9"/>
        </w:trPr>
        <w:tc>
          <w:tcPr>
            <w:tcW w:w="8320" w:type="dxa"/>
            <w:vAlign w:val="bottom"/>
          </w:tcPr>
          <w:p>
            <w:pPr>
              <w:ind w:left="40"/>
              <w:spacing w:after="0"/>
              <w:rPr>
                <w:sz w:val="20"/>
                <w:szCs w:val="20"/>
                <w:color w:val="auto"/>
              </w:rPr>
            </w:pPr>
            <w:r>
              <w:rPr>
                <w:rFonts w:ascii="Arial" w:cs="Arial" w:eastAsia="Arial" w:hAnsi="Arial"/>
                <w:sz w:val="18"/>
                <w:szCs w:val="18"/>
                <w:color w:val="auto"/>
                <w:w w:val="97"/>
              </w:rPr>
              <w:t>Remy Revolving Credit Facility, unused portion of $79 at June 30, 2013, due September 2018 with interest</w:t>
            </w:r>
          </w:p>
        </w:tc>
        <w:tc>
          <w:tcPr>
            <w:tcW w:w="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8320" w:type="dxa"/>
            <w:vAlign w:val="bottom"/>
          </w:tcPr>
          <w:p>
            <w:pPr>
              <w:ind w:left="40"/>
              <w:spacing w:after="0"/>
              <w:rPr>
                <w:sz w:val="20"/>
                <w:szCs w:val="20"/>
                <w:color w:val="auto"/>
              </w:rPr>
            </w:pPr>
            <w:r>
              <w:rPr>
                <w:rFonts w:ascii="Arial" w:cs="Arial" w:eastAsia="Arial" w:hAnsi="Arial"/>
                <w:sz w:val="18"/>
                <w:szCs w:val="18"/>
                <w:color w:val="auto"/>
              </w:rPr>
              <w:t>payable monthly at base rate 3.25% + base rate margin .50% (3.75% at June 30, 2013)</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Restaurant Group Term Loan, interest payable monthly at LIBOR + 3.50% (3.69% at June 30, 2013), due May</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r>
      <w:tr>
        <w:trPr>
          <w:trHeight w:val="23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9"/>
        </w:trPr>
        <w:tc>
          <w:tcPr>
            <w:tcW w:w="8320" w:type="dxa"/>
            <w:vAlign w:val="bottom"/>
          </w:tcPr>
          <w:p>
            <w:pPr>
              <w:ind w:left="40"/>
              <w:spacing w:after="0"/>
              <w:rPr>
                <w:sz w:val="20"/>
                <w:szCs w:val="20"/>
                <w:color w:val="auto"/>
              </w:rPr>
            </w:pPr>
            <w:r>
              <w:rPr>
                <w:rFonts w:ascii="Arial" w:cs="Arial" w:eastAsia="Arial" w:hAnsi="Arial"/>
                <w:sz w:val="18"/>
                <w:szCs w:val="18"/>
                <w:color w:val="auto"/>
                <w:w w:val="92"/>
              </w:rPr>
              <w:t>Restaurant Group Revolving Credit Facility, unused portion of $61 at June 30, 2013, due May 2017 with interest</w:t>
            </w:r>
          </w:p>
        </w:tc>
        <w:tc>
          <w:tcPr>
            <w:tcW w:w="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8320" w:type="dxa"/>
            <w:vAlign w:val="bottom"/>
          </w:tcPr>
          <w:p>
            <w:pPr>
              <w:ind w:left="40"/>
              <w:spacing w:after="0"/>
              <w:rPr>
                <w:sz w:val="20"/>
                <w:szCs w:val="20"/>
                <w:color w:val="auto"/>
              </w:rPr>
            </w:pPr>
            <w:r>
              <w:rPr>
                <w:rFonts w:ascii="Arial" w:cs="Arial" w:eastAsia="Arial" w:hAnsi="Arial"/>
                <w:sz w:val="18"/>
                <w:szCs w:val="18"/>
                <w:color w:val="auto"/>
              </w:rPr>
              <w:t>payable monthly at base rate 3.25% + base rate margin 2.50% (5.75% at June 30, 2013)</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r>
      <w:tr>
        <w:trPr>
          <w:trHeight w:val="237"/>
        </w:trPr>
        <w:tc>
          <w:tcPr>
            <w:tcW w:w="83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1,344</w:t>
            </w:r>
          </w:p>
        </w:tc>
      </w:tr>
      <w:tr>
        <w:trPr>
          <w:trHeight w:val="27"/>
        </w:trPr>
        <w:tc>
          <w:tcPr>
            <w:tcW w:w="8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At June 30, 2013, the estimated fair value of our long-term debt was approximately $1,490 million or $145 million higher than its carrying value. The fair value of our long-term debt at December 31, 2012 was approximately $1,504 million or $160 million higher than its estimated carrying value. The fair value of our unsecured notes payable was $1,126 million as of June 30, 2013. The fair values of our unsecured notes payable are based on established market prices for the securities on June 30, 2013 and are considered Level 2 financial liabilities. The fair value of our Remy Term Loan was $269 million, based on established market prices for the securities on June 30, 2013 and is considered a Level 2 financial liability. The fair value of our Restaurant Group Term Loan was $69 million, based on established market prices for the securities on June 30, 2013 and is considered a Level 2 financial liability.</w:t>
      </w:r>
    </w:p>
    <w:p>
      <w:pPr>
        <w:spacing w:after="0" w:line="16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July 11, 2013, we entered into a term loan credit agreement with Bank of America, N.A., as administrative agent (in such capacity, the “TL Administrative Agent”), the lenders party thereto and the other agents party thereto (the “Term Loan Agreement”). The Term Loan Agreement permits us to borrow up to $1.1 billion to fund the Acquisition of LPS. The term loans under the Term Loan Agreement mature on the date that is five years from the funding date of the term loans under the Term Loan Agreement. Term loans under the Term Loan Agreement generally bear interest at a variable rate based on either (i) the base rate (which is the highest of (a) one-half of one percent in excess of the federal funds rate, (b) the TL Administrative Agent’s “prime rate”, or (c) the sum of one percent plus one-month LIBOR) plus a margin of between 50 basis points and 100 basis points depending on the senior unsecured long-term debt ratings of FNF or (ii) LIBOR plus a margin of between 150 basis points and 200 basis points depending on the senior unsecured long-term debt ratings of FNF. Based on our current Moody’s and Standard &amp; Poor’s senior unsecured long-term debt ratings of Baa3/BBB-, respectively, the applicable margin for revolving loans subject to LIBOR is 175 basis points over LIBOR. In addition, we will pay an unused commitment fee of 25 basis points on the entire term loan facility until the earlier of the termination of the term loan commitments or the funding of the term loans. Under the Term Loan Agreement, we are subject to customary affirmative, negative and financial covenants, including, among other things, limits on the creation of liens, limits on the incurrence of indebtedness, restrictions on investments, dispositions and transactions with affiliates, limitations on dividends and other restricted payments, a minimum net worth and a maximum debt to capitalization ratio. The Term Loan Agreement also includes customary events of default for facilities of this type (with customary grace periods, as applicable) and provides that, if an event of default occurs and is continuing, the interest rate on all outstanding obligations may be increased, payments of all outstanding term loans may be accelerated and/or the lenders’ commitments may be terminated. In addition, upon the occurrence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certain insolvency or bankruptcy related events of default, all amounts payable under the Term Loan Agreement shall automatically become immediately due and payable, and the lenders’ commitments will automatically terminate. Under the Term Loan Agreement the financial covenants are the same as under the Restated Credit Agreement.</w:t>
      </w:r>
    </w:p>
    <w:p>
      <w:pPr>
        <w:spacing w:after="0" w:line="73"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June 25, 2013, we entered into an agreement to amend and restate our existing $800 million second amended and restated credit agreement (the “Existing Credit Agreement”), dated as of April 16, 2012 with Bank of America, N.A., as administrative agent (in such capacity, the “Administrative Agent”) and the other agents party thereto (the “Restated Credit Agreement”). Among other changes, the Restated Credit Agreement amends the Existing Credit Agreement to permit us to make a borrowing under the Restated Credit Agreement to finance a portion of the acquisition of LPS (the “Acquisition”) on a “limited conditionality” basis, incorporates other technical changes to permit us to enter into the Acquisition and extends the maturity of the Existing Credit Agreement. The lenders under the Existing Credit Agreement have agreed to extend the maturity date of their commitments under the credit facility from April 16, 2016 to July 15, 2018 under the Restated Credit Agreement. Revolving loans under the credit facility generally bear interest at a variable rate based on either (i) the base rate (which is the highest of (a) one-half of one percent in excess of the federal funds rate, (b) the Administrative Agent's “prime rate”, or (c) the sum of one percent plus one-month LIBOR) plus a margin of between 32.5 and 60 basis points depending on the senior unsecured long-term debt ratings of FNF or (ii) LIBOR plus a margin of between 132.5 and 160 basis points depending on the senior unsecured long-term debt ratings of FNF. Based on our current Moody’s and Standard &amp; Poor’s senior unsecured long-term debt ratings of Baa3/BBB-, respectively, the applicable margin for revolving loans subject to LIBOR is 145 basis points. In addition, we will pay an unused commitment fee of between 17.5 and 40 basis points on the entire facility, also depending on our senior unsecured long-term debt ratings. Under the Restated Credit Agreement, we are subject to customary affirmative, negative and financial covenants, including, among other things, limits on the creation of liens, limits on the incurrence of indebtedness, restrictions on investments, dispositions and transactions with affiliates, limitations on dividends and other restricted payments, a minimum net worth and a maximum debt to capitalization ratio. The Restated Credit Agreement also includes customary events of default for facilities of this type (with customary grace periods, as applicable) and provides that, if an event of default occurs and is continuing, the interest rate on all outstanding obligations may be increased, payments of all outstanding loans may be accelerated and/or the lenders' commitments may be terminated. In addition, upon the occurrence of certain insolvency or bankruptcy related events of default, all amounts payable under the Restated Credit Agreement shall automatically become immediately due and payable, and the lenders' commitments will automatically terminate. Under the Restated Credit Agreement the financial covenants remain essentially the same as under the Existing Credit Agreement, except that the total debt to total capitalization ratio limit of 35% will increase to 37.5% for a period of one year after the closing of the Acquisition and the net worth test was reset.</w:t>
      </w:r>
    </w:p>
    <w:p>
      <w:pPr>
        <w:spacing w:after="0" w:line="39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March 5, 2013, Remy entered into a First Amendment to its existing five year Asset-Based Revolving Credit Facility (the "Remy Credit Facility" and "Remy Credit Facility First Amendment") to extend the maturity date of the Remy Credit Facility from December 17, 2015 to September 5, 2018 and reduce the interest rate. The Remy Credit Facility now bears interest at a defined Base Rate plus 0.50%-1.00% per year or, at Remy's election, at an applicable LIBOR Rate plus 1.50%-2.00% per year and is paid monthly. The Remy Credit Facility First Amendment maintains the current maximum availability at $95 million, which may be increased, under certain circumstances, by $20 million, though the actual amount that may be borrowed is based on the amount of collateral. The Remy Credit Facility is secured by substantially all domestic accounts receivable and inventory held by Remy. Remy will incur an unused commitment fee of 0.375% on the unused amount of commitments under the Remy Credit Facility First Amendment. At June 30, 2013, the Remy Credit Facility balance was zero. Based upon the collateral supporting the Remy Credit Facility, the amount borrowed, and the outstanding letters of credit of $3 million, there was additional availability for borrowing of $79 million on June 30, 2013. The Remy Credit Facility contains various restrictive covenants, which include, among other things: (i) a maximum leverage ratio, decreasing over the term of the facility; (ii) a minimum interest coverage ratio, increasing over the term of the facility; (iii) mandatory prepayments upon certain asset sales and debt issuances; (iv) requirements for minimum liquidity; and (v) limitations on the payment of dividends in excess of a specified amount.</w:t>
      </w:r>
    </w:p>
    <w:p>
      <w:pPr>
        <w:spacing w:after="0" w:line="7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March 5, 2013, Remy entered into a $300 million Amended and Restated Term B Loan Credit Agreement ("Term B Amendment") to refinance the existing $287 million Term B Loan, extend the maturity from December 17, 2016 to March 5, 2020, and reduce the interest rate. The Term B Amendment now bears interest at LIBOR (subject to a floor of 1.25%) plus 3% per year, with an original issue discount of approximately $1 million. The Term B Amendment also contains an option to increase the borrowing provided certain conditions are satisfied, including maintaining a maximum leverage ratio. The Term B Amendment is secured by a first priority lien on the stock of Remy's subsidiaries and substantially all domestic assets other than accounts receivable and inventory pledged to the Remy Credit Facility. Principal payments in the amount of approximately $1 million are due at the end of each calendar quarter with termination and final payment no later than March 5, 2020. The Term B Amendment also includes covenants and events of default customary for a facility of this type, including a cross-default provision under which the lenders may declare the loan in default if Remy (i) fails to make a payment when due under any debt having a principal amount greater than $5 million or (ii) breaches any other covenant in any such debt as a result of which the holders of such debt are permitted to</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accelerate its maturity. Remy is in compliance with all covenants as of June 30, 2013. The Term B Loan is subject to an excess cash calculation which may require the payment of additional principal on an annual basis. At June 30, 2013, the average borrowing rate, including the impact of the interest rate swaps, was 4.25%.</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020" w:type="dxa"/>
            <w:vAlign w:val="bottom"/>
          </w:tcPr>
          <w:p>
            <w:pPr>
              <w:ind w:left="300"/>
              <w:spacing w:after="0"/>
              <w:rPr>
                <w:sz w:val="20"/>
                <w:szCs w:val="20"/>
                <w:color w:val="auto"/>
              </w:rPr>
            </w:pPr>
            <w:r>
              <w:rPr>
                <w:rFonts w:ascii="Arial" w:cs="Arial" w:eastAsia="Arial" w:hAnsi="Arial"/>
                <w:sz w:val="18"/>
                <w:szCs w:val="18"/>
                <w:color w:val="auto"/>
              </w:rPr>
              <w:t>Gross principal maturities of notes payable at June 30, 2013 are as follows (in millions):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10020" w:type="dxa"/>
            <w:vAlign w:val="bottom"/>
          </w:tcPr>
          <w:p>
            <w:pPr>
              <w:ind w:left="20"/>
              <w:spacing w:after="0"/>
              <w:rPr>
                <w:sz w:val="20"/>
                <w:szCs w:val="20"/>
                <w:color w:val="auto"/>
              </w:rPr>
            </w:pPr>
            <w:r>
              <w:rPr>
                <w:rFonts w:ascii="Arial" w:cs="Arial" w:eastAsia="Arial" w:hAnsi="Arial"/>
                <w:sz w:val="18"/>
                <w:szCs w:val="18"/>
                <w:color w:val="auto"/>
              </w:rPr>
              <w:t>2013</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2015</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340</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w:t>
            </w:r>
          </w:p>
        </w:tc>
      </w:tr>
      <w:tr>
        <w:trPr>
          <w:trHeight w:val="237"/>
        </w:trPr>
        <w:tc>
          <w:tcPr>
            <w:tcW w:w="100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1,363</w:t>
            </w:r>
          </w:p>
        </w:tc>
      </w:tr>
      <w:tr>
        <w:trPr>
          <w:trHeight w:val="27"/>
        </w:trPr>
        <w:tc>
          <w:tcPr>
            <w:tcW w:w="100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10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Contingencies</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the ordinary course of business, we are involved in various pending and threatened litigation matters related to our title operations, some of which include claims for punitive or exemplary damages. This customary litigation includes but is not limited to a wide variety of cases arising out of or related to title and escrow claims, for which we make provisions through our loss reserves. Additionally, like other insurance companies, our ordinary course litigation includes a number of class action and purported class action lawsuits, which make allegations related to aspects of our insurance operations. We believe that no actions, other than the matter discussed below, depart from customary litigation incidental to our insurance business.</w:t>
      </w:r>
    </w:p>
    <w:p>
      <w:pPr>
        <w:spacing w:after="0" w:line="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Remy is a defendant from time to time in various legal proceedings arising in the ordinary course of business, including claims relating to commercial transactions, product liability, safety, health, taxes, environmental, intellectual property and other matters.</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and claims from guests or employees alleging illness, injury or other food quality, health or operational concerns.</w:t>
      </w:r>
    </w:p>
    <w:p>
      <w:pPr>
        <w:spacing w:after="0" w:line="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where it has been determined that a loss is both probable and reasonably estimable, a liability based on known facts and which represents our best estimate has been recorded. None of the amounts we have currently recorded are considered to be individually or in the aggregate material to our financial condition. Actual losses may materially differ from the amounts recorded and the ultimate outcome of our pending cases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4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Two class action complaints titled </w:t>
      </w:r>
      <w:r>
        <w:rPr>
          <w:rFonts w:ascii="Arial" w:cs="Arial" w:eastAsia="Arial" w:hAnsi="Arial"/>
          <w:sz w:val="16"/>
          <w:szCs w:val="16"/>
          <w:i w:val="1"/>
          <w:iCs w:val="1"/>
          <w:color w:val="auto"/>
        </w:rPr>
        <w:t>Chultem v. Ticor Title Insurance Co., Chicago Title and Trust, Co., and Fidelity National Financial, Inc</w:t>
      </w:r>
      <w:r>
        <w:rPr>
          <w:rFonts w:ascii="Arial" w:cs="Arial" w:eastAsia="Arial" w:hAnsi="Arial"/>
          <w:sz w:val="16"/>
          <w:szCs w:val="16"/>
          <w:color w:val="auto"/>
        </w:rPr>
        <w:t xml:space="preserve"> and </w:t>
      </w:r>
      <w:r>
        <w:rPr>
          <w:rFonts w:ascii="Arial" w:cs="Arial" w:eastAsia="Arial" w:hAnsi="Arial"/>
          <w:sz w:val="16"/>
          <w:szCs w:val="16"/>
          <w:i w:val="1"/>
          <w:iCs w:val="1"/>
          <w:color w:val="auto"/>
        </w:rPr>
        <w:t>Colella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Chicago Title Insurance Co. and Chicago Title and Trust Co. </w:t>
      </w:r>
      <w:r>
        <w:rPr>
          <w:rFonts w:ascii="Arial" w:cs="Arial" w:eastAsia="Arial" w:hAnsi="Arial"/>
          <w:sz w:val="16"/>
          <w:szCs w:val="16"/>
          <w:color w:val="auto"/>
        </w:rPr>
        <w:t>are pending in the Illinois state court against Chicago Title Insurance Company (“Chicago”),</w:t>
      </w:r>
      <w:r>
        <w:rPr>
          <w:rFonts w:ascii="Arial" w:cs="Arial" w:eastAsia="Arial" w:hAnsi="Arial"/>
          <w:sz w:val="16"/>
          <w:szCs w:val="16"/>
          <w:i w:val="1"/>
          <w:iCs w:val="1"/>
          <w:color w:val="auto"/>
        </w:rPr>
        <w:t xml:space="preserve"> </w:t>
      </w:r>
      <w:r>
        <w:rPr>
          <w:rFonts w:ascii="Arial" w:cs="Arial" w:eastAsia="Arial" w:hAnsi="Arial"/>
          <w:sz w:val="16"/>
          <w:szCs w:val="16"/>
          <w:color w:val="auto"/>
        </w:rPr>
        <w:t>Ticor Title Insurance Company (“Ticor”), Chicago Title and Trust Company, and Fidelity National Financial, Inc., their parent, (collectively “the Companies”). The Plaintiffs represent certified classes of all borrowers and sellers of residential real estate in Illinois who paid a premium for title insurance to Chicago and Ticor which was split with attorney agents for services which were performed in issuing the policies. The complaint alleges the Companies violated the Real Estate Settlement Procedures Act (RESPA) and by doing so violated the Illinois Title Insurance Act and the Illinois Consumer Fraud Act. The suit seeks compensatory damages in the amount of the premium split paid to the attorney agents, interest, punitive damages, a permanent injunction, attorney's fees and costs. Class certification was denied on May 26, 2009, but the plaintiffs appealed. The Court of Appeal reversed the previous decision and the case was remanded to the trial court for certification and subsequent proceedings. Although such premium splits with attorney agents are expressly permitted by RESPA, Plaintiffs alleged in the trial court that HUD took the position in a statement issued in 1996 in Florida that providing “pro forma commitments” to attorney agents that could be signed to create a policy without further examination would permit an agent to</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issue a policy without performing actual services, thus the agent would be paid only for referral of the business violating RESPA. Plaintiffs argued RESPA must be interpreted in accordance with the Florida statement, that Chicago and Ticor provided their attorney agents with “pro forma commitments”, and Chicago Title and Trust Company and Fidelity National Financial, Inc. are vicariously liable. Contrary to Federal precedent, on March 1, 2013 the trial court agreed with Plaintiffs and ruled RESPA must be interpreted in accordance with HUD's Florida statement, but that a trial is necessary to determine if Chicago and Ticor provided “pro forma commitments”. A trial has been set for September 3, 2013 to try “liability issues”, but not whether the class could be ascertained or class wide damages. The trial court has declared that after trial it will make a final, appealable judgment. We intend to vigorously defend this action. As the case continues to evolve it is not possible to reasonably estimate the probability that we will be ultimately held liable, or reasonably estimate the ultimate loss, if any, or range of loss that could result from the case.</w:t>
      </w:r>
    </w:p>
    <w:p>
      <w:pPr>
        <w:spacing w:after="0" w:line="1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Dividends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July 22, 2013, our Board of Directors declared cash dividends of $0.16 per share, payable on September 30, 2013, to shareholders of record as of September 16,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Segment Information</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Summarized financial information concerning our reportable segments is presented in the following tables. As a result of combining O'Charley's with our investment in ABRH, which increased our ownership of ABRH to 55%, we have consolidated the operations of ABRH, including the O'Charley's group of companies, and added the restaurant group reporting segment. Restaurant group results include the results of operations of O'Charley's beginning April 9, 2012, ABRH beginning May 11, 2012, and J. Alexander's beginning September 26, 2012. As a result of our increase in ownership of Remy to 51%, we have consolidated the operations of Remy and added the Remy reporting segment. Remy results include the results of operations of Remy beginning August 14, 2012. Prior period segment information has been restated to conform to the current segment presentation.</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June 30,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Fidelity</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70"/>
        </w:trPr>
        <w:tc>
          <w:tcPr>
            <w:tcW w:w="5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National</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Restaurant</w:t>
            </w:r>
          </w:p>
        </w:tc>
        <w:tc>
          <w:tcPr>
            <w:tcW w:w="180" w:type="dxa"/>
            <w:vAlign w:val="bottom"/>
          </w:tcPr>
          <w:p>
            <w:pPr>
              <w:spacing w:after="0"/>
              <w:rPr>
                <w:sz w:val="23"/>
                <w:szCs w:val="23"/>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03"/>
        </w:trPr>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Title Group</w:t>
            </w:r>
          </w:p>
        </w:tc>
        <w:tc>
          <w:tcPr>
            <w:tcW w:w="24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Remy</w:t>
            </w:r>
          </w:p>
        </w:tc>
        <w:tc>
          <w:tcPr>
            <w:tcW w:w="200" w:type="dxa"/>
            <w:vAlign w:val="bottom"/>
          </w:tcPr>
          <w:p>
            <w:pPr>
              <w:spacing w:after="0"/>
              <w:rPr>
                <w:sz w:val="17"/>
                <w:szCs w:val="17"/>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Group</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300" w:type="dxa"/>
            <w:vAlign w:val="bottom"/>
          </w:tcPr>
          <w:p>
            <w:pPr>
              <w:spacing w:after="0"/>
              <w:rPr>
                <w:sz w:val="17"/>
                <w:szCs w:val="17"/>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80"/>
        </w:trPr>
        <w:tc>
          <w:tcPr>
            <w:tcW w:w="50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184"/>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5"/>
        </w:trPr>
        <w:tc>
          <w:tcPr>
            <w:tcW w:w="5040" w:type="dxa"/>
            <w:vAlign w:val="bottom"/>
          </w:tcPr>
          <w:p>
            <w:pPr>
              <w:ind w:left="40"/>
              <w:spacing w:after="0"/>
              <w:rPr>
                <w:sz w:val="20"/>
                <w:szCs w:val="20"/>
                <w:color w:val="auto"/>
              </w:rPr>
            </w:pPr>
            <w:r>
              <w:rPr>
                <w:rFonts w:ascii="Arial" w:cs="Arial" w:eastAsia="Arial" w:hAnsi="Arial"/>
                <w:sz w:val="18"/>
                <w:szCs w:val="18"/>
                <w:color w:val="auto"/>
              </w:rPr>
              <w:t>Title premiums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1,117</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1,117</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Auto parts revenues</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284</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Restaurant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1,571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2,237</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Interest and investment income, including net realized gains and</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1,613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2,279</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 before income taxes and</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72</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 before equity in earnings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of unconsolidated 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from continuing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7,003</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10,015</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1,449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1,883</w:t>
            </w:r>
          </w:p>
        </w:tc>
      </w:tr>
      <w:tr>
        <w:trPr>
          <w:trHeight w:val="27"/>
        </w:trPr>
        <w:tc>
          <w:tcPr>
            <w:tcW w:w="50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June 30, 2012: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Fidelity</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70"/>
        </w:trPr>
        <w:tc>
          <w:tcPr>
            <w:tcW w:w="5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National</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Restaurant</w:t>
            </w:r>
          </w:p>
        </w:tc>
        <w:tc>
          <w:tcPr>
            <w:tcW w:w="180" w:type="dxa"/>
            <w:vAlign w:val="bottom"/>
          </w:tcPr>
          <w:p>
            <w:pPr>
              <w:spacing w:after="0"/>
              <w:rPr>
                <w:sz w:val="23"/>
                <w:szCs w:val="23"/>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03"/>
        </w:trPr>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Title Group</w:t>
            </w:r>
          </w:p>
        </w:tc>
        <w:tc>
          <w:tcPr>
            <w:tcW w:w="24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Remy</w:t>
            </w:r>
          </w:p>
        </w:tc>
        <w:tc>
          <w:tcPr>
            <w:tcW w:w="200" w:type="dxa"/>
            <w:vAlign w:val="bottom"/>
          </w:tcPr>
          <w:p>
            <w:pPr>
              <w:spacing w:after="0"/>
              <w:rPr>
                <w:sz w:val="17"/>
                <w:szCs w:val="17"/>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Group</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300" w:type="dxa"/>
            <w:vAlign w:val="bottom"/>
          </w:tcPr>
          <w:p>
            <w:pPr>
              <w:spacing w:after="0"/>
              <w:rPr>
                <w:sz w:val="17"/>
                <w:szCs w:val="17"/>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80"/>
        </w:trPr>
        <w:tc>
          <w:tcPr>
            <w:tcW w:w="50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184"/>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5"/>
        </w:trPr>
        <w:tc>
          <w:tcPr>
            <w:tcW w:w="5040" w:type="dxa"/>
            <w:vAlign w:val="bottom"/>
          </w:tcPr>
          <w:p>
            <w:pPr>
              <w:ind w:left="40"/>
              <w:spacing w:after="0"/>
              <w:rPr>
                <w:sz w:val="20"/>
                <w:szCs w:val="20"/>
                <w:color w:val="auto"/>
              </w:rPr>
            </w:pPr>
            <w:r>
              <w:rPr>
                <w:rFonts w:ascii="Arial" w:cs="Arial" w:eastAsia="Arial" w:hAnsi="Arial"/>
                <w:sz w:val="18"/>
                <w:szCs w:val="18"/>
                <w:color w:val="auto"/>
              </w:rPr>
              <w:t>Title premiums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944</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Restaurant revenues</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253</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1,624</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w w:val="92"/>
              </w:rPr>
              <w:t>Interest and investment income, including realized gains and losses</w:t>
            </w: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103</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1,727</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29"/>
        </w:trPr>
        <w:tc>
          <w:tcPr>
            <w:tcW w:w="5040" w:type="dxa"/>
            <w:vAlign w:val="bottom"/>
          </w:tcPr>
          <w:p>
            <w:pPr>
              <w:ind w:left="40"/>
              <w:spacing w:after="0"/>
              <w:rPr>
                <w:sz w:val="20"/>
                <w:szCs w:val="20"/>
                <w:color w:val="auto"/>
              </w:rPr>
            </w:pPr>
            <w:r>
              <w:rPr>
                <w:rFonts w:ascii="Arial" w:cs="Arial" w:eastAsia="Arial" w:hAnsi="Arial"/>
                <w:sz w:val="18"/>
                <w:szCs w:val="18"/>
                <w:color w:val="auto"/>
                <w:w w:val="92"/>
              </w:rPr>
              <w:t>Earnings (loss) from continuing operations before income taxes and</w:t>
            </w:r>
          </w:p>
        </w:tc>
        <w:tc>
          <w:tcPr>
            <w:tcW w:w="16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219</w:t>
            </w: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r>
      <w:tr>
        <w:trPr>
          <w:trHeight w:val="209"/>
        </w:trPr>
        <w:tc>
          <w:tcPr>
            <w:tcW w:w="5040" w:type="dxa"/>
            <w:vAlign w:val="bottom"/>
          </w:tcPr>
          <w:p>
            <w:pPr>
              <w:ind w:left="40"/>
              <w:spacing w:after="0"/>
              <w:rPr>
                <w:sz w:val="20"/>
                <w:szCs w:val="20"/>
                <w:color w:val="auto"/>
              </w:rPr>
            </w:pPr>
            <w:r>
              <w:rPr>
                <w:rFonts w:ascii="Arial" w:cs="Arial" w:eastAsia="Arial" w:hAnsi="Arial"/>
                <w:sz w:val="18"/>
                <w:szCs w:val="18"/>
                <w:color w:val="auto"/>
                <w:w w:val="92"/>
              </w:rPr>
              <w:t>Earnings (loss) from continuing operations before equity in earnings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w:t>
            </w: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(loss) of unconsolidated affiliates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Earnings (loss) from continuing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140</w:t>
            </w: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6,888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8,513</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1,443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1,569</w:t>
            </w:r>
          </w:p>
        </w:tc>
      </w:tr>
      <w:tr>
        <w:trPr>
          <w:trHeight w:val="486"/>
        </w:trPr>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31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six months ended June 30,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Fidelity</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70"/>
        </w:trPr>
        <w:tc>
          <w:tcPr>
            <w:tcW w:w="5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National</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Restaurant</w:t>
            </w:r>
          </w:p>
        </w:tc>
        <w:tc>
          <w:tcPr>
            <w:tcW w:w="180" w:type="dxa"/>
            <w:vAlign w:val="bottom"/>
          </w:tcPr>
          <w:p>
            <w:pPr>
              <w:spacing w:after="0"/>
              <w:rPr>
                <w:sz w:val="23"/>
                <w:szCs w:val="23"/>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03"/>
        </w:trPr>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Title Group</w:t>
            </w:r>
          </w:p>
        </w:tc>
        <w:tc>
          <w:tcPr>
            <w:tcW w:w="24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Remy</w:t>
            </w:r>
          </w:p>
        </w:tc>
        <w:tc>
          <w:tcPr>
            <w:tcW w:w="200" w:type="dxa"/>
            <w:vAlign w:val="bottom"/>
          </w:tcPr>
          <w:p>
            <w:pPr>
              <w:spacing w:after="0"/>
              <w:rPr>
                <w:sz w:val="17"/>
                <w:szCs w:val="17"/>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Group</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300" w:type="dxa"/>
            <w:vAlign w:val="bottom"/>
          </w:tcPr>
          <w:p>
            <w:pPr>
              <w:spacing w:after="0"/>
              <w:rPr>
                <w:sz w:val="17"/>
                <w:szCs w:val="17"/>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80"/>
        </w:trPr>
        <w:tc>
          <w:tcPr>
            <w:tcW w:w="50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184"/>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5"/>
        </w:trPr>
        <w:tc>
          <w:tcPr>
            <w:tcW w:w="5040" w:type="dxa"/>
            <w:vAlign w:val="bottom"/>
          </w:tcPr>
          <w:p>
            <w:pPr>
              <w:ind w:left="40"/>
              <w:spacing w:after="0"/>
              <w:rPr>
                <w:sz w:val="20"/>
                <w:szCs w:val="20"/>
                <w:color w:val="auto"/>
              </w:rPr>
            </w:pPr>
            <w:r>
              <w:rPr>
                <w:rFonts w:ascii="Arial" w:cs="Arial" w:eastAsia="Arial" w:hAnsi="Arial"/>
                <w:sz w:val="18"/>
                <w:szCs w:val="18"/>
                <w:color w:val="auto"/>
              </w:rPr>
              <w:t>Title premiums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2,054</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2,054</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924</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Auto parts revenues</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568</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Restaurant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2,915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4,247</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Interest and investment income, including realized gains and losses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2,990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4,320</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 before income taxes and</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360</w:t>
            </w: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118</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 before equity in earnings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of unconsolidated 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from continuing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7,003</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10,015</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1,883</w:t>
            </w:r>
          </w:p>
        </w:tc>
      </w:tr>
      <w:tr>
        <w:trPr>
          <w:trHeight w:val="459"/>
        </w:trPr>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31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six months ended June 30, 2012: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Fidelity</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70"/>
        </w:trPr>
        <w:tc>
          <w:tcPr>
            <w:tcW w:w="5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National</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Restaurant</w:t>
            </w:r>
          </w:p>
        </w:tc>
        <w:tc>
          <w:tcPr>
            <w:tcW w:w="180" w:type="dxa"/>
            <w:vAlign w:val="bottom"/>
          </w:tcPr>
          <w:p>
            <w:pPr>
              <w:spacing w:after="0"/>
              <w:rPr>
                <w:sz w:val="23"/>
                <w:szCs w:val="23"/>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03"/>
        </w:trPr>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Title Group</w:t>
            </w:r>
          </w:p>
        </w:tc>
        <w:tc>
          <w:tcPr>
            <w:tcW w:w="24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Remy</w:t>
            </w:r>
          </w:p>
        </w:tc>
        <w:tc>
          <w:tcPr>
            <w:tcW w:w="200" w:type="dxa"/>
            <w:vAlign w:val="bottom"/>
          </w:tcPr>
          <w:p>
            <w:pPr>
              <w:spacing w:after="0"/>
              <w:rPr>
                <w:sz w:val="17"/>
                <w:szCs w:val="17"/>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Group</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300" w:type="dxa"/>
            <w:vAlign w:val="bottom"/>
          </w:tcPr>
          <w:p>
            <w:pPr>
              <w:spacing w:after="0"/>
              <w:rPr>
                <w:sz w:val="17"/>
                <w:szCs w:val="17"/>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80"/>
        </w:trPr>
        <w:tc>
          <w:tcPr>
            <w:tcW w:w="50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184"/>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5"/>
        </w:trPr>
        <w:tc>
          <w:tcPr>
            <w:tcW w:w="5040" w:type="dxa"/>
            <w:vAlign w:val="bottom"/>
          </w:tcPr>
          <w:p>
            <w:pPr>
              <w:ind w:left="40"/>
              <w:spacing w:after="0"/>
              <w:rPr>
                <w:sz w:val="20"/>
                <w:szCs w:val="20"/>
                <w:color w:val="auto"/>
              </w:rPr>
            </w:pPr>
            <w:r>
              <w:rPr>
                <w:rFonts w:ascii="Arial" w:cs="Arial" w:eastAsia="Arial" w:hAnsi="Arial"/>
                <w:sz w:val="18"/>
                <w:szCs w:val="18"/>
                <w:color w:val="auto"/>
              </w:rPr>
              <w:t>Title premiums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1,711</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Restaurant revenues</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253</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2,764</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w w:val="92"/>
              </w:rPr>
              <w:t>Interest and investment income, including realized gains and losses</w:t>
            </w: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143</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2,557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2,907</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29"/>
        </w:trPr>
        <w:tc>
          <w:tcPr>
            <w:tcW w:w="5040" w:type="dxa"/>
            <w:vAlign w:val="bottom"/>
          </w:tcPr>
          <w:p>
            <w:pPr>
              <w:ind w:left="40"/>
              <w:spacing w:after="0"/>
              <w:rPr>
                <w:sz w:val="20"/>
                <w:szCs w:val="20"/>
                <w:color w:val="auto"/>
              </w:rPr>
            </w:pPr>
            <w:r>
              <w:rPr>
                <w:rFonts w:ascii="Arial" w:cs="Arial" w:eastAsia="Arial" w:hAnsi="Arial"/>
                <w:sz w:val="18"/>
                <w:szCs w:val="18"/>
                <w:color w:val="auto"/>
                <w:w w:val="92"/>
              </w:rPr>
              <w:t>Earnings (loss) from continuing operations before income taxes and</w:t>
            </w:r>
          </w:p>
        </w:tc>
        <w:tc>
          <w:tcPr>
            <w:tcW w:w="16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322</w:t>
            </w: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r>
      <w:tr>
        <w:trPr>
          <w:trHeight w:val="209"/>
        </w:trPr>
        <w:tc>
          <w:tcPr>
            <w:tcW w:w="5040" w:type="dxa"/>
            <w:vAlign w:val="bottom"/>
          </w:tcPr>
          <w:p>
            <w:pPr>
              <w:ind w:left="40"/>
              <w:spacing w:after="0"/>
              <w:rPr>
                <w:sz w:val="20"/>
                <w:szCs w:val="20"/>
                <w:color w:val="auto"/>
              </w:rPr>
            </w:pPr>
            <w:r>
              <w:rPr>
                <w:rFonts w:ascii="Arial" w:cs="Arial" w:eastAsia="Arial" w:hAnsi="Arial"/>
                <w:sz w:val="18"/>
                <w:szCs w:val="18"/>
                <w:color w:val="auto"/>
                <w:w w:val="92"/>
              </w:rPr>
              <w:t>Earnings (loss) from continuing operations before equity in earnings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204</w:t>
            </w: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(loss) of unconsolidated affiliates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Earnings (loss) from continuing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203</w:t>
            </w:r>
          </w:p>
        </w:tc>
        <w:tc>
          <w:tcPr>
            <w:tcW w:w="120" w:type="dxa"/>
            <w:vAlign w:val="bottom"/>
            <w:tcBorders>
              <w:top w:val="single" w:sz="8" w:color="auto"/>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auto"/>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auto"/>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auto"/>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212</w:t>
            </w: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6,888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8,513</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1,443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1,569</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of the reportable segments include the following:</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Fidelity National Title Group</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segment consists of the operations of our title insurance underwriters and related businesses. This segment provides core title insurance and escrow and other title related services including collection and trust activities, trustee’s sales guarantees, recordings and reconveyances, and home warranty insurance.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Remy</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segment consists of the operations of Remy, a publicly traded company on the NASDAQ stock exchange, in which we have a 51% ownership interest. Remy is a leading designer, manufacturer, remanufacturer, marketer and distributor of aftermarket and original equipment electrical components for automobiles, light trucks, heavy-duty trucks and other vehicles.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Restaurant Group</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Restaurant Group segment consists of the operations of ABRH, in which we have a 55% ownership interest and the operations of J. Alexander's in which we have an 87% ownership interest. ABRH is the owner and operator of the O'Charley's, Ninety Nine Restaurants, Max &amp; Erma's, Village Inn, and Bakers Square concepts. ABRH also franchises O'Charley's, Max and Erma's and Village Inn concepts. J. Alexander's is the owner and operator of the J. Alexander's and Stoney River Legendary Steaks concepts.</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9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corporate and other segment consists of the operations of the parent holding company, certain other unallocated corporate overhead expenses, our employee benefits agency, Digital Insurance, other smaller operations, and our share in the operations of certain equity investments, including Ceridian.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statements contained in this Quarterly Report on Form 10-Q that are not purely historical are forward-looking statements within the meaning of Section 27A of the Securities Act of 1933 and Section 21E of the Securities Exchange Act of 1934,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continued weakness or adverse changes in the level of real estate activity, which may be caused by, among other things, high or increasing interest rates, a limited supply of mortgage funding or a weak U.S. economy; our potential inability to find suitable acquisition candidates, acquisitions in lines of business that will not necessarily be limited to our traditional areas of focus, or difficulties in integrating acquisitions; our dependence on distributions from our title insurance underwriters as our main source of cash flow; significant competition that our operating subsidiaries face; compliance with extensive government regulation of our operating subsidiaries and adverse changes in applicable laws or regulations or in their application by regulators; and other risks detailed in the “Statement Regarding Forward-Looking Information,” “Risk Factors” and other sections of the Company’s Form 10-K for the year ended December 31, 2012 and other filings with the Securities and Exchange Commission.</w:t>
      </w:r>
    </w:p>
    <w:p>
      <w:pPr>
        <w:spacing w:after="0" w:line="61" w:lineRule="exact"/>
        <w:rPr>
          <w:sz w:val="20"/>
          <w:szCs w:val="20"/>
          <w:color w:val="auto"/>
        </w:rPr>
      </w:pPr>
    </w:p>
    <w:p>
      <w:pPr>
        <w:ind w:right="1400" w:firstLine="324"/>
        <w:spacing w:after="0" w:line="375" w:lineRule="auto"/>
        <w:rPr>
          <w:sz w:val="20"/>
          <w:szCs w:val="20"/>
          <w:color w:val="auto"/>
        </w:rPr>
      </w:pPr>
      <w:r>
        <w:rPr>
          <w:rFonts w:ascii="Arial" w:cs="Arial" w:eastAsia="Arial" w:hAnsi="Arial"/>
          <w:sz w:val="18"/>
          <w:szCs w:val="18"/>
          <w:color w:val="auto"/>
        </w:rPr>
        <w:t xml:space="preserve">The following discussion should be read in conjunction with our Annual Report on Form 10-K for the year ended December 31, 2012. </w:t>
      </w:r>
      <w:r>
        <w:rPr>
          <w:rFonts w:ascii="Arial" w:cs="Arial" w:eastAsia="Arial" w:hAnsi="Arial"/>
          <w:sz w:val="18"/>
          <w:szCs w:val="18"/>
          <w:b w:val="1"/>
          <w:bCs w:val="1"/>
          <w:color w:val="auto"/>
        </w:rPr>
        <w:t>Overview</w:t>
      </w:r>
    </w:p>
    <w:p>
      <w:pPr>
        <w:spacing w:after="0" w:line="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a leading provider of title insurance, mortgage services and other diversified services. FNF is the nation's largest title insurance company through its title insurance underwriters - Fidelity National Title, Chicago Title, Commonwealth Land Title and Alamo Title - that collectively issue more title insurance policies than any other title company in the United States. We also hold a 55% ownership interest in American Blue Ribbon Holdings, LLC ("ABRH"), the owner and operator of the O'Charley's, Ninety Nine Restaurants, Max &amp; Erma's, Village Inn and Bakers Square restaurant concepts. ABRH also franchises O'Charley's, Max and Erma's and Village Inn concepts. We also have an 87% ownership interest in J. Alexander's Holdings, LLC ("J. Alexander's"), an upscale dining restaurant owner and operator of the J. Alexander's and Stoney River Legendary Steaks ("Stoney River") concepts. In addition, we hold a 51% ownership interest in Remy International, Inc. ("Remy"), a leading designer, manufacturer, remanufacturer, marketer and distributor of aftermarket and original equipment electrical components for automobiles, light trucks, heavy-duty trucks and other vehicles. FNF also owns a minority interest in Ceridian Corporation ("Ceridian"), a leading provider of global human capital management and payment solutions.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have four reporting segments as follows:</w:t>
      </w:r>
    </w:p>
    <w:p>
      <w:pPr>
        <w:spacing w:after="0" w:line="171" w:lineRule="exact"/>
        <w:rPr>
          <w:sz w:val="20"/>
          <w:szCs w:val="20"/>
          <w:color w:val="auto"/>
        </w:rPr>
      </w:pPr>
    </w:p>
    <w:p>
      <w:pPr>
        <w:jc w:val="both"/>
        <w:ind w:left="660" w:hanging="409"/>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Fidelity National Title Group. </w:t>
      </w:r>
      <w:r>
        <w:rPr>
          <w:rFonts w:ascii="Arial" w:cs="Arial" w:eastAsia="Arial" w:hAnsi="Arial"/>
          <w:sz w:val="18"/>
          <w:szCs w:val="18"/>
          <w:color w:val="auto"/>
        </w:rPr>
        <w:t>This segment consists of the operations of our title insurance underwriters and related businesses. This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core title insurance and escrow and other title related services including collection and trust activities, trustee’s sales guarantees, recordings and reconveyances, and home warranty insurance.</w:t>
      </w:r>
    </w:p>
    <w:p>
      <w:pPr>
        <w:spacing w:after="0" w:line="127"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Remy. </w:t>
      </w:r>
      <w:r>
        <w:rPr>
          <w:rFonts w:ascii="Arial" w:cs="Arial" w:eastAsia="Arial" w:hAnsi="Arial"/>
          <w:sz w:val="18"/>
          <w:szCs w:val="18"/>
          <w:color w:val="auto"/>
        </w:rPr>
        <w:t>This segment consists of the operations of Remy, a publicly traded company on the NASDAQ stock exchange, in which we have a 51%</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interest. Remy is a leading designer, manufacturer, remanufacturer, marketer and distributor of aftermarket and original equipment electrical components for automobiles, light trucks, heavy-duty trucks and other vehicles.</w:t>
      </w:r>
    </w:p>
    <w:p>
      <w:pPr>
        <w:spacing w:after="0" w:line="127" w:lineRule="exact"/>
        <w:rPr>
          <w:rFonts w:ascii="Arial" w:cs="Arial" w:eastAsia="Arial" w:hAnsi="Arial"/>
          <w:sz w:val="18"/>
          <w:szCs w:val="18"/>
          <w:color w:val="auto"/>
        </w:rPr>
      </w:pPr>
    </w:p>
    <w:p>
      <w:pPr>
        <w:jc w:val="both"/>
        <w:ind w:left="660" w:hanging="409"/>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The Restaurant Group segment consists of the operations of ABRH, in which we have a 55% ownership interest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of J. Alexander's in which we have an 87% ownership interest. ABRH is the owner and operator of the O'Charley's, Ninety Nine Restaurants, Max &amp; Erma's, Village Inn, and Bakers Square concepts. ABRH also franchises O'Charley's, Max and Erma's and Village Inn concepts. J. Alexander's is the owner and operator of the J. Alexander's and Stoney River Legendary Steaks concepts.</w:t>
      </w:r>
    </w:p>
    <w:p>
      <w:pPr>
        <w:spacing w:after="0" w:line="132"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The corporate and other segment consists of the operations of the parent holding company, certain other unallocated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overhead expenses, our employee benefits agency, Digital Insurance, other smaller operations, and our share in the operations of certain equity investments, including Ceridian.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28, 2013, we announced the signing of a definitive agreement under which we will acquire all of the outstanding common stock of Lender Processing Services, Inc. ("LPS") for an estimated $33.25 per common share, for a total equity value of approximately $2.9 billion. Under the terms of the definitive agreement, we will pay the consideration for the LPS shares of common stock in a combination of cash and shares of our common stock, subject to adjustments as described in the agreement. At closing, we will combine our ServiceLink business with LPS in a new consolidated holding company and sell a minority equity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interest in the new consolidated holding company to funds affiliated with Thomas H. Lee Partners, L.P. We will retain a majority ownership interest in the new consolidated holding company. The transaction is subject to approval by LPS and potentially by FNF shareholders, approvals from applicable federal and state regulators and satisfaction of other customary closing conditions. On July 12, 2013, we received a second request from the United States Federal Trade Commission (the "FTC") regarding their regulatory review of the transaction. We will respond to this request and will continue to work, cooperatively with the FTC. Closing of the transaction currently is expected to occur in the fourth quarter of 2013.</w:t>
      </w:r>
    </w:p>
    <w:p>
      <w:pPr>
        <w:spacing w:after="0" w:line="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February 25, 2013, we formed J. Alexander's, a restaurant company which is focused on the upscale dining segment. J. Alexander's consists of thirty J. Alexander's locations and ten Stoney River locations. ABRH contributed the ten Stoney River locations to J. Alexander's for an approximate 28% ownership interest in the new company, giving us an overall 87% ownership interest in J. Alexander's. The operations of J. Alexander's are consolidated in our existing Restaurant Group segment. Previously, in September 2012, we purchased all of the outstanding common stock of J. Alexander's Corporation for total consideration of $70 million in cash, net of cash acquired of $7 million.</w:t>
      </w:r>
    </w:p>
    <w:p>
      <w:pPr>
        <w:spacing w:after="0" w:line="8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December 31, 2012, we acquired Digital Insurance, Inc. ("Digital Insurance"). Total consideration paid was $98 million in cash, net of cash acquired of $3 million. We have consolidated the operations of Digital Insurance as of December 31, 2012. Digital Insurance is the nation's leading employee benefits platform specializing in health insurance distribution and benefits management for small and mid-sized businesses.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third quarter of 2012, we acquired 1.5 million additional shares of Remy, increasing our ownership interest to 16.3 million shares or 51% of Remy's total outstanding common shares. As a result of this acquisition we began to consolidate the results of Remy effective August 14, 2012. We previously held a 47% ownership interest in Remy.</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April 9, 2012, we successfully closed a tender offer for the outstanding common stock of O'Charley's Inc. ("O'Charley's"). We have consolidated the results of O'Charley's as of April 9, 2012. On May 11, 2012, we merged O'Charley's with our investment in ABRH resulting in an increase in our ownership position in ABRH from 45% to 55%. Total consideration paid was $122 million in cash, net of cash acquired of $35 million. Our investment in ABRH, prior to the merger was $37 million and was included in Investments in unconsolidated affiliates on the Condensed Consolidated Balance Sheet. Our investment in O'Charley's prior to the tender offer of $14 million was included in Equity securities available for sale on the Condensed Consolidated Balance Sheet. We have consolidated the operations of ABRH with the O'Charley's group of companies, beginning on May 11, 2012. A realized gain of $66 million, which is included in Realized gains and losses on the Condensed Consolidated Statement of Earnings, was recognized in the three and six months ending June 30, 2012 for the difference between our basis in our equity method investment of ABRH prior to consolidation and the fair value of our investment in ABRH at the date of consolidation. In regards to O'Charley's, we recognized a realized gain of $7 million in the three and six months ending June 30, 2012, respectively. The gain results from the difference in the basis of our holdings in O'Charley's common stock prior to consolidation and the fair value of O'Charley's common stock at the date of consolidation.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9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results from two closed J. Alexander's locations and a settlement services company closed in the second quarter of 2013 are reflected in the Condensed Consolidated Statements of Earnings as discontinued operations for all periods presented. Total revenues included in discontinued operations are $1 million and $9 million for the three months ending June 30, 2013 and 2012, respectively, and $8 million and $19 million for the six months ending June 30, 2013 and 2012, respectively. Pre-tax (loss) earnings included in discontinued operations are $(2) million and $3 million for the three months ending June 30, 2013 and 2012, respectively, and $(2) million and $5 million for the six months ending June 30, 2013 and 2012, respectively.</w:t>
      </w:r>
    </w:p>
    <w:p>
      <w:pPr>
        <w:spacing w:after="0" w:line="13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May 1, 2012, we completed the sale of an 85% interest in our subsidiaries that write personal lines insurance to WT Holdings, Inc. for $120 million. Accordingly, the results of this business through the date of sale (which we refer to as our "at-risk" insurance business) for all periods presented are reflected in the Condensed Consolidated Statements of Earnings as discontinued operations. Total revenues from the at-risk insurance business included in discontinued operations are $21 million and $57 million for the three and six months ending June 30, 2012, respectively. Pre-tax earnings from the at-risk insurance business included in discontinued operations are $6 million and $10 million for the three and six months ending June 30, 2012, respectively.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Related Parties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financial statements reflect related party transactions with Fidelity National Information Services, Inc. ("FIS"), which is a related party. See Note A of the Notes to Condensed Consolidated Financial Statements for further details on our transactions with related parties.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Fidelity National Title Group</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Title insurance revenue is closely related to the level of real estate activity which includes sales, mortgage financing and mortgage refinancing. The levels of real estate activity are primarily affected by the average price of real estate sales, the availability of funds to finance purchases, mortgage interest rates and the strength of the United States economy, including employment levels. Declines in the level of real estate activity or the average price of real estate sales will adversely affect our title insurance revenues.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Since December 2008, the Federal Reserve has held the federal funds rate at 0.0%-0.25%, and has indicated that rates will stay at this level at least through 2014. Mortgage interest rates were at historically low levels throughout 2012. During the first six months of 2013, however, we have seen interest rates rise; and in the first half of July, interest rates reached their highest levels since 2011.</w:t>
      </w:r>
    </w:p>
    <w:p>
      <w:pPr>
        <w:spacing w:after="0" w:line="3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July 2013, the Mortgage Banker's Association ("MBA"), estimated the size of the U.S. mortgage originations market as shown in the following table for 2013 - 2010 in their "Mortgage Finance Forecast". (In trillions)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rPr>
              <w:t>2013</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2012</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2010</w:t>
            </w:r>
          </w:p>
        </w:tc>
      </w:tr>
      <w:tr>
        <w:trPr>
          <w:trHeight w:val="27"/>
        </w:trPr>
        <w:tc>
          <w:tcPr>
            <w:tcW w:w="36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transactions</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Refinance transactions</w:t>
            </w:r>
          </w:p>
        </w:tc>
        <w:tc>
          <w:tcPr>
            <w:tcW w:w="13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36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U.S. mortgage originations</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36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shown above, the originations in 2010 - 2012 were driven primarily by refinance orders, which coincides with the historically low interest rates experienced during those years. In 2013, the MBA predicts an 11% decrease in the total market, primarily due to a 23% decrease in refinance transactions in 2013, offset by a 20% increase in purchase transactions.</w:t>
      </w:r>
    </w:p>
    <w:p>
      <w:pPr>
        <w:spacing w:after="0" w:line="4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Several pieces of legislation were enacted to address the struggling mortgage market and the current economic and financial environment. On October 24, 2011, the Federal Housing Finance Agency ("FHFA") announced a series of changes to the Home Affordable Refinance Program ("HARP") that would make it easier for certain borrowers who owe more than their home is worth and who are current on their mortgage payments to refinance their mortgages at lower interest rates. The new program reduces or eliminates the risk-based fees Fannie Mae and Freddie Mac charge on many loans, raises the loan-to-home value ratio requirement for refinancing, and streamlines the underwriting process. According to the Federal Housing Authority ("FHA"), lenders began taking refinancing applications on December 1, 2011 under the modified HARP. We believe that the modified HARP program has had a positive impact on the volume of our refinance orders during 2012. On April 11, 2013, the FHFA announced that the modified HARP program has been extended through 2015. We believe the modified HARP program has had a positive affect on our results during 2013, but are uncertain to what degree the program may impact our results in the future.</w:t>
      </w:r>
    </w:p>
    <w:p>
      <w:pPr>
        <w:spacing w:after="0" w:line="7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February 1, 2012, the Obama Administration announced new initiatives designed to increase refinancing of mortgages, reduce foreclosures and improve the housing market. Under these initiatives, among other things: (i) certain borrowers with loans insured by Fannie Mae or Freddie Mac ("GSEs" and such loans, "GSE loans") and certain borrowers with non-GSE loans, through a new FHA program, would be able to refinance their mortgages and take advantage of the currently low interest rates; (ii) the FHA will begin transitioning foreclosed properties in the nation's hardest-hit cities into rental housing units; (iii) GSEs and major banks have begun offering one year of forbearance (up from three months) to certain unemployed borrowers; and (iv) the Home Affordable Modification Program ("HAMP") was extended through 2013, including easing the eligibility requirements and increasing the financial incentives for banks to participate. In May 2013, HAMP was extended to 2015. As indicated, the Obama Administration has already begun implementing these initiatives, except for the refinancing initiatives. The GSEs have not started the refinancing program. The Obama Administration is looking to Congress to pass legislation to implement a refinancing program for non-GSE loans. We are uncertain to what degree these initiatives may affect our results in the future.</w:t>
      </w:r>
    </w:p>
    <w:p>
      <w:pPr>
        <w:spacing w:after="0" w:line="3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During 2010, a number of lenders imposed freezes on foreclosures in some or all states as they reviewed their foreclosure practices. In response to these freezes, the Office of the Comptroller of the Currency ("OCC") reviewed the foreclosure practices in the residential mortgage loan servicing industry. On April 13, 2011, the OCC and other federal regulators announced formal consent orders against several national bank mortgage servicers and third-party servicer providers for inappropriate practices related to residential mortgage loan servicing and foreclosure processing. The consent orders require the servicers to promptly correct deficiencies and make improvements in practices for residential mortgage loan servicing and foreclosure processing, including improvements to future communications with borrowers and a comprehensive "look back" to assess whether foreclosures complied with federal and state laws and whether any deficiencies in the process or related documentation resulted in financial injury to borrowers. We are not involved in these enforcement actions and we do not believe that we are exposed to significant losses resulting from faulty foreclosure practices. Our title insurance underwriters issue title policies on real estate owned properties to new purchasers and lenders to those purchasers. We believe that these policies will not result in significant additional claims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exposure to us because even if a court sets aside a foreclosure due to a defect in documentation, the foreclosing lender would be required to return to our insureds all funds obtained from them, resulting in reduced exposure under the title insurance policy. Further, we believe that under current law and the rights we have under our policies, we would have the right to seek recovery from the foreclosing lender in the event of a failure to comply with state laws or local practices in connection with a foreclosure. Many states continue to evaluate foreclosure practices and related legislation may change in the future. The consent orders imposed by the federal regulators have continued to delay lender foreclosure completions. In January 2013, ten large mortgage servicers concluded the reviews required by the 2011 consent orders and agreed to monetary settlements. In April 2013, these mortgage servicers began making restitution under these settlements.</w:t>
      </w:r>
    </w:p>
    <w:p>
      <w:pPr>
        <w:spacing w:after="0" w:line="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February 9, 2012, federal officials, state attorneys general and representatives of Bank of America, JP Morgan Chase, Wells Fargo, Citigroup and Ally Financial agreed to a $25 billion settlement of federal and state investigations into the foreclosure practices of banks and other mortgage servicers from September 2008 to December 2011. Under the settlement, approximately 1,000,000 underwater borrowers will have their mortgages reduced by lenders and 300,000 homeowners will be able to refinance their homes at lower interest rates. We are uncertain to what degree these initiatives have affected our results or may affect our results in the future.</w:t>
      </w:r>
    </w:p>
    <w:p>
      <w:pPr>
        <w:spacing w:after="0" w:line="5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to state-level regulation, segments of our title insurance business are subject to regulation by federal agencies, including the Consumer Financial Protection Bureau (“CFPB”). The Dodd-Frank Wall Street Reform and Consumer Protection Act of 2010 established the CFPB, and in January 2012, President Obama appointed its first director. The CFPB has been given broad authority to regulate, among other areas, the mortgage and real estate markets in matters pertaining to consumers. This authority includes the enforcement of the Real Estate Settlement Procedures Act formerly placed with the Department of Housing and Urban Development. On July 9, 2012, the CFPB introduced a number of proposed rules related to the enforcement of the Real Estate Settlement Procedures Act and the Truth in Lending Act, including, among others, measures designed to (i) simplify financing documentation and (ii) require lenders to deliver to consumers a statement of final financing charges (and the related annual percentage rate) at least three business days prior to the closing. A final version of these rules is expected to be published later in 2013. We cannot be certain what impact, if any, the final rules, or the CFPB generally, will have on our title insurance business.</w:t>
      </w:r>
    </w:p>
    <w:p>
      <w:pPr>
        <w:spacing w:after="0" w:line="4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Historically, real estate transactions have produced seasonal revenue levels for title insurers. The first 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We have noted short term fluctuations through recent years in resale and refinance transactions as a result of changes in interest rates and the implementation and subsequent expiration of government programs designed to stimulate the real estate market. In 2013, we have seen seasonality trends return to historical patterns. During 2012 and the first half of 2013, we experienced an increase in existing home sales to the highest volume levels since 2007. We have also seen a decline in total housing inventory to the lowest levels since 2005.</w:t>
      </w:r>
    </w:p>
    <w:p>
      <w:pPr>
        <w:spacing w:after="0" w:line="3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Because commercial real estate transactions tend to be driven more by supply and demand for commercial space and occupancy rates in a particular area rather than by macroeconomic events, we believe that our commercial real estate title insurance business is less dependent on the industry cycles discussed above than our residential real estate title business. In 2012 and through the first half of 2013, we have experienced an increase in fee per file of commercial transactions from the previous years, which indicates an improvement in commercial markets.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Remy</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Remy manufactures and sells auto parts, principally starter motors and alternators, as well as hybrid electric motors, for sale to original equipment manufacturers (OEM) and aftermarket customers. Remy manufactures products for automobiles as well as light and heavy duty commercial vehicles. The OEM market for auto parts is dependent on levels of new vehicle production, which in turn, is affected by the overall economy, consumer confidence, discounts and incentives offered by automakers and the availability of funds to finance purchases.</w:t>
      </w:r>
    </w:p>
    <w:p>
      <w:pPr>
        <w:spacing w:after="0" w:line="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its aftermarket operations, Remy's results are affected by the strength of the economy and by gas prices, but do not follow the same cycles as original equipment market sales. In a weaker economy, drivers tend to keep their vehicles and repair them rather than buying new vehicles. Lower gas prices have historically tended to result in more miles driven, which increases the frequency with which auto repairs are needed. Nevertheless, a weak economy also may reduce miles driven. Over the long term, improvements in the durability of original equipment and aftermarket parts has reduced, and is expected to further reduce, the number of units sold in the aftermarket. Aftermarket revenues are also affected by other factors, including severe weather (which tends to lead to increased sales) and competitive pressures. Many parts retailers and warehouse distributors purchase starters and alternators from only one or two suppliers, under contracts that run for five years or less. When contracts are up for renewal, competitors tend to bid very aggressively to replace the incumbent supplier, although the cost of switching from the incumbent tends to mitigate this competition.</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restaurant industry is highly competitive and is often affected by changes in consumer tastes and discretionary spending patterns; changes in general economic conditions; public safety conditions or concerns; demographic trends; weather conditions; the cost of food products, labor, energy and other operating costs; and governmental regulations. 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Restaurant profitability can also be negatively affected by inflationary and regulatory increases in operating costs and other factors. The most significant commodities that may affect our cost of food and beverage are beef, seafood, poultry, and dairy, which have accounted for almost 45 percent of our overall cost of food and beverage in the past. Generally, temporary increases in these costs are not passed on to guests; however, in the past, we have adjusted menu prices to compensate for increased costs of a more permanent nature.</w:t>
      </w:r>
    </w:p>
    <w:p>
      <w:pPr>
        <w:spacing w:after="0" w:line="7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2010, the Patient Protection and Affordable Care Act ("Affordable Care Act") was passed and was to become effective in 2014. In July 2013, compliance with the employer mandate and certain reporting requirements under the Affordable Care Act were delayed until January 1, 2015. We are continuing to assess the impact of the Affordable Care Act on our health care benefit costs. The imposition of any requirement that we provide health insurance benefits to employees that are more extensive than the health insurance benefits we currently provide, or the imposition of additional employer paid employment taxes on income earned by our employees, could have a material adverse effect on our results of operations in the future. The Affordable Care Act is likely to similarly affect the restaurant industry in general. Additionally, our Restaurant Group and suppliers may also be affected by higher minimum wage and benefit standards, which could result in higher costs for goods and services supplied to us.</w:t>
      </w:r>
    </w:p>
    <w:p>
      <w:pPr>
        <w:spacing w:after="0" w:line="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results of operations in future periods will continue to be subject to these and other factors that are beyond our control and, as a result, are likely to fluctuate.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28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1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r>
      <w:tr>
        <w:trPr>
          <w:trHeight w:val="196"/>
        </w:trPr>
        <w:tc>
          <w:tcPr>
            <w:tcW w:w="6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00" w:type="dxa"/>
            <w:vAlign w:val="bottom"/>
            <w:gridSpan w:val="5"/>
          </w:tcPr>
          <w:p>
            <w:pPr>
              <w:ind w:left="3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779</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800</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Auto parts revenue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Restaurant revenue</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253</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70</w:t>
            </w:r>
          </w:p>
        </w:tc>
      </w:tr>
      <w:tr>
        <w:trPr>
          <w:trHeight w:val="27"/>
        </w:trPr>
        <w:tc>
          <w:tcPr>
            <w:tcW w:w="6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2,907</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852</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Agent commissions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712</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r>
      <w:tr>
        <w:trPr>
          <w:trHeight w:val="229"/>
        </w:trPr>
        <w:tc>
          <w:tcPr>
            <w:tcW w:w="6180" w:type="dxa"/>
            <w:vAlign w:val="bottom"/>
          </w:tcPr>
          <w:p>
            <w:pPr>
              <w:ind w:left="280"/>
              <w:spacing w:after="0"/>
              <w:rPr>
                <w:sz w:val="20"/>
                <w:szCs w:val="20"/>
                <w:color w:val="auto"/>
              </w:rPr>
            </w:pPr>
            <w:r>
              <w:rPr>
                <w:rFonts w:ascii="Arial" w:cs="Arial" w:eastAsia="Arial" w:hAnsi="Arial"/>
                <w:sz w:val="18"/>
                <w:szCs w:val="18"/>
                <w:color w:val="auto"/>
                <w:w w:val="96"/>
              </w:rPr>
              <w:t>Cost  of  auto  parts  revenue,  includes  $18  and  $36  of  depreciation  and</w:t>
            </w:r>
          </w:p>
        </w:tc>
        <w:tc>
          <w:tcPr>
            <w:tcW w:w="2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30"/>
        </w:trPr>
        <w:tc>
          <w:tcPr>
            <w:tcW w:w="6180" w:type="dxa"/>
            <w:vAlign w:val="bottom"/>
          </w:tcPr>
          <w:p>
            <w:pPr>
              <w:ind w:left="280"/>
              <w:spacing w:after="0"/>
              <w:rPr>
                <w:sz w:val="20"/>
                <w:szCs w:val="20"/>
                <w:color w:val="auto"/>
              </w:rPr>
            </w:pPr>
            <w:r>
              <w:rPr>
                <w:rFonts w:ascii="Arial" w:cs="Arial" w:eastAsia="Arial" w:hAnsi="Arial"/>
                <w:sz w:val="18"/>
                <w:szCs w:val="18"/>
                <w:color w:val="auto"/>
                <w:w w:val="98"/>
              </w:rPr>
              <w:t>amortization in the three and six months ended June 30, 2013, respectively</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Cost of restaurant revenue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43</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27"/>
        </w:trPr>
        <w:tc>
          <w:tcPr>
            <w:tcW w:w="6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2,585</w:t>
            </w:r>
          </w:p>
        </w:tc>
      </w:tr>
      <w:tr>
        <w:trPr>
          <w:trHeight w:val="209"/>
        </w:trPr>
        <w:tc>
          <w:tcPr>
            <w:tcW w:w="6180" w:type="dxa"/>
            <w:vAlign w:val="bottom"/>
          </w:tcPr>
          <w:p>
            <w:pPr>
              <w:ind w:left="40"/>
              <w:spacing w:after="0"/>
              <w:rPr>
                <w:sz w:val="20"/>
                <w:szCs w:val="20"/>
                <w:color w:val="auto"/>
              </w:rPr>
            </w:pPr>
            <w:r>
              <w:rPr>
                <w:rFonts w:ascii="Arial" w:cs="Arial" w:eastAsia="Arial" w:hAnsi="Arial"/>
                <w:sz w:val="18"/>
                <w:szCs w:val="18"/>
                <w:color w:val="auto"/>
                <w:w w:val="97"/>
              </w:rPr>
              <w:t>Earnings from continuing operations before income taxes and equity in (losses)</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322</w:t>
            </w:r>
          </w:p>
        </w:tc>
      </w:tr>
      <w:tr>
        <w:trPr>
          <w:trHeight w:val="230"/>
        </w:trPr>
        <w:tc>
          <w:tcPr>
            <w:tcW w:w="6180" w:type="dxa"/>
            <w:vAlign w:val="bottom"/>
          </w:tcPr>
          <w:p>
            <w:pPr>
              <w:ind w:left="40"/>
              <w:spacing w:after="0"/>
              <w:rPr>
                <w:sz w:val="20"/>
                <w:szCs w:val="20"/>
                <w:color w:val="auto"/>
              </w:rPr>
            </w:pPr>
            <w:r>
              <w:rPr>
                <w:rFonts w:ascii="Arial" w:cs="Arial" w:eastAsia="Arial" w:hAnsi="Arial"/>
                <w:sz w:val="18"/>
                <w:szCs w:val="18"/>
                <w:color w:val="auto"/>
              </w:rPr>
              <w:t>earnings of unconsolidated affiliates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Equity in (losses) earnings of unconsolidated affiliates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6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r>
      <w:tr>
        <w:trPr>
          <w:trHeight w:val="20"/>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0"/>
        </w:trPr>
        <w:tc>
          <w:tcPr>
            <w:tcW w:w="6180" w:type="dxa"/>
            <w:vAlign w:val="bottom"/>
          </w:tcPr>
          <w:p>
            <w:pPr>
              <w:ind w:left="40"/>
              <w:spacing w:after="0"/>
              <w:rPr>
                <w:sz w:val="20"/>
                <w:szCs w:val="20"/>
                <w:color w:val="auto"/>
              </w:rPr>
            </w:pPr>
            <w:r>
              <w:rPr>
                <w:rFonts w:ascii="Arial" w:cs="Arial" w:eastAsia="Arial" w:hAnsi="Arial"/>
                <w:sz w:val="18"/>
                <w:szCs w:val="18"/>
                <w:color w:val="auto"/>
              </w:rPr>
              <w:t>Orders opened by direct title operations</w:t>
            </w: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672,000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667,000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w w:val="97"/>
              </w:rPr>
              <w:t>1,315,000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1,318,000</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Orders closed by direct title operations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504,000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459,000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991,000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869,000</w:t>
            </w:r>
          </w:p>
        </w:tc>
      </w:tr>
      <w:tr>
        <w:trPr>
          <w:trHeight w:val="27"/>
        </w:trPr>
        <w:tc>
          <w:tcPr>
            <w:tcW w:w="6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Total revenues increased $552 million in the three months ended June 30, 2013, compared to the 2012 period. The increase consisted of increases of $221 million in the Fidelity National Title Group segment, a $23 million increase in the Restaurant Group segment, a $28 million increase in the Corporate and Other segment, and an additional $280 million from the Remy segment. Total revenues increased $1,413 million in the six months ended June 30, 2013, compared to the 2012 period. The increase consisted of increases of $433 million in the Fidelity National Title Group segment, a $375 million increase in the Restaurant Group segment, $40 million in the Corporate and Other segment as well as an additional $565 million from the Remy segment.</w:t>
      </w:r>
    </w:p>
    <w:p>
      <w:pPr>
        <w:spacing w:after="0" w:line="5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Escrow, title-related and other fees increased $62 million, or 15%, in the three months ended June 30, 2013, from the 2012 period, consisting of increases of $43 million in the Fidelity National Title Group segment and $19 million in the Corporate and Other segment. Escrow, title-related and other fees increased $124 million, or 16%, in the six months ended June 30, 2013, from the 2012 period, consisting of increases of $90 million in the Fidelity National Title Group segment and $34 million in the Corporate and Other segment.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line="114" w:lineRule="exact"/>
        <w:rPr>
          <w:sz w:val="20"/>
          <w:szCs w:val="20"/>
          <w:color w:val="auto"/>
        </w:rPr>
      </w:pPr>
    </w:p>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Restaurant revenue includes the consolidated results of operations of ABRH and J. Alexander's. Auto parts revenue includes the consolidated results of operations of Remy.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from operations is discussed in further detail at the segment level below.</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and investment income levels are primarily a function of securities markets, interest rates and the amount of cash available for investment. Interest and investment income did not change in the three months ended June 30, 2013 compared to the 2012 period, and decreased $3 million in the six months ended June 30, 2013 compared to the 2012 period.</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realized gains and losses totaled $5 million and $66 million in the three-month periods ended June 30, 2013 and 2012, and $3 million and $70 million in the six-month periods ended June 30, 2013 and 2012, respectively. The decreases in both the three and six month periods are primarily the result of recognizing a $73 million gain on the consolidation of O'Charley's and ABRH in the 2012 period. This was offset by a $6 million impairment on land held at our majority-owned affiliate Cascade Timberlands in the 2012 period.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operating expenses consist primarily of personnel costs and other operating expenses, which in our title insurance business are incurred as orders are received and processed, and agent commissions, which are incurred as revenue is recognized, as well as cost of auto parts revenue and cost of restaurant revenue. Title insurance premiums, escrow and title-related fees are generally recognized as income at the time the underlying transaction closes. As a result, direct title operations revenue lags approximately 45-60 days behind expenses and therefore gross margins may fluctuate. The changes in the market environment, mix of business between direct and agency operations and the contributions from our various business units have impacted margins and net earnings. We have implemented programs and have taken necessary actions to maintain expense levels consistent with revenue streams. However, a short time lag exists in reducing variable costs and certain fixed costs are incurred regardless of revenue levels.</w:t>
      </w:r>
    </w:p>
    <w:p>
      <w:pPr>
        <w:spacing w:after="0" w:line="5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Personnel costs include base salaries, commissions, benefits, stock-based compensation and bonuses paid to employees, and are one of our most significant operating expenses. Personnel costs increased $99 million, or 22%, in the three months ended June 30, 2013, from the 2012 period, with increases of $52 million in the Fidelity National Title Group segment, $8 million in the Restaurant Group segment, $20 million in the Corporate and Other segment, and an additional $19 million from the Remy segment. Personnel costs increased $213 million, or 25%, in the six months ended June 30, 2013, from the 2012 period, with increases of $106 million in the Fidelity National Title Group segment, $23 million in the Restaurant Group segment, $38 million from the Corporate and Other segment as well as an additional $46 million increase from the Remy segment. Personnel costs as a percentage of total revenue were 24% and 26% in the three-month periods ended June 30, 2013 and 2012, respectively, and 25% and 29% in the six-month periods ended June 30, 2013 and 2012, respectively. Average employee count, excluding Remy and the Restaurant group, was 20,998 and 18,630 in the three-month periods ended June 30, 2013 and 2012, respectively and 20,655 and 18,214 in the six-month periods ended June 30, 2013 and 2012, respectively. There were 31,353 employees added with the consolidation of the Restaurant group during the second quarter of 2012. Average employee count of the Restaurant group was 33,299 and 33,596 in the three and six-months ended June 30, 2013. There were 6,705 employees added with the consolidation of Remy during the third quarter of 2012. Personnel costs that are directly attributable to the operations of Remy and the Restaurant Group are included in Cost of auto parts revenue and Cost of restaurant revenue, respectively. The change in personnel costs is discussed in further detail at the segment level below.</w:t>
      </w:r>
    </w:p>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Agent commissions represent the portion of premiums retained by agents pursuant to the terms of their respective agency contracts. The change in agent commissions is discussed in further detail at the segment level below.</w:t>
      </w:r>
    </w:p>
    <w:p>
      <w:pPr>
        <w:spacing w:after="0" w:line="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travel expenses, general insurance, and bad debt expense on our trade and notes receivable. Other operating expenses increased $35 million in the three months ended June 30, 2013, from the 2012 period, reflecting an increase of $8 million in the Fidelity National Title Group segment, and $28 million in the Corporate and Other segment offset by a decrease of $13 million from the Restaurant Group segment. There was an additional $12 million from the Remy segment. Other operating expenses increased $90 million in the six months ended June 30, 2013, from the 2012 period, reflecting increases of $31 million in the Fidelity National Title Group segment, $7 million in the Restaurant Group segment, $29 million in the Corporate and Other segment, and an additional $23 million from the Remy segment. In the Fidelity National Title Group segment, the increase in both periods was primarily due to increases in variable costs of sales associated with the increase in title orders. In the Restaurant Group segment the decrease in the three-month period ended June 30, 2013, is due primarily to $10 million of transaction costs associated with the acquisition of O'Charley's and ABRH included in the 2012 period. In the Corporate and Other segment, the increase in both periods in other operating expenses was due mainly to a $20 million accrual related to an employment litigation matter, $2 million in increased expenses related to Digital Insurance which was acquired in December 2012, and $3 million in transaction costs related to the LPS acquisition.</w:t>
      </w:r>
    </w:p>
    <w:p>
      <w:pPr>
        <w:spacing w:after="0" w:line="16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auto parts revenue includes cost of raw materials, payroll and related costs and expenses directly related to manufacturing, and overhead expenses allocated to the costs of production such as depreciation and amortization at Remy. Remy results of operations are discussed in further detail at the segment level below.</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advertising and other expenses at the restaurant level. The Restaurant group results of operations are discussed in further detail at the segment level below.</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Depreciation and amortization increased $9 million in the three months ended June 30, 2013, from the 2012 period and increased $25 million in the six months ended June 30, 2013, from the 2012 period. The increase in the six month time period is due to $18 million of additional depreciation and amortization from the Restaurant Group which was acquired during the second quarter of 2012 and $2 million from the Remy segment, as well as an increase of $1 million in the Fidelity National Title Group Segment and $4 million in the Corporate and Other segment as a result of the acquisition of Digital Insurance in the fourth quarter of 2012.</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 We monitor our claims loss experience on a continual basis and adjust the provision for claim losses accordingly as new information becomes known, new loss patterns emerge, or as other contributing factors are considered and incorporated into the analysis of the reserve for claim losses. The provision for title claim losses is discussed in further detail below at the segment level.</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Interest expense increased $5 million in the three months ended June 30, 2013, from the 2012 period and increased $13 million in the six months ended June 30, 2013, from the 2012 period. The increase is due to interest expense incurred on the FNF 5.50% notes issued in August 2012. In the Restaurant Group, interest expense increased $1 million and $3 million in three and six month periods ended June 30, 2013, respectively, from the 2012 periods due to</w:t>
      </w:r>
    </w:p>
    <w:p>
      <w:pPr>
        <w:sectPr>
          <w:pgSz w:w="11900" w:h="16952" w:orient="portrait"/>
          <w:cols w:equalWidth="0" w:num="1">
            <w:col w:w="11420"/>
          </w:cols>
          <w:pgMar w:left="240" w:top="121" w:right="239" w:bottom="0" w:gutter="0" w:footer="0" w:header="0"/>
        </w:sectPr>
      </w:pPr>
    </w:p>
    <w:bookmarkStart w:id="35" w:name="page36"/>
    <w:bookmarkEnd w:id="35"/>
    <w:p>
      <w:pPr>
        <w:jc w:val="both"/>
        <w:spacing w:after="0" w:line="308" w:lineRule="auto"/>
        <w:rPr>
          <w:sz w:val="20"/>
          <w:szCs w:val="20"/>
          <w:color w:val="auto"/>
        </w:rPr>
      </w:pPr>
      <w:r>
        <w:rPr>
          <w:rFonts w:ascii="Arial" w:cs="Arial" w:eastAsia="Arial" w:hAnsi="Arial"/>
          <w:sz w:val="17"/>
          <w:szCs w:val="17"/>
          <w:color w:val="auto"/>
        </w:rPr>
        <w:t>interest incurred on their revolving line of credit and term loan, which were entered into during the second quarter of 2012. The addition of Remy also contributed an additional $3 million and $10 million in interest expense during the three and six month periods ended June 30, 2013, respectively.</w:t>
      </w:r>
    </w:p>
    <w:p>
      <w:pPr>
        <w:spacing w:after="0" w:line="14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Income tax expense was $72 million and $81 million in the three-month periods ended June 30, 2013 and 2012, respectively and $118 million in each of the six-month periods ended June 30, 2013 and 2012. Income tax expense as a percentage of earnings before income taxes was 32% and 37% for the three-month periods ended June 30, 2013 and 2012, respectively and 33% and 37% for the six-month periods ended June 30, 2013 and 2012. Income tax expense as a percentage of earnings before income taxes fluctuates depending on our estimate of ultimate income tax liability and changes in the characteristics of net earnings, such as the weighting of operating income versus investment income. The decrease in the effective tax rate in the three and six months ending June 30, 2013, from the corresponding 2012 period is due to an increase in tax credits from the Restaurant group and a lower tax rate on the non-US earnings of Remy.</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Equity in (losses) earnings of unconsolidated affiliates was $(3) million and $2 million for the three-month periods ended June 30, 2013 and 2012, respectively and $(6) million and $8 million for the six-month periods ended June 30, 2013 and 2012, respectively. The equity (losses) in earnings in 2013 and 2012 consisted of net (losses) earnings related to our investment in Ceridian, Remy (prior to its consolidation in August 2012), and other investments in unconsolidated affiliates.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Fidelity National Title Group</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192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Escrow, title related and other fees</w:t>
            </w:r>
          </w:p>
        </w:tc>
        <w:tc>
          <w:tcPr>
            <w:tcW w:w="2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2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7"/>
        </w:trPr>
        <w:tc>
          <w:tcPr>
            <w:tcW w:w="674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2,549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before income taxes and equity in earnings of</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unconsolidated affiliates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Total revenues for the Fidelity National Title Group segment increased $221 million, or 16%, in the three months ended June 30, 2013, from the 2012 period. Total revenues for this segment increased $433 million or 17%, in the six months ended June 30, 2013, from the 2012 period.</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980" w:type="dxa"/>
            <w:vAlign w:val="bottom"/>
            <w:tcBorders>
              <w:bottom w:val="single" w:sz="8" w:color="auto"/>
            </w:tcBorders>
          </w:tcPr>
          <w:p>
            <w:pPr>
              <w:spacing w:after="0"/>
              <w:rPr>
                <w:sz w:val="16"/>
                <w:szCs w:val="16"/>
                <w:color w:val="auto"/>
              </w:rPr>
            </w:pPr>
          </w:p>
        </w:tc>
      </w:tr>
      <w:tr>
        <w:trPr>
          <w:trHeight w:val="258"/>
        </w:trPr>
        <w:tc>
          <w:tcPr>
            <w:tcW w:w="2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257"/>
              <w:spacing w:after="0"/>
              <w:rPr>
                <w:sz w:val="20"/>
                <w:szCs w:val="20"/>
                <w:color w:val="auto"/>
              </w:rPr>
            </w:pPr>
            <w:r>
              <w:rPr>
                <w:rFonts w:ascii="Arial" w:cs="Arial" w:eastAsia="Arial" w:hAnsi="Arial"/>
                <w:sz w:val="14"/>
                <w:szCs w:val="14"/>
                <w:b w:val="1"/>
                <w:bCs w:val="1"/>
                <w:color w:val="auto"/>
              </w:rPr>
              <w:t>% of</w:t>
            </w:r>
          </w:p>
        </w:tc>
      </w:tr>
      <w:tr>
        <w:trPr>
          <w:trHeight w:val="276"/>
        </w:trPr>
        <w:tc>
          <w:tcPr>
            <w:tcW w:w="2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Total</w:t>
            </w:r>
          </w:p>
        </w:tc>
      </w:tr>
      <w:tr>
        <w:trPr>
          <w:trHeight w:val="196"/>
        </w:trPr>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5"/>
          </w:tcPr>
          <w:p>
            <w:pPr>
              <w:ind w:left="4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5"/>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Title premiums from direct</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Title premiums from agency</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240" w:type="dxa"/>
            <w:vAlign w:val="bottom"/>
          </w:tcPr>
          <w:p>
            <w:pPr>
              <w:spacing w:after="0"/>
              <w:rPr>
                <w:sz w:val="20"/>
                <w:szCs w:val="20"/>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0"/>
                <w:szCs w:val="20"/>
                <w:color w:val="auto"/>
              </w:rPr>
            </w:pPr>
          </w:p>
        </w:tc>
        <w:tc>
          <w:tcPr>
            <w:tcW w:w="980" w:type="dxa"/>
            <w:vAlign w:val="bottom"/>
          </w:tcPr>
          <w:p>
            <w:pPr>
              <w:jc w:val="right"/>
              <w:ind w:right="97"/>
              <w:spacing w:after="0"/>
              <w:rPr>
                <w:sz w:val="20"/>
                <w:szCs w:val="20"/>
                <w:color w:val="auto"/>
              </w:rPr>
            </w:pPr>
            <w:r>
              <w:rPr>
                <w:rFonts w:ascii="Arial" w:cs="Arial" w:eastAsia="Arial" w:hAnsi="Arial"/>
                <w:sz w:val="18"/>
                <w:szCs w:val="18"/>
                <w:color w:val="auto"/>
              </w:rPr>
              <w:t>54</w:t>
            </w:r>
          </w:p>
        </w:tc>
      </w:tr>
      <w:tr>
        <w:trPr>
          <w:trHeight w:val="27"/>
        </w:trPr>
        <w:tc>
          <w:tcPr>
            <w:tcW w:w="2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title premiums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1,117</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2,054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Title insurance premiums increased 18% in the three months ended June 30, 2013 and 20% in the six months ended June 30, 2013 as compared to the 2012 period. The increase was made up of an increase in premiums from direct operations of $66 million, or 15%, and an increase in premiums from agency operations of $107 million, or 21% in the three months ended June 30, 2013. The increase in the six months ended June 30, 2013 was made up of an increase in premiums from direct operations of $126 million or 16%, and an increase in premiums from agency operations of $217 million, or 23%.</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presents the percentages of closed title insurance orders generated by purchase and refinance transactions by our direct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28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228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b w:val="1"/>
                <w:bCs w:val="1"/>
                <w:color w:val="auto"/>
              </w:rPr>
              <w:t>Six months ended June 30,</w:t>
            </w:r>
          </w:p>
        </w:tc>
      </w:tr>
      <w:tr>
        <w:trPr>
          <w:trHeight w:val="547"/>
        </w:trPr>
        <w:tc>
          <w:tcPr>
            <w:tcW w:w="6300" w:type="dxa"/>
            <w:vAlign w:val="bottom"/>
          </w:tcPr>
          <w:p>
            <w:pPr>
              <w:spacing w:after="0"/>
              <w:rPr>
                <w:sz w:val="24"/>
                <w:szCs w:val="24"/>
                <w:color w:val="auto"/>
              </w:rPr>
            </w:pPr>
          </w:p>
        </w:tc>
        <w:tc>
          <w:tcPr>
            <w:tcW w:w="12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2012</w:t>
            </w:r>
          </w:p>
        </w:tc>
      </w:tr>
      <w:tr>
        <w:trPr>
          <w:trHeight w:val="283"/>
        </w:trPr>
        <w:tc>
          <w:tcPr>
            <w:tcW w:w="6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Closed title insurance orders from purchase transactions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Closed title insurance orders from refinance transactions</w:t>
            </w: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60.2</w:t>
            </w:r>
          </w:p>
        </w:tc>
        <w:tc>
          <w:tcPr>
            <w:tcW w:w="220" w:type="dxa"/>
            <w:vAlign w:val="bottom"/>
          </w:tcPr>
          <w:p>
            <w:pPr>
              <w:spacing w:after="0"/>
              <w:rPr>
                <w:sz w:val="21"/>
                <w:szCs w:val="21"/>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60.4</w:t>
            </w:r>
          </w:p>
        </w:tc>
        <w:tc>
          <w:tcPr>
            <w:tcW w:w="220" w:type="dxa"/>
            <w:vAlign w:val="bottom"/>
          </w:tcPr>
          <w:p>
            <w:pPr>
              <w:spacing w:after="0"/>
              <w:rPr>
                <w:sz w:val="21"/>
                <w:szCs w:val="21"/>
                <w:color w:val="auto"/>
              </w:rPr>
            </w:pPr>
          </w:p>
        </w:tc>
        <w:tc>
          <w:tcPr>
            <w:tcW w:w="1080" w:type="dxa"/>
            <w:vAlign w:val="bottom"/>
          </w:tcPr>
          <w:p>
            <w:pPr>
              <w:jc w:val="right"/>
              <w:ind w:right="117"/>
              <w:spacing w:after="0"/>
              <w:rPr>
                <w:sz w:val="20"/>
                <w:szCs w:val="20"/>
                <w:color w:val="auto"/>
              </w:rPr>
            </w:pPr>
            <w:r>
              <w:rPr>
                <w:rFonts w:ascii="Arial" w:cs="Arial" w:eastAsia="Arial" w:hAnsi="Arial"/>
                <w:sz w:val="18"/>
                <w:szCs w:val="18"/>
                <w:color w:val="auto"/>
              </w:rPr>
              <w:t>64.4</w:t>
            </w:r>
          </w:p>
        </w:tc>
        <w:tc>
          <w:tcPr>
            <w:tcW w:w="220" w:type="dxa"/>
            <w:vAlign w:val="bottom"/>
          </w:tcPr>
          <w:p>
            <w:pPr>
              <w:spacing w:after="0"/>
              <w:rPr>
                <w:sz w:val="21"/>
                <w:szCs w:val="21"/>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62.9</w:t>
            </w:r>
          </w:p>
        </w:tc>
      </w:tr>
      <w:tr>
        <w:trPr>
          <w:trHeight w:val="27"/>
        </w:trPr>
        <w:tc>
          <w:tcPr>
            <w:tcW w:w="63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title premiums from direct operations in 2013 is primarily due to an increase in closed order volumes and an increase in fee per file. Closed order volumes were 504,000 and 991,000 in the three and six months ended June 30, 2013 compared</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459,000 and 868,000 in the three and six months ended June 30, 2012. The average fee per file in our direct operations was $1,562 and $1,469 in the three and six months ended June 30, 2013, compared to $1,497 and $1,451 in the three and six months ended June 30, 2012, with the increase reflecting a higher volume of purchase transactions, which have a higher fee per file, as well as a higher average fee per file on commercial transactions in 2013 versus the 2012 period.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 Also, commercial transactions typically have a higher fee per file.</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increase in title premiums from agency operations is primarily the result of an increase in remitted agency premiums related to the mix of business. Our percentage of title premiums from agency operations compared to direct operations has increased since 2012 due to our agency operations typically garnering a higher percentage of purchase transactions and a lower percentage of commercial and refinance transactions. The increase in the three and six months ending June 30, 2013 was due to strengthening in the residential purchase market.</w:t>
      </w:r>
    </w:p>
    <w:p>
      <w:pPr>
        <w:spacing w:after="0" w:line="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Escrow fees, which are more directly related to our direct operations, increased $23 million, or 13%, in the three months ended June 30, 2013 compared to the 2012 period, and increased $50 million, or 15%, in the six months ended June 30, 2013 compared to the 2012 period in both cases due to the increase in direct residential purchase activity. Other fees in the Fidelity National Title Group segment, excluding escrow fees, increased $20 million, or 9%, in the three months ended June 30, 2013 compared to the 2012 period and $40 million, or 9%, in the six months ended June 30, 2013 compared to the 2012 period. The increase is primarily due to increases in our revenue from residential purchase transactions as well as increases in our other title related business, consistent with the title operations, partially offset by declines in our default business.</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The $52 million or 12% increase in the three-month period ended June 30, 2013, and the increase of $106 million, or 13% in the six month period ended June 30, 2013 are due to an increase in employee levels, higher bonuses and commissions, as well as an increase in average annualized personnel cost which correspond to increases in closed order counts and revenues. Personnel costs as a percentage of total revenues from direct title premiums and escrow, title-related and other fees were 51%, for the three-month periods ended June 30, 2013 and 2012, and 53% for the six-month periods ended June 30, 2013 and 2012. Average employee count was 20,548 and 18,414 in the three-month periods ended June 30, 2013 and 2012, respectively, and 20,368 and 18,000 for the six-month periods ended June 30, 2013 and 2012, respectively, with the increase in both periods due to increases in orders and revenues.</w:t>
      </w:r>
    </w:p>
    <w:p>
      <w:pPr>
        <w:spacing w:after="0" w:line="8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the relationship of agent premiums and agent commissions: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980" w:type="dxa"/>
            <w:vAlign w:val="bottom"/>
            <w:tcBorders>
              <w:bottom w:val="single" w:sz="8" w:color="auto"/>
            </w:tcBorders>
          </w:tcPr>
          <w:p>
            <w:pPr>
              <w:spacing w:after="0"/>
              <w:rPr>
                <w:sz w:val="16"/>
                <w:szCs w:val="16"/>
                <w:color w:val="auto"/>
              </w:rPr>
            </w:pPr>
          </w:p>
        </w:tc>
      </w:tr>
      <w:tr>
        <w:trPr>
          <w:trHeight w:val="264"/>
        </w:trPr>
        <w:tc>
          <w:tcPr>
            <w:tcW w:w="27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r>
      <w:tr>
        <w:trPr>
          <w:trHeight w:val="196"/>
        </w:trPr>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5"/>
          </w:tcPr>
          <w:p>
            <w:pPr>
              <w:ind w:left="4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Agent premiums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Agent commissions</w:t>
            </w: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2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retained agent premiums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2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provision for title claim losses includes an estimate of anticipated title and title-related claims and escrow losses. The estimate of anticipated title and title-related claims is accrued as a percentage of title premium revenue based on our historical loss experience and other relevant factors. We monitor our claims loss experience on a continual basis and adjust the provision for title claim losses accordingly as new information becomes known, new loss patterns emerge, or as other contributing factors are considered and incorporated into the analysis of the reserve for claim losses. The claim loss provision for title insurance was $79 million and $77 million for the three-month periods ended June 30, 2013 and 2012, respectively and $144 million and $131 million for the six-month periods ended June 30, 2013 and 2012, respectively, and reflects an average provision rate of 7% of title premiums. We will continue to monitor and evaluate our loss provision level, actual claims paid, and the loss reserve position each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Remy</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this segment reflected in the three and six months ended June 30, 2013, reflect results of Remy and subsidiaries, which were initially consolidated on August 14, 2012.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Three months ended</w:t>
            </w:r>
          </w:p>
        </w:tc>
        <w:tc>
          <w:tcPr>
            <w:tcW w:w="220" w:type="dxa"/>
            <w:vAlign w:val="bottom"/>
          </w:tcPr>
          <w:p>
            <w:pPr>
              <w:spacing w:after="0"/>
              <w:rPr>
                <w:sz w:val="16"/>
                <w:szCs w:val="16"/>
                <w:color w:val="auto"/>
              </w:rPr>
            </w:pPr>
          </w:p>
        </w:tc>
        <w:tc>
          <w:tcPr>
            <w:tcW w:w="1480" w:type="dxa"/>
            <w:vAlign w:val="bottom"/>
          </w:tcPr>
          <w:p>
            <w:pPr>
              <w:jc w:val="right"/>
              <w:ind w:right="213"/>
              <w:spacing w:after="0"/>
              <w:rPr>
                <w:sz w:val="20"/>
                <w:szCs w:val="20"/>
                <w:color w:val="auto"/>
              </w:rPr>
            </w:pPr>
            <w:r>
              <w:rPr>
                <w:rFonts w:ascii="Arial" w:cs="Arial" w:eastAsia="Arial" w:hAnsi="Arial"/>
                <w:sz w:val="14"/>
                <w:szCs w:val="14"/>
                <w:b w:val="1"/>
                <w:bCs w:val="1"/>
                <w:color w:val="auto"/>
                <w:w w:val="96"/>
              </w:rPr>
              <w:t>Six months ended</w:t>
            </w:r>
          </w:p>
        </w:tc>
      </w:tr>
      <w:tr>
        <w:trPr>
          <w:trHeight w:val="203"/>
        </w:trPr>
        <w:tc>
          <w:tcPr>
            <w:tcW w:w="7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2013</w:t>
            </w:r>
          </w:p>
        </w:tc>
        <w:tc>
          <w:tcPr>
            <w:tcW w:w="220" w:type="dxa"/>
            <w:vAlign w:val="bottom"/>
          </w:tcPr>
          <w:p>
            <w:pPr>
              <w:spacing w:after="0"/>
              <w:rPr>
                <w:sz w:val="17"/>
                <w:szCs w:val="17"/>
                <w:color w:val="auto"/>
              </w:rPr>
            </w:pPr>
          </w:p>
        </w:tc>
        <w:tc>
          <w:tcPr>
            <w:tcW w:w="1480" w:type="dxa"/>
            <w:vAlign w:val="bottom"/>
          </w:tcPr>
          <w:p>
            <w:pPr>
              <w:jc w:val="right"/>
              <w:ind w:right="353"/>
              <w:spacing w:after="0"/>
              <w:rPr>
                <w:sz w:val="20"/>
                <w:szCs w:val="20"/>
                <w:color w:val="auto"/>
              </w:rPr>
            </w:pPr>
            <w:r>
              <w:rPr>
                <w:rFonts w:ascii="Arial" w:cs="Arial" w:eastAsia="Arial" w:hAnsi="Arial"/>
                <w:sz w:val="14"/>
                <w:szCs w:val="14"/>
                <w:b w:val="1"/>
                <w:bCs w:val="1"/>
                <w:color w:val="auto"/>
              </w:rPr>
              <w:t>June 30, 2013</w:t>
            </w:r>
          </w:p>
        </w:tc>
      </w:tr>
      <w:tr>
        <w:trPr>
          <w:trHeight w:val="343"/>
        </w:trPr>
        <w:tc>
          <w:tcPr>
            <w:tcW w:w="7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right"/>
              <w:ind w:right="1293"/>
              <w:spacing w:after="0"/>
              <w:rPr>
                <w:sz w:val="20"/>
                <w:szCs w:val="20"/>
                <w:color w:val="auto"/>
              </w:rPr>
            </w:pPr>
            <w:r>
              <w:rPr>
                <w:rFonts w:ascii="Arial" w:cs="Arial" w:eastAsia="Arial" w:hAnsi="Arial"/>
                <w:sz w:val="14"/>
                <w:szCs w:val="14"/>
                <w:b w:val="1"/>
                <w:bCs w:val="1"/>
                <w:color w:val="auto"/>
              </w:rPr>
              <w:t>(In millions)</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Auto parts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568</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790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565</w:t>
            </w: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16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46</w:t>
            </w: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auto parts revenue, includes $18 and $36 of depreciation and amortization,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16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23</w:t>
            </w: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10</w:t>
            </w:r>
          </w:p>
        </w:tc>
      </w:tr>
      <w:tr>
        <w:trPr>
          <w:trHeight w:val="27"/>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1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562</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Earnings from continuing operations before income taxes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r>
      <w:tr>
        <w:trPr>
          <w:trHeight w:val="20"/>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results of the Remy segment for the three and six months ending June 30, 2013, were negatively affected by $3 million in debt extinguishment costs and $2 million of restructuring charges. Also affecting the six months ending June 30, 2013 was a a $7 million charge to Personnel costs for a one-time executive separation payment made to Remy's former Chief Executive Officer and President pursuant to the terms of a Transition, Noncompetition and Release Agreement, effective February 28, 2013.</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Group</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this segment include results of ABRH as of the date of acquisition, which includes legacy O'Charley's as of April 9, 2012 and legacy ABRH as of May 11, 2012, and J. Alexander's, which was initially consolidated during the third quarter of 2012.</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52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192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w w:val="91"/>
              </w:rPr>
              <w:t>Six months ended June 30,</w:t>
            </w:r>
          </w:p>
        </w:tc>
      </w:tr>
      <w:tr>
        <w:trPr>
          <w:trHeight w:val="264"/>
        </w:trPr>
        <w:tc>
          <w:tcPr>
            <w:tcW w:w="674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2012</w:t>
            </w:r>
          </w:p>
        </w:tc>
      </w:tr>
      <w:tr>
        <w:trPr>
          <w:trHeight w:val="190"/>
        </w:trPr>
        <w:tc>
          <w:tcPr>
            <w:tcW w:w="6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55"/>
        </w:trPr>
        <w:tc>
          <w:tcPr>
            <w:tcW w:w="6740" w:type="dxa"/>
            <w:vAlign w:val="bottom"/>
          </w:tcPr>
          <w:p>
            <w:pPr>
              <w:ind w:left="40"/>
              <w:spacing w:after="0"/>
              <w:rPr>
                <w:sz w:val="20"/>
                <w:szCs w:val="20"/>
                <w:color w:val="auto"/>
              </w:rPr>
            </w:pPr>
            <w:r>
              <w:rPr>
                <w:rFonts w:ascii="Arial" w:cs="Arial" w:eastAsia="Arial" w:hAnsi="Arial"/>
                <w:sz w:val="18"/>
                <w:szCs w:val="18"/>
                <w:color w:val="auto"/>
              </w:rPr>
              <w:t>Revenues:</w:t>
            </w: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
        </w:trPr>
        <w:tc>
          <w:tcPr>
            <w:tcW w:w="6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 revenue</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8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71</w:t>
            </w:r>
          </w:p>
        </w:tc>
      </w:tr>
      <w:tr>
        <w:trPr>
          <w:trHeight w:val="27"/>
        </w:trPr>
        <w:tc>
          <w:tcPr>
            <w:tcW w:w="67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Expenses:</w:t>
            </w: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Cost of restaurant revenue</w:t>
            </w:r>
          </w:p>
        </w:tc>
        <w:tc>
          <w:tcPr>
            <w:tcW w:w="8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295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215</w:t>
            </w:r>
          </w:p>
        </w:tc>
      </w:tr>
      <w:tr>
        <w:trPr>
          <w:trHeight w:val="27"/>
        </w:trPr>
        <w:tc>
          <w:tcPr>
            <w:tcW w:w="6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7"/>
        </w:trPr>
        <w:tc>
          <w:tcPr>
            <w:tcW w:w="6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8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37"/>
        </w:trPr>
        <w:tc>
          <w:tcPr>
            <w:tcW w:w="674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8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342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261</w:t>
            </w:r>
          </w:p>
        </w:tc>
      </w:tr>
      <w:tr>
        <w:trPr>
          <w:trHeight w:val="27"/>
        </w:trPr>
        <w:tc>
          <w:tcPr>
            <w:tcW w:w="67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before income taxes</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r>
      <w:tr>
        <w:trPr>
          <w:trHeight w:val="20"/>
        </w:trPr>
        <w:tc>
          <w:tcPr>
            <w:tcW w:w="6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results of the Restaurant Group for the three and six months ending June 30, 2013 were negatively affected by $2 million and $10 million, respectively, of transaction and integration costs included in Other operating expenses. Included in the three and six months ending June 30, 2012 was a $73 million realized gain on the consolidation of legacy O'Charley's and ABRH. Prior to the consolidation of legacy O'Charley's and ABRH, we held a $14 million investment in common stock of O'Charley's, which was</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1"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included in Equity securities available for sale on the Consolidated Balance Sheet and a $37 million investment in ABRH which was included in Investments in unconsolidated affiliates on the Consolidated Balance Sheet. As a result of the difference between our basis in these investments and the fair value at the time of consolidation, we recognized a $73 million realized gain.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9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Corporate and Other segment consists of the operations of the parent holding company, certain other unallocated corporate overhead expenses, our employee benefits agency, Digital Insurance, other smaller operations, and our share in the operations of certain equity investments, including Ceridian. The Corporate and Other segment generated revenues of $38 million and $11 million in the three-month periods ended June 30, 2013 and 2012, respectively, and $66 million and $26 million in the six-month periods ended June 30, 2013 and 2012, respectively, with the increase mainly due to the addition of Digital Insurance in the fourth quarter of 2012 which contributed $16 million and $32 million of revenue to Escrow and title-related and other fees in the three and six months ending June 30, 2013, respectively.</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Personnel costs increased $20 million in the three months ended June 30, 2013 compared to the 2012 period, and increased $38 million in the six months ended June 30, 2013 compared to the 2012 period, both due to $8 million and $16 million of additional expense recorded in the three and six months ended June 30, 2013, respectively, related to the accrual for our Long Term Incentive Plan established in the third quarter of 2012, which is tied to the fair value of certain of our non-title operations. Also included were $9 million and $18 million in personnel costs, in the three and six months ended June 30, 2013, respectively, at Digital Insurance.</w:t>
      </w:r>
    </w:p>
    <w:p>
      <w:pPr>
        <w:spacing w:after="0" w:line="8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This segment generated pretax losses of $59 million and $35 million in the three-month periods ended June 30, 2013 and 2012, respectively, and $89 million and $58 million in the six-month periods ended June 30, 2013 and 2012, respectively. The increase in pre-tax losses was due mainly to the increase in personnel costs in 2013 as discussed above as well as an increase in other operating expenses during the three and six months ending June 30, 2013 for a $20 million accrual related to an employment litigation matter and $3 million in transaction costs related to the LPS acquisition.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Cash Requirements. </w:t>
      </w:r>
      <w:r>
        <w:rPr>
          <w:rFonts w:ascii="Arial" w:cs="Arial" w:eastAsia="Arial" w:hAnsi="Arial"/>
          <w:sz w:val="17"/>
          <w:szCs w:val="17"/>
          <w:color w:val="auto"/>
        </w:rPr>
        <w:t>Our current cash requirements include personnel costs, operating expenses, claim payments, taxes, payments of interest and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on our debt, capital expenditures, business acquisitions, stock repurchases, and dividends on our common stock. We paid dividends of $0.16 per share for the second quarter of 2013, or approximately $36 million. On July 22, 2013, our Board of Directors declared cash dividends of $0.16 per share, payable on September 30, 2013, to shareholders of record as of September 16, 2013.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 Additional uses of cash flow are expected to include stock repurchases, acquisitions, and debt repayments.We continually assess our capital allocation strategy, including decisions relating to the amount of our dividend, reducing debt, repurchasing our stock, and/or conserving cash. 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18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other distributions. As of December 31, 2012, $1,997 million of our net assets were restricted from dividend payments without prior approval from the relevant departments of insurance. As of June 30, 2013, our title subsidiaries could pay or make distributions to us of approximately $184 million without prior approval. Our underwritten title companies and non-insurance subsidiaries collect revenue and pay operating expenses. However, they are not regulated to the same extent as our insurance subsidiaries.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cash flows provided by operations for the six months ended June 30, 2013 and 2012 totaled $214 million and $193 million, respectively. The increase of $21 million is mainly due to increased revenue from our title operations.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were $65 million and $27 million for the six-month periods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2013 and 2012, respectively, with the increase relating to capital expenditures in the Fidelity National Title Group segment for technology equipment of $6 million, furniture and equipment of $4 million, and $4 million for leasehold improvements, $10 million in our Restaurant Group segment to remodel restaurants, and $13 million in our Remy segment on property and equipment.</w:t>
      </w:r>
    </w:p>
    <w:p>
      <w:pPr>
        <w:spacing w:after="0" w:line="18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 xml:space="preserve">Financing. </w:t>
      </w:r>
      <w:r>
        <w:rPr>
          <w:rFonts w:ascii="Arial" w:cs="Arial" w:eastAsia="Arial" w:hAnsi="Arial"/>
          <w:sz w:val="16"/>
          <w:szCs w:val="16"/>
          <w:color w:val="auto"/>
        </w:rPr>
        <w:t>On July 11, 2013, we entered into a term loan credit agreement with Bank of America, N.A., as administrative agent (in such capacity, the</w:t>
      </w:r>
      <w:r>
        <w:rPr>
          <w:rFonts w:ascii="Arial" w:cs="Arial" w:eastAsia="Arial" w:hAnsi="Arial"/>
          <w:sz w:val="16"/>
          <w:szCs w:val="16"/>
          <w:i w:val="1"/>
          <w:iCs w:val="1"/>
          <w:color w:val="auto"/>
        </w:rPr>
        <w:t xml:space="preserve"> </w:t>
      </w:r>
      <w:r>
        <w:rPr>
          <w:rFonts w:ascii="Arial" w:cs="Arial" w:eastAsia="Arial" w:hAnsi="Arial"/>
          <w:sz w:val="16"/>
          <w:szCs w:val="16"/>
          <w:color w:val="auto"/>
        </w:rPr>
        <w:t>“TL Administrative Agent”), the lenders party thereto and the other agents party thereto (the “Term Loan Agreement”). The Term Loan Agreement permits us to borrow up to $1.1 billion to fund the Acquisition of LPS. The term loans under the Term Loan Agreement mature on the date that is five years from the funding date of the term loans under the Term Loan Agreement. Term loans under the Term Loan Agreement generally bear interest at a variable rate based on either (i) the base rate (which is the highest of (a) one-half of one percent in excess of the federal funds rate, (b) the TL Administrative Agent’s “prime rate”, or (c) the sum of one percent plus one-month LIBOR) plus a margin of between 50 basis points and 100 basis points depending on the senior unsecured long-term debt ratings of FNF or (ii) LIBOR plus a margin of between 150 basis points and 200 basis points depending on the senior unsecured long-term debt ratings of FNF. Based on our current Moody’s and Standard &amp; Poor’s senior unsecured long-term debt ratings of Baa3/BBB-, respectively, the applicable margin for revolving loans subject to LIBOR is 175 basis points over LIBOR. In addition, we will pay an unused commitment fee of 25 basis points on the entire term loan facility until the earlier of the termination of the term loan commitments or the funding of the term loans. Under the Term Loan Agreement, we are subject to customary affirmative, negative and financial covenants, including, among other things, limits on the creation of liens, limits on the incurrence of indebtedness, restrictions on investments, dispositions and transactions with affiliates, limitations on dividends and other restricted payments, a minimum net worth and a maximum debt to capitalization ratio. The Term Loan Agreement also includes customary events of default for facilities of this type (with customary grace periods, as applicable) and provides that, if an event of default occurs and is continuing, the interest rate on all outstanding obligations may be increased, payments of all outstanding term loans may be accelerated and/or the lenders’ commitments may be terminated. In addition, upon the occurrence of certain insolvency or bankruptcy related events of default, all amounts payable under the Term Loan Agreement shall automatically become immediately due and payable, and the lenders’ commitments will automatically terminate. Under the Term Loan Agreement the financial covenants are the same as under the Restated Credit Agreement. There were no amounts borrowed or outstanding under the Term Loan Agreement as of June 30, 2013.</w:t>
      </w:r>
    </w:p>
    <w:p>
      <w:pPr>
        <w:spacing w:after="0" w:line="173"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June 25, 2013, we entered into an agreement to amend and restate our existing $800 million second amended and restated credit agreement (the “Existing Credit Agreement”), dated as of April 16, 2012 with Bank of America, N.A., as administrative agent (in such capacity, the “Administrative Agent”) and the other agents party thereto (the “Restated Credit Agreement”). Among other changes, the Restated Credit Agreement amends the Existing Credit Agreement to permit us to make a borrowing under the Restated Credit Agreement to finance a portion of the acquisition of LPS (the “Acquisition”) on a “limited conditionality” basis, incorporates other technical changes to permit us to enter into the Acquisition and extends the maturity of the Existing Credit Agreement. The lenders under the Existing Credit Agreement have agreed to extend the maturity date of their commitments under the credit facility from April 16, 2016 to July 15, 2018 under the Restated Credit Agreement. Revolving loans under the credit facility generally bear interest at a variable rate based on either (i) the base rate (which is the highest of (a) one-half of one percent in excess of the federal funds rate, (b) the Administrative Agent's “prime rate”, or (c) the sum of one percent plus one-month LIBOR) plus a margin of between 32.5 and 60 basis points depending on the senior unsecured long-term debt ratings of FNF or (ii) LIBOR plus a margin of between 132.5 and 160 basis points depending on the senior unsecured long-term debt ratings of FNF. Based on our current Moody’s and Standard &amp; Poor’s senior unsecured long-term debt ratings of Baa3/BBB-, respectively, the applicable margin for revolving loans subject to LIBOR is 145 basis points. In addition, we will pay an unused commitment fee of between 17.5 and 40 basis points on the entire facility, also depending on our senior unsecured long-term debt ratings. Under the Restated Credit Agreement, we are subject to customary affirmative, negative and financial covenants, including, among other things, limits on the creation of liens, limits on the incurrence of indebtedness, restrictions on investments, dispositions and transactions with affiliates, limitations on dividends and other restricted payments, a minimum net worth and a maximum debt to capitalization ratio. The Restated Credit Agreement also includes customary events of default for facilities of this type (with customary grace periods, as applicable) and provides that, if an event of default occurs and is continuing, the interest rate on all outstanding obligations may be increased, payments of all outstanding loans may be accelerated and/or the lenders' commitments may be terminated. In addition, upon the occurrence of certain insolvency or bankruptcy related events of default, all amounts payable under the Restated Credit Agreement shall automatically become immediately due and payable, and the lenders' commitments will automatically terminate. Under the Restated Credit Agreement the financial covenants remain essentially the same as under the Existing Credit Agreement, except that the total debt to total capitalization ratio limit of 35% will increase to</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37.5% for a period of one year after the closing of the Acquisition and the net worth test is reset. As of June 30, 2013, there were no amounts outstanding, nor were any amounts borrowed or repaid under this facility during the three and six months then ended.</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March 5, 2013, Remy entered into a First Amendment to its existing five year Asset-Based Revolving Credit Facility (the "Remy Credit Facility" and "Remy Credit Facility First Amendment") to extend the maturity date of the Remy Credit Facility from December 17, 2015 to September 5, 2018 and reduce the interest rate. The Remy Credit Facility now bears interest at a defined Base Rate plus 0.50%-1.00% per year or, at Remy's election, at an applicable LIBOR Rate plus 1.50%-2.00% per year and is paid monthly. The Remy Credit Facility First Amendment maintains the current maximum availability at $95 million, which may be increased, under certain circumstances, by $20 million, though the actual amount that may be borrowed is based on the amount of collateral. The Remy Credit Facility is secured by substantially all domestic accounts receivable and inventory. Remy will incur an unused commitment fee of 0.375% on the unused amount of commitments under the Remy Credit Facility First Amendment. Based upon the collateral supporting the Remy Credit Facility, the amount borrowed, and the outstanding letters of credit of $3 million, there was additional availability for borrowing of $79 million on June 30, 2013. The Remy Credit Facility contains various restrictive covenants, which include, among other things: (i) a maximum leverage ratio, decreasing over the term of the facility; (ii) a minimum interest coverage ratio, increasing over the term of the facility; (iii) limitations on capital expenditures; (iv) mandatory prepayments upon certain asset sales and debt issuances; (v) requirements for minimum liquidity; and (vi) limitations on the payment of dividends in excess of a specified amount. At June 30, 2013, the Remy Credit Facility balance was zero. There were no amounts borrowed or repaid on this facility during the three and six months ended June 30, 2013.</w:t>
      </w:r>
    </w:p>
    <w:p>
      <w:pPr>
        <w:spacing w:after="0" w:line="8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March 5, 2013, Remy entered into a $300 million Amended and Restated Term B Loan Credit Agreement ("Term B Amendment") to refinance the existing $287 million Term B Loan, extend the maturity from December 17, 2016 to March 5, 2020, and reduce the interest rate. The Term B Loan now bears interest at LIBOR (subject to a floor of 1.25%) plus 3% per year, with an original issue discount of $1 million. The Term B Amendment also contains an option to increase the borrowing provided certain conditions are satisfied, including maintaining a maximum leverage ratio. The Term B Loan is secured by a first priority lien on the stock of Remy's subsidiaries and substantially all domestic assets other than accounts receivable and inventory pledged to the Remy Credit Facility. Principal payments in the amount of approximately $1 million are due at the end of each calendar quarter with termination and final payment no later than March 5, 2020. The Term B Loan also includes covenants and events of default customary for a facility of this type, including a cross-default provision under which the lenders may declare the loan in default if Remy (i) fails to make a payment when due under any debt having a principal amount greater than $5 million or (ii) breaches any other covenant in any such debt as a result of which the holders of such debt are permitted to accelerate its maturity. Remy is in compliance with all covenants as of June 30, 2013. The Term B Loan is subject to an excess cash calculation which may require the payment of additional principal on an annual basis. At June 30, 2013, the average borrowing rate, including the impact of the interest rate swaps, was 4.25%. As of June 30, 2013, there was $269 million outstanding. During the three and six months ended June 30, 2013, there was $1 million and $2 million, respectively, of principal repaid on this loan. There were no new borrowings made under this facility during the three and six months ended June 30, 2013.</w:t>
      </w:r>
    </w:p>
    <w:p>
      <w:pPr>
        <w:spacing w:after="0" w:line="6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August 28, 2012, we completed an offering of $400 million in aggregate principal amount of 5.50% notes due September 2022 (the "5.50% notes"), pursuant to an effective registration statement previously filed with the Securities and Exchange Commission. The notes were priced at 99.513% of par to yield 5.564% annual interest. As such we recorded a discount of $2 million, which is netted against the $400 million aggregate principal amount of the 5.50% notes. The discount is amortized to September 2022 when the 5.50% notes mature. The 5.50% notes pay interest semi-annually on the 1st of March and September, beginning March 1, 2013. We received net proceeds of $396 million, after expenses, which were used to repay the $237 million aggregate principal amount outstanding of our 5.25% unsecured notes maturing in March 2013, the $50 million outstanding on our revolving credit facility, and the remainder was held for general corporate purposes. These notes contain customary covenants and events of default for investment grade public debt. These events of default include a cross default provision, with respect to any other debt of the Company in an aggregate amount exceeding $100 million for all such debt, arising from (i) failure to make a principal payment when due or (ii) the occurrence of an event which results in such debt being due and payable prior to its scheduled maturity.</w:t>
      </w:r>
    </w:p>
    <w:p>
      <w:pPr>
        <w:spacing w:after="0" w:line="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May 31, 2012, ABRH entered into a credit agreement (the “ABRH Credit Facility”) with Wells Fargo Capital Finance, LLC as administrative agent and swing lender (the “ABRH Administrative Lender”) and the other financial institutions party thereto. The ABRH Credit Facility provides for a maximum revolving loan of $80 million with a maturity date of May 31, 2017. Additionally, the ABRH Credit Facility provides for a maximum term loan ("Restaurant Group Term Loan") of $85 million with quarterly installment repayments through December 25, 2016 and a maturity date of May 31, 2017 for the outstanding unpaid principal balance and all accrued and unpaid interest. On May 31, 2012, ABRH borrowed the entire $85 million under such term loan. Pricing for the ABRH Credit Facility is based on an applicable margin between 300 basis points to 375 basis points over LIBOR. The ABRH Credit Facility is subject to affirmative, negative and financial covenants customary for financings of this type, including, among other things, limits on ABRH's creation of liens, sales of assets, incurrence of indebtedness, restricted payments, transactions with affiliates, and certain amendments. The covenants addressing restricted payments include certain limitations on the declaration or payment of dividends by ABRH to its parent, Fidelity Newport Holdings, LLC (“FNH”), and by FNH to its members. The ABRH Credit Facility includes customary events of default for facilities of this type (with customary</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grace periods, as applicable), which include a cross-default provision whereby an event of default will be deemed to have occurred if (i) ABRH or any of its guarantors, which consists of FNH and certain of its subsidiaries, (together, the “Loan Parties”) or any of their subsidiaries default on any agreement with a third party of $2 million or more related to their indebtedness and such default (a) occurs at the final maturity of the obligations thereunder or (b) results in a right by such third party to accelerate such Loan Party's or its subsidiary's obligations or (ii) a default or an early termination occurs with respect to certain hedge agreements to which a Loan Party or its subsidiaries is a party involving an amount of $750,000 or more. The ABRH Credit Facility provides that, upon the occurrence of an event of default, the ABRH Administrative Lender may (i) declare the principal of, and any and all accrued and unpaid interest and fees in respect of, the loans immediately due and payable, (ii) terminate loan commitments and (iii) exercise all other rights and remedies available to the ABRH Administrative Lender or the lenders under the loan documents. As of June 30, 2013, the balance of the term loan was $69 million and there was no outstanding balance on the revolving loan. ABRH had $19 million of outstanding letters of credit and $61 million of remaining borrowing capacity under its revolving credit facility. During the three and six months ended June 30, 2013, $2 million and $4 million, respectively, of principal payments were made on this facility. There were no additional borrowings during the three and six months ended June 30, 2013.</w:t>
      </w:r>
    </w:p>
    <w:p>
      <w:pPr>
        <w:spacing w:after="0" w:line="146"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August 2, 2011, we completed an offering of $300 million in aggregate principal amount of 4.25% convertible senior notes due August 2018 (the "Notes") in an offering conducted in accordance with Rule 144A under the Securities Act of 1933, as amended. The Notes contain customary event-of-default provisions which, subject to certain notice and cure-period conditions, can result in the acceleration of the principal amount of, and accrued interest on, all outstanding Notes if we breach the terms of the Notes or the indenture pursuant to which the Notes were issued. The Notes are unsecured and unsubordinated obligations and (i) rank senior in right of payment to any of our existing or future unsecured indebtedness that is expressly subordinated in right of payment to the Notes; (ii) rank equal in right of payment to our existing and future unsecured indebtedness that is not so subordinated; (iii) are effectively subordinated in right of payment to any of our secured indebtedness to the extent of the value of the assets securing such indebtedness; and (iv) are structurally subordinated to all existing and future indebtedness and liabilities of our subsidiaries. Interest is payable on the principal amount of the Notes, semi-annually in arrears in cash on February 15 and August 15 of each year, commencing February 15, 2012. The Notes mature on August 15, 2018, unless earlier purchased by us or converted. The Notes were issued for cash at 100% of their principal amount. However, for financial reporting purposes, the notes were deemed to have been issued at 92.818% of par value, and as such we recorded a discount of $22 million to be amortized to August 2018, when the Notes mature. The Notes will be convertible into cash, shares of common stock, or a combination of cash and shares of common stock, at our election, based on an initial conversion rate, subject to adjustment, of 46.3870 shares per $1,000 principal amount of the Notes (which represents an initial conversion price of approximately $21.56 per share), only in the following circumstances and to the following extent: (i) during any calendar quarter commencing after December 31, 2011, if, for each of at least 20 trading days (whether or not consecutive) during the 30 consecutive trading day period ending on, and including, the last trading day of the immediately preceding calendar quarter, the last reported sale price per share of our common stock on such trading day is greater than or equal to 130% of the applicable conversion price on such trading day; (ii) during the five consecutive business day period immediately following any ten consecutive trading day period (the “measurement period”) in which, for each trading day of the measurement period, the trading price per $1,000 principal amount of notes was less than 98% of the product of the last reported sale price per share of our common stock on such trading day and the applicable conversion rate on such trading day; (iii) upon the occurrence of specified corporate transactions; or (iv) at any time on and after May 15, 2018. However, in all cases, the Notes will cease to be convertible at the close of business on the second scheduled trading day immediately preceding the maturity date. It is our intent and policy to settle conversions through “net-share settlement”. Generally, under “net-share settlement,” the conversion value is settled in cash, up to the principal amount being converted, and the conversion value in excess of the principal amount is settled in shares of our common stock.</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Remy has revolving credit facilities with four Korean banks with a total facility amount of approximately $16 million, of which $3 million is borrowed at average interest rates of 3.83% at June 30, 2013. During the three and six months ended June 30, 2013, Remy borrowed less than $1 million and repaid $3 million on this facility. In Hungary, Remy has a revolving credit facility with two separate banks for a credit facility of $4 million, of which nothing is borrowed at June 30, 2013. During the three months ended June 30, 2013 Remy did not borrow under this facility. During the six months ended June 30, 2013, Remy borrowed $2 million under this facility. Remy also repaid $5 million in the three and six months ending June 30, 2013. In Belgium, Remy has revolving loans with two banks for a credit facility of $3 million with no outstanding borrowings at June 30, 2013. There were no amounts borrowed or repaid on this loan during the three and six months ending June 30, 2013.</w:t>
      </w:r>
    </w:p>
    <w:p>
      <w:pPr>
        <w:spacing w:after="0" w:line="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May 5, 2010, we completed an offering of $300 million in aggregate principal amount of our 6.60% notes due May 2017 (the "6.60% Notes"), pursuant to an effective registration statement previously filed with the Securities and Exchange Commission. The 6.60% Notes were priced at 99.897% of par to yield 6.61% annual interest. As such, we recorded a discount of less than $1 million, which is netted against the $300 million aggregate principal amount of notes. The discount is amortized to May 2017 when the 6.60% Notes mature. We received net proceeds of $297 million, after expenses, which were used to repay outstanding borrowings under our credit agreement. Interest is payable semi-annually. These notes contain customary covenants and events of default for investment grade public debt. These events of default include a cross default provision, with respect to any other debt of the Company in an aggregate amount exceeding $100 million for all such debt, arising from (i) failure to make a principal</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payment when due or (ii) the occurrence of an event which results in such debt being due and payable prior to its scheduled maturity.</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Seasonality. </w:t>
      </w:r>
      <w:r>
        <w:rPr>
          <w:rFonts w:ascii="Arial" w:cs="Arial" w:eastAsia="Arial" w:hAnsi="Arial"/>
          <w:sz w:val="16"/>
          <w:szCs w:val="16"/>
          <w:color w:val="auto"/>
        </w:rPr>
        <w:t>Historically, real estate transactions have produced seasonal revenue levels for title insurers. The first calendar quarter is typically the</w:t>
      </w:r>
      <w:r>
        <w:rPr>
          <w:rFonts w:ascii="Arial" w:cs="Arial" w:eastAsia="Arial" w:hAnsi="Arial"/>
          <w:sz w:val="16"/>
          <w:szCs w:val="16"/>
          <w:i w:val="1"/>
          <w:iCs w:val="1"/>
          <w:color w:val="auto"/>
        </w:rPr>
        <w:t xml:space="preserve"> </w:t>
      </w:r>
      <w:r>
        <w:rPr>
          <w:rFonts w:ascii="Arial" w:cs="Arial" w:eastAsia="Arial" w:hAnsi="Arial"/>
          <w:sz w:val="16"/>
          <w:szCs w:val="16"/>
          <w:color w:val="auto"/>
        </w:rPr>
        <w:t>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We have noted short term fluctuations through recent years in resale and refinance transactions as a result of changes in interest rates and the implementation and subsequent expiration of government programs designed to stimulate the real estate market. In 2013, we have seen seasonality trends return to historical patterns. During 2012 and the first half of 2013, we experienced an increase in existing home sales to the highest volume levels since 2007. We have also seen a decline in total housing inventory to the lowest levels since 2005.</w:t>
      </w:r>
    </w:p>
    <w:p>
      <w:pPr>
        <w:spacing w:after="0" w:line="5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our Restaurant Group, average weekly sales per restaurant are typically higher in the first and fourth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Changes have been made to our payout schedule for Notes payable as follows: During the six months ended June 30, 2013, we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and extended our existing $800 million second amended and restated credit agreement to extend the maturity date under the credit facility from April 16, 2016 to July 15, 2018. During the six months ending June 30, 2013, Remy entered into a $300 million Term B Amendment to refinance the existing $287 million Term B Loan and extend the maturity from December 17, 2016 to March 5, 2020. See the "Financing" section above and Note E for further information on these obligations.</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Capital Stock Transactions</w:t>
      </w:r>
      <w:r>
        <w:rPr>
          <w:rFonts w:ascii="Arial" w:cs="Arial" w:eastAsia="Arial" w:hAnsi="Arial"/>
          <w:sz w:val="17"/>
          <w:szCs w:val="17"/>
          <w:color w:val="auto"/>
        </w:rPr>
        <w:t>. On July 21, 2012, our Board of Directors approved a three-year stock purchase program, effective August 1, 2012, under</w:t>
      </w:r>
      <w:r>
        <w:rPr>
          <w:rFonts w:ascii="Arial" w:cs="Arial" w:eastAsia="Arial" w:hAnsi="Arial"/>
          <w:sz w:val="17"/>
          <w:szCs w:val="17"/>
          <w:i w:val="1"/>
          <w:iCs w:val="1"/>
          <w:color w:val="auto"/>
        </w:rPr>
        <w:t xml:space="preserve"> </w:t>
      </w:r>
      <w:r>
        <w:rPr>
          <w:rFonts w:ascii="Arial" w:cs="Arial" w:eastAsia="Arial" w:hAnsi="Arial"/>
          <w:sz w:val="17"/>
          <w:szCs w:val="17"/>
          <w:color w:val="auto"/>
        </w:rPr>
        <w:t>which we can repurchase up to 15 million shares of our common stock through July 31, 2015. We may make repurchases from time to time in the open market, in block purchases or in privately negotiated transactions, depending on market conditions and other factors. We did not repurchase any shares during the three months ended June 30, 2013. In the six months ended June 30, 2013, we repurchased 1,400,000 shares for $34 million, or an average of $24.11 per share. Subsequent to June 30, 2013 through market close on August 2, 2013, we did not purchase any additional shares. Since the original commencement of the plan on August 1, 2012, we have repurchased a total of 2,080,000 shares for $50 million, or an average of $23.89 per share, and there are 12,920,000 shares available to be repurchased under this program.</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Equity Security and Preferred Stock Investments. </w:t>
      </w:r>
      <w:r>
        <w:rPr>
          <w:rFonts w:ascii="Arial" w:cs="Arial" w:eastAsia="Arial" w:hAnsi="Arial"/>
          <w:sz w:val="18"/>
          <w:szCs w:val="18"/>
          <w:color w:val="auto"/>
        </w:rPr>
        <w:t>Our equity security and preferred stock investments may be subject to significant volatility. Should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these investments fall below our cost basis and/or the financial condition or prospects of these companies deteriorate, we may determine in a future period that this decline in fair value is other-than-temporary, requiring that an impairment loss be recognized in the period such a determination is made.</w:t>
      </w:r>
    </w:p>
    <w:p>
      <w:pPr>
        <w:spacing w:after="0" w:line="18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Included in Equity securities available for sale are 1,603,860 shares of FIS stock which were purchased during the fourth quarter of 2009 in connection with a merger between FIS and Metavante Technologies, Inc. The fair value of our remaining investment was $69 million as of June 30, 2013.</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We do not engage in off-balance sheet activities other than facility and equipment leasing arrangements. On June 29,</w:t>
      </w:r>
      <w:r>
        <w:rPr>
          <w:rFonts w:ascii="Arial" w:cs="Arial" w:eastAsia="Arial" w:hAnsi="Arial"/>
          <w:sz w:val="17"/>
          <w:szCs w:val="17"/>
          <w:i w:val="1"/>
          <w:iCs w:val="1"/>
          <w:color w:val="auto"/>
        </w:rPr>
        <w:t xml:space="preserve"> </w:t>
      </w:r>
      <w:r>
        <w:rPr>
          <w:rFonts w:ascii="Arial" w:cs="Arial" w:eastAsia="Arial" w:hAnsi="Arial"/>
          <w:sz w:val="17"/>
          <w:szCs w:val="17"/>
          <w:color w:val="auto"/>
        </w:rPr>
        <w:t>2004 we entered into an off-balance sheet financing arrangement (commonly referred to as a “synthetic lease”). The owner/lessor in this arrangement acquired land and various real property improvements associated with new construction of an office building in Jacksonville, Florida, at our corporate campus and headquarters. The lessor financed the acquisition of the facilities through funding provided by third-party financial institutions. On June 27, 2011, we renewed and amended the synthetic lease for the facilities. The amended synthetic lease provides for a five year term ending June 27, 2016 and had an outstanding balance as of June 30, 2013 of $71 million. The amended lease includes guarantees by us of up to 83% of the outstanding lease balance, and options to purchase the facilities at the outstanding lease balance. The guarantee becomes effective if we decline to purchase the facilities or renew the lease at the end of its term. The lessor is a third-party company and we have no affiliation or relationship with the lessor or any of its employees, directors or affiliates, and transactions with the lessor are limited to the operating lease agreements and the associated rent expense that have been included in other operating expenses in the Condensed Consolidated Statements of Earnings. We do not believe the lessor is a variable interest entity, as defined in the FASB standard on consolidation of variable interest entities.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have been no material changes in our critical accounting policies described in our Annual Report on Form 10-K for our fiscal year ended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2012.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Exchange Act. Based on this evaluation, our principal executive officer and principal financial officer concluded that our disclosure controls and procedures are effective to ensure that information required to be disclosed by the Company in the reports that we file or submit under the Act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2013 that have materially affected, or are reasonably likely to materially affect,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2400" w:firstLine="324"/>
        <w:spacing w:after="0" w:line="256" w:lineRule="auto"/>
        <w:rPr>
          <w:sz w:val="20"/>
          <w:szCs w:val="20"/>
          <w:color w:val="auto"/>
        </w:rPr>
      </w:pPr>
      <w:r>
        <w:rPr>
          <w:rFonts w:ascii="Arial" w:cs="Arial" w:eastAsia="Arial" w:hAnsi="Arial"/>
          <w:sz w:val="18"/>
          <w:szCs w:val="18"/>
          <w:color w:val="auto"/>
        </w:rPr>
        <w:t>See discussion of legal proceedings in Note F to the Condensed Consolidated Financial Statements included in Item 1 of Part I of this Report, which is incorporated by reference into this Part II, Item 1, as well as Item 3. Legal Proceedings, in our Annual Report on Form 10-K for the year ended December 31, 2012.</w:t>
      </w:r>
    </w:p>
    <w:p>
      <w:pPr>
        <w:spacing w:after="0"/>
        <w:rPr>
          <w:sz w:val="20"/>
          <w:szCs w:val="20"/>
          <w:color w:val="auto"/>
        </w:rPr>
      </w:pPr>
      <w:r>
        <w:rPr>
          <w:rFonts w:ascii="Arial" w:cs="Arial" w:eastAsia="Arial" w:hAnsi="Arial"/>
          <w:sz w:val="18"/>
          <w:szCs w:val="18"/>
          <w:b w:val="1"/>
          <w:bCs w:val="1"/>
          <w:color w:val="auto"/>
        </w:rPr>
        <w:t>Item 1A. Risk Factors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to the significant risks and uncertainties described in our Annual Report on Form 10-K for the year ended December 31, 2012, we identified the following additional risks as a result of the signing of a definitive agreement under which we will acquire all of the outstanding common stock of Lender Processing Services ("LPS"). See discussion "</w:t>
      </w:r>
      <w:r>
        <w:rPr>
          <w:rFonts w:ascii="Arial" w:cs="Arial" w:eastAsia="Arial" w:hAnsi="Arial"/>
          <w:sz w:val="18"/>
          <w:szCs w:val="18"/>
          <w:i w:val="1"/>
          <w:iCs w:val="1"/>
          <w:color w:val="auto"/>
        </w:rPr>
        <w:t>Recent Developments</w:t>
      </w:r>
      <w:r>
        <w:rPr>
          <w:rFonts w:ascii="Arial" w:cs="Arial" w:eastAsia="Arial" w:hAnsi="Arial"/>
          <w:sz w:val="18"/>
          <w:szCs w:val="18"/>
          <w:color w:val="auto"/>
        </w:rPr>
        <w:t>" in Note A to the Condensed Consolidated Financial Statements included in Item 1 of Part I of this Report.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Our business, financial condition and results of operations could be adversely affected by risks associated with the acquisition of LPS.</w:t>
      </w:r>
    </w:p>
    <w:p>
      <w:pPr>
        <w:spacing w:after="0" w:line="2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FNF is expected to incur substantial expenses in connection with the merger of LPS, including banking, legal, accounting, financial adviser, data collection, and printing fees, among others. While FNF has assumed that a level of expenses would be incurred, there are many factors beyond our control, including the difficulty in estimating these expenses, that could affect the total amount or the timing of expenses. Also, time and resources committed by our management to matters related to the merger could otherwise have been devoted to pursuing other beneficial opportunities or to existing FNF businesses. The merger is subject to customary conditions some of which include state and federal regulatory approvals, potential shareholder approval, obtaining adequate financing, the absence of litigation, and other conditions under the LPS Merger Agreement. The merger will not close if one or more of these conditions is not satisfied or waived.</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unregistered sales of equity securities during the quarter ended June 30,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2020" w:type="dxa"/>
            <w:vAlign w:val="bottom"/>
            <w:gridSpan w:val="2"/>
          </w:tcPr>
          <w:p>
            <w:pPr>
              <w:spacing w:after="0"/>
              <w:rPr>
                <w:rFonts w:ascii="Arial" w:cs="Arial" w:eastAsia="Arial" w:hAnsi="Arial"/>
                <w:sz w:val="18"/>
                <w:szCs w:val="18"/>
                <w:b w:val="1"/>
                <w:bCs w:val="1"/>
                <w:color w:val="0000FF"/>
              </w:rPr>
            </w:pPr>
            <w:hyperlink w:anchor="page1">
              <w:r>
                <w:rPr>
                  <w:rFonts w:ascii="Arial" w:cs="Arial" w:eastAsia="Arial" w:hAnsi="Arial"/>
                  <w:sz w:val="18"/>
                  <w:szCs w:val="18"/>
                  <w:b w:val="1"/>
                  <w:bCs w:val="1"/>
                  <w:color w:val="0000FF"/>
                </w:rPr>
                <w:t>Table of Contents</w:t>
              </w:r>
            </w:hyperlink>
          </w:p>
        </w:tc>
        <w:tc>
          <w:tcPr>
            <w:tcW w:w="9380" w:type="dxa"/>
            <w:vAlign w:val="bottom"/>
          </w:tcPr>
          <w:p>
            <w:pPr>
              <w:spacing w:after="0"/>
              <w:rPr>
                <w:sz w:val="17"/>
                <w:szCs w:val="17"/>
                <w:color w:val="auto"/>
              </w:rPr>
            </w:pPr>
          </w:p>
        </w:tc>
      </w:tr>
      <w:tr>
        <w:trPr>
          <w:trHeight w:val="696"/>
        </w:trPr>
        <w:tc>
          <w:tcPr>
            <w:tcW w:w="136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color w:val="auto"/>
              </w:rPr>
              <w:t>Item 6. Exhibits</w:t>
            </w:r>
          </w:p>
        </w:tc>
        <w:tc>
          <w:tcPr>
            <w:tcW w:w="660" w:type="dxa"/>
            <w:vAlign w:val="bottom"/>
          </w:tcPr>
          <w:p>
            <w:pPr>
              <w:spacing w:after="0"/>
              <w:rPr>
                <w:sz w:val="24"/>
                <w:szCs w:val="24"/>
                <w:color w:val="auto"/>
              </w:rPr>
            </w:pPr>
          </w:p>
        </w:tc>
        <w:tc>
          <w:tcPr>
            <w:tcW w:w="9380" w:type="dxa"/>
            <w:vAlign w:val="bottom"/>
          </w:tcPr>
          <w:p>
            <w:pPr>
              <w:spacing w:after="0"/>
              <w:rPr>
                <w:sz w:val="24"/>
                <w:szCs w:val="24"/>
                <w:color w:val="auto"/>
              </w:rPr>
            </w:pPr>
          </w:p>
        </w:tc>
      </w:tr>
      <w:tr>
        <w:trPr>
          <w:trHeight w:val="324"/>
        </w:trPr>
        <w:tc>
          <w:tcPr>
            <w:tcW w:w="2020" w:type="dxa"/>
            <w:vAlign w:val="bottom"/>
            <w:gridSpan w:val="2"/>
          </w:tcPr>
          <w:p>
            <w:pPr>
              <w:ind w:left="240"/>
              <w:spacing w:after="0"/>
              <w:rPr>
                <w:sz w:val="20"/>
                <w:szCs w:val="20"/>
                <w:color w:val="auto"/>
              </w:rPr>
            </w:pPr>
            <w:r>
              <w:rPr>
                <w:rFonts w:ascii="Arial" w:cs="Arial" w:eastAsia="Arial" w:hAnsi="Arial"/>
                <w:sz w:val="18"/>
                <w:szCs w:val="18"/>
                <w:color w:val="auto"/>
              </w:rPr>
              <w:t>(a) Exhibits:</w:t>
            </w:r>
          </w:p>
        </w:tc>
        <w:tc>
          <w:tcPr>
            <w:tcW w:w="9380" w:type="dxa"/>
            <w:vAlign w:val="bottom"/>
          </w:tcPr>
          <w:p>
            <w:pPr>
              <w:spacing w:after="0"/>
              <w:rPr>
                <w:sz w:val="24"/>
                <w:szCs w:val="24"/>
                <w:color w:val="auto"/>
              </w:rPr>
            </w:pPr>
          </w:p>
        </w:tc>
      </w:tr>
      <w:tr>
        <w:trPr>
          <w:trHeight w:val="364"/>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5"/>
              </w:rPr>
              <w:t>3.1</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4"/>
              </w:rPr>
              <w:t>Second Amended and Restated Bylaws of the Registrant, as adopted on July 22, 2013 (incorporated by reference to</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Exhibit 3.1 to the Registrant's Current Report on Form 8-K filed on July 25, 2013).</w:t>
            </w:r>
          </w:p>
        </w:tc>
      </w:tr>
      <w:tr>
        <w:trPr>
          <w:trHeight w:val="540"/>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5"/>
              </w:rPr>
              <w:t>3.2</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Third Amended and Restated Certificate of Incorporation of Fidelity National Financial</w:t>
            </w:r>
          </w:p>
        </w:tc>
      </w:tr>
      <w:tr>
        <w:trPr>
          <w:trHeight w:val="540"/>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31.1</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540"/>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31.2</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526"/>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32.1</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4"/>
              </w:rPr>
              <w:t>Certification by Chief Executive Officer of Periodic Financial Reports pursuant to Section 906 of the Sarbanes-Oxley</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Act of 2002, 18 U.S.C. Section 1350.</w:t>
            </w:r>
          </w:p>
        </w:tc>
      </w:tr>
      <w:tr>
        <w:trPr>
          <w:trHeight w:val="526"/>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32.2</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2"/>
              </w:rPr>
              <w:t>Certification by Chief Financial Officer of Periodic Financial Reports pursuant to Section 906 of the Sarbanes-Oxley Act</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of 2002, 18 U.S.C. Section 1350.</w:t>
            </w:r>
          </w:p>
        </w:tc>
      </w:tr>
      <w:tr>
        <w:trPr>
          <w:trHeight w:val="526"/>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3"/>
              </w:rPr>
              <w:t>101</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4"/>
              </w:rPr>
              <w:t>The following materials from Fidelity National Financial's Quarterly Report on Form 10-Q for the quarter ended June</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6"/>
              </w:rPr>
              <w:t>30, 2013, formatted in Extensible Business Reporting Language (XBRL): (i) the Condensed Consolidated Balance</w:t>
            </w:r>
          </w:p>
        </w:tc>
      </w:tr>
    </w:tbl>
    <w:p>
      <w:pPr>
        <w:jc w:val="both"/>
        <w:ind w:left="2660" w:right="20"/>
        <w:spacing w:after="0" w:line="277" w:lineRule="auto"/>
        <w:rPr>
          <w:sz w:val="20"/>
          <w:szCs w:val="20"/>
          <w:color w:val="auto"/>
        </w:rPr>
      </w:pPr>
      <w:r>
        <w:rPr>
          <w:rFonts w:ascii="Arial" w:cs="Arial" w:eastAsia="Arial" w:hAnsi="Arial"/>
          <w:sz w:val="17"/>
          <w:szCs w:val="17"/>
          <w:color w:val="auto"/>
        </w:rPr>
        <w:t>Sheets, (ii) the Condensed Consolidated Statements of Earnings, (iii) the Condensed Consolidated Statements of Comprehensive Earnings, (iv) the Condensed Consolidated Statements of Stockholders' Equity, (v) the Condensed Consolidated Statements of Cash Flows, and (vi) the Notes to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08"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Date: August 7, 2013</w:t>
            </w:r>
          </w:p>
        </w:tc>
        <w:tc>
          <w:tcPr>
            <w:tcW w:w="6420" w:type="dxa"/>
            <w:vAlign w:val="bottom"/>
            <w:gridSpan w:val="2"/>
          </w:tcPr>
          <w:p>
            <w:pPr>
              <w:ind w:left="1720"/>
              <w:spacing w:after="0"/>
              <w:rPr>
                <w:sz w:val="20"/>
                <w:szCs w:val="20"/>
                <w:color w:val="auto"/>
              </w:rPr>
            </w:pPr>
            <w:r>
              <w:rPr>
                <w:rFonts w:ascii="Arial" w:cs="Arial" w:eastAsia="Arial" w:hAnsi="Arial"/>
                <w:sz w:val="18"/>
                <w:szCs w:val="18"/>
                <w:color w:val="auto"/>
              </w:rPr>
              <w:t>FIDELITY NATIONAL FINANCIAL, INC.</w:t>
            </w:r>
          </w:p>
        </w:tc>
      </w:tr>
      <w:tr>
        <w:trPr>
          <w:trHeight w:val="230"/>
        </w:trPr>
        <w:tc>
          <w:tcPr>
            <w:tcW w:w="3280" w:type="dxa"/>
            <w:vAlign w:val="bottom"/>
          </w:tcPr>
          <w:p>
            <w:pPr>
              <w:spacing w:after="0"/>
              <w:rPr>
                <w:sz w:val="20"/>
                <w:szCs w:val="20"/>
                <w:color w:val="auto"/>
              </w:rPr>
            </w:pPr>
          </w:p>
        </w:tc>
        <w:tc>
          <w:tcPr>
            <w:tcW w:w="6420" w:type="dxa"/>
            <w:vAlign w:val="bottom"/>
            <w:gridSpan w:val="2"/>
          </w:tcPr>
          <w:p>
            <w:pPr>
              <w:ind w:left="1720"/>
              <w:spacing w:after="0"/>
              <w:rPr>
                <w:sz w:val="20"/>
                <w:szCs w:val="20"/>
                <w:color w:val="auto"/>
              </w:rPr>
            </w:pPr>
            <w:r>
              <w:rPr>
                <w:rFonts w:ascii="Arial" w:cs="Arial" w:eastAsia="Arial" w:hAnsi="Arial"/>
                <w:sz w:val="18"/>
                <w:szCs w:val="18"/>
                <w:color w:val="auto"/>
              </w:rPr>
              <w:t>(registrant)</w:t>
            </w:r>
          </w:p>
        </w:tc>
      </w:tr>
      <w:tr>
        <w:trPr>
          <w:trHeight w:val="486"/>
        </w:trPr>
        <w:tc>
          <w:tcPr>
            <w:tcW w:w="3280" w:type="dxa"/>
            <w:vAlign w:val="bottom"/>
          </w:tcPr>
          <w:p>
            <w:pPr>
              <w:spacing w:after="0"/>
              <w:rPr>
                <w:sz w:val="24"/>
                <w:szCs w:val="24"/>
                <w:color w:val="auto"/>
              </w:rPr>
            </w:pPr>
          </w:p>
        </w:tc>
        <w:tc>
          <w:tcPr>
            <w:tcW w:w="6420" w:type="dxa"/>
            <w:vAlign w:val="bottom"/>
            <w:gridSpan w:val="2"/>
          </w:tcPr>
          <w:p>
            <w:pPr>
              <w:ind w:left="1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Anthony J. Park</w:t>
            </w:r>
          </w:p>
        </w:tc>
      </w:tr>
      <w:tr>
        <w:trPr>
          <w:trHeight w:val="27"/>
        </w:trPr>
        <w:tc>
          <w:tcPr>
            <w:tcW w:w="3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Anthony J. Park</w:t>
            </w:r>
          </w:p>
        </w:tc>
      </w:tr>
      <w:tr>
        <w:trPr>
          <w:trHeight w:val="256"/>
        </w:trPr>
        <w:tc>
          <w:tcPr>
            <w:tcW w:w="32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3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r>
        <w:trPr>
          <w:trHeight w:val="486"/>
        </w:trPr>
        <w:tc>
          <w:tcPr>
            <w:tcW w:w="3280" w:type="dxa"/>
            <w:vAlign w:val="bottom"/>
          </w:tcPr>
          <w:p>
            <w:pPr>
              <w:spacing w:after="0"/>
              <w:rPr>
                <w:sz w:val="24"/>
                <w:szCs w:val="24"/>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4300" w:type="dxa"/>
            <w:vAlign w:val="bottom"/>
          </w:tcPr>
          <w:p>
            <w:pPr>
              <w:spacing w:after="0"/>
              <w:rPr>
                <w:sz w:val="24"/>
                <w:szCs w:val="24"/>
                <w:color w:val="auto"/>
              </w:rPr>
            </w:pPr>
          </w:p>
        </w:tc>
      </w:tr>
    </w:tbl>
    <w:p>
      <w:pPr>
        <w:sectPr>
          <w:pgSz w:w="11900" w:h="16838" w:orient="portrait"/>
          <w:cols w:equalWidth="0" w:num="1">
            <w:col w:w="11380"/>
          </w:cols>
          <w:pgMar w:left="240" w:top="121"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780" w:type="dxa"/>
            <w:vAlign w:val="bottom"/>
          </w:tcPr>
          <w:p>
            <w:pPr>
              <w:ind w:left="2380"/>
              <w:spacing w:after="0"/>
              <w:rPr>
                <w:sz w:val="20"/>
                <w:szCs w:val="20"/>
                <w:color w:val="auto"/>
              </w:rPr>
            </w:pPr>
            <w:r>
              <w:rPr>
                <w:rFonts w:ascii="Arial" w:cs="Arial" w:eastAsia="Arial" w:hAnsi="Arial"/>
                <w:sz w:val="18"/>
                <w:szCs w:val="18"/>
                <w:b w:val="1"/>
                <w:bCs w:val="1"/>
                <w:color w:val="auto"/>
              </w:rPr>
              <w:t>EXHIBIT INDEX</w:t>
            </w:r>
          </w:p>
        </w:tc>
      </w:tr>
      <w:tr>
        <w:trPr>
          <w:trHeight w:val="326"/>
        </w:trPr>
        <w:tc>
          <w:tcPr>
            <w:tcW w:w="264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8"/>
              </w:rPr>
              <w:t>Exhibit</w:t>
            </w:r>
          </w:p>
        </w:tc>
        <w:tc>
          <w:tcPr>
            <w:tcW w:w="8780" w:type="dxa"/>
            <w:vAlign w:val="bottom"/>
          </w:tcPr>
          <w:p>
            <w:pPr>
              <w:spacing w:after="0"/>
              <w:rPr>
                <w:sz w:val="24"/>
                <w:szCs w:val="24"/>
                <w:color w:val="auto"/>
              </w:rPr>
            </w:pPr>
          </w:p>
        </w:tc>
      </w:tr>
      <w:tr>
        <w:trPr>
          <w:trHeight w:val="209"/>
        </w:trPr>
        <w:tc>
          <w:tcPr>
            <w:tcW w:w="264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88"/>
              </w:rPr>
              <w:t>No.</w:t>
            </w:r>
          </w:p>
        </w:tc>
        <w:tc>
          <w:tcPr>
            <w:tcW w:w="8780" w:type="dxa"/>
            <w:vAlign w:val="bottom"/>
          </w:tcPr>
          <w:p>
            <w:pPr>
              <w:ind w:left="404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160" w:type="dxa"/>
            <w:vAlign w:val="bottom"/>
            <w:tcBorders>
              <w:top w:val="single" w:sz="8" w:color="auto"/>
            </w:tcBorders>
          </w:tcPr>
          <w:p>
            <w:pPr>
              <w:spacing w:after="0"/>
              <w:rPr>
                <w:sz w:val="19"/>
                <w:szCs w:val="19"/>
                <w:color w:val="auto"/>
              </w:rPr>
            </w:pPr>
          </w:p>
        </w:tc>
        <w:tc>
          <w:tcPr>
            <w:tcW w:w="1480" w:type="dxa"/>
            <w:vAlign w:val="bottom"/>
          </w:tcPr>
          <w:p>
            <w:pPr>
              <w:spacing w:after="0"/>
              <w:rPr>
                <w:sz w:val="19"/>
                <w:szCs w:val="19"/>
                <w:color w:val="auto"/>
              </w:rPr>
            </w:pPr>
          </w:p>
        </w:tc>
        <w:tc>
          <w:tcPr>
            <w:tcW w:w="8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4"/>
              </w:rPr>
              <w:t>Second Amended and Restated Bylaws of the Registrant, as adopted on July 22, 2013 (incorporated by reference to</w:t>
            </w:r>
          </w:p>
        </w:tc>
      </w:tr>
      <w:tr>
        <w:trPr>
          <w:trHeight w:val="23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480" w:type="dxa"/>
            <w:vAlign w:val="bottom"/>
          </w:tcPr>
          <w:p>
            <w:pPr>
              <w:spacing w:after="0"/>
              <w:rPr>
                <w:sz w:val="20"/>
                <w:szCs w:val="20"/>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Exhibit 3.1 to the Registrant's Current Report on Form 8-K filed on July 25, 2013).</w:t>
            </w:r>
          </w:p>
        </w:tc>
      </w:tr>
      <w:tr>
        <w:trPr>
          <w:trHeight w:val="54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480" w:type="dxa"/>
            <w:vAlign w:val="bottom"/>
          </w:tcPr>
          <w:p>
            <w:pPr>
              <w:spacing w:after="0"/>
              <w:rPr>
                <w:sz w:val="24"/>
                <w:szCs w:val="24"/>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Third Amended and Restated Certificate of Incorporation of Fidelity National Financial</w:t>
            </w:r>
          </w:p>
        </w:tc>
      </w:tr>
      <w:tr>
        <w:trPr>
          <w:trHeight w:val="54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480" w:type="dxa"/>
            <w:vAlign w:val="bottom"/>
          </w:tcPr>
          <w:p>
            <w:pPr>
              <w:spacing w:after="0"/>
              <w:rPr>
                <w:sz w:val="24"/>
                <w:szCs w:val="24"/>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54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480" w:type="dxa"/>
            <w:vAlign w:val="bottom"/>
          </w:tcPr>
          <w:p>
            <w:pPr>
              <w:spacing w:after="0"/>
              <w:rPr>
                <w:sz w:val="24"/>
                <w:szCs w:val="24"/>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52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480" w:type="dxa"/>
            <w:vAlign w:val="bottom"/>
          </w:tcPr>
          <w:p>
            <w:pPr>
              <w:spacing w:after="0"/>
              <w:rPr>
                <w:sz w:val="24"/>
                <w:szCs w:val="24"/>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w w:val="94"/>
              </w:rPr>
              <w:t>Certification by Chief Executive Officer of Periodic Financial Reports pursuant to Section 906 of the Sarbanes-Oxley</w:t>
            </w:r>
          </w:p>
        </w:tc>
      </w:tr>
      <w:tr>
        <w:trPr>
          <w:trHeight w:val="230"/>
        </w:trPr>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Act of 2002, 18 U.S.C. Section 1350.</w:t>
            </w:r>
          </w:p>
        </w:tc>
      </w:tr>
      <w:tr>
        <w:trPr>
          <w:trHeight w:val="52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480" w:type="dxa"/>
            <w:vAlign w:val="bottom"/>
          </w:tcPr>
          <w:p>
            <w:pPr>
              <w:spacing w:after="0"/>
              <w:rPr>
                <w:sz w:val="24"/>
                <w:szCs w:val="24"/>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w w:val="92"/>
              </w:rPr>
              <w:t>Certification by Chief Financial Officer of Periodic Financial Reports pursuant to Section 906 of the Sarbanes-Oxley Act</w:t>
            </w:r>
          </w:p>
        </w:tc>
      </w:tr>
      <w:tr>
        <w:trPr>
          <w:trHeight w:val="230"/>
        </w:trPr>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of 2002, 18 U.S.C. Section 1350.</w:t>
            </w:r>
          </w:p>
        </w:tc>
      </w:tr>
      <w:tr>
        <w:trPr>
          <w:trHeight w:val="499"/>
        </w:trPr>
        <w:tc>
          <w:tcPr>
            <w:tcW w:w="116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1480" w:type="dxa"/>
            <w:vAlign w:val="bottom"/>
          </w:tcPr>
          <w:p>
            <w:pPr>
              <w:spacing w:after="0"/>
              <w:rPr>
                <w:sz w:val="24"/>
                <w:szCs w:val="24"/>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w w:val="95"/>
              </w:rPr>
              <w:t>The following materials from Fidelity National Financial's Quarterly Report on Form 10-Q for the quarter ended June</w:t>
            </w:r>
          </w:p>
        </w:tc>
      </w:tr>
      <w:tr>
        <w:trPr>
          <w:trHeight w:val="216"/>
        </w:trPr>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w w:val="96"/>
              </w:rPr>
              <w:t>30, 2013, formatted in Extensible Business Reporting Language (XBRL): (i) the Condensed Consolidated Balance</w:t>
            </w:r>
          </w:p>
        </w:tc>
      </w:tr>
      <w:tr>
        <w:trPr>
          <w:trHeight w:val="216"/>
        </w:trPr>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w w:val="96"/>
              </w:rPr>
              <w:t>Sheets, (ii) the Condensed Consolidated Statements of Earnings, (iii) the Condensed Consolidated Statements of</w:t>
            </w:r>
          </w:p>
        </w:tc>
      </w:tr>
      <w:tr>
        <w:trPr>
          <w:trHeight w:val="216"/>
        </w:trPr>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w w:val="95"/>
              </w:rPr>
              <w:t>Comprehensive Earnings, (iv) the Condensed Consolidated Statements of Stockholders' Equity, (v) the Condensed</w:t>
            </w:r>
          </w:p>
        </w:tc>
      </w:tr>
      <w:tr>
        <w:trPr>
          <w:trHeight w:val="230"/>
        </w:trPr>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Consolidated Statements of Cash Flows, and (vi) the Notes to the Consolidated Financial Statements.</w:t>
            </w:r>
          </w:p>
        </w:tc>
      </w:tr>
      <w:tr>
        <w:trPr>
          <w:trHeight w:val="486"/>
        </w:trPr>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780" w:type="dxa"/>
            <w:vAlign w:val="bottom"/>
          </w:tcPr>
          <w:p>
            <w:pPr>
              <w:ind w:left="298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 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Fidelity National Financial, Inc., a corporation organized and existing under the laws of the State of Delaware (the “Corporation”), does hereby certify as follows:</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First: The Corporation was originally incorporated under the name “Fidelity National Title Group, Inc.” The Corporation's original Certificate of Incorporation was filed with the Secretary of State of the State of Delaware on May 24, 2005.</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Second: The Corporation's Second Amended and Restated Certificate of Incorporation was filed November 9, 2006, and in connection therewith, the Corporation's name was changed to Fidelity National Financial, Inc.</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Third: This Third Amended and Restated Certificate of Incorporation has been duly adopted in accordance with the provisions of Sections 242 and 245 of the General Corporation Law of the State of Delaware.</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Fourth: This Third Amended and Restated Certificate of Incorporation amends, restates and integrates the provisions of the Corporation's Second Amended and Restated Certificate of Incorporation.</w:t>
      </w:r>
    </w:p>
    <w:p>
      <w:pPr>
        <w:spacing w:after="0" w:line="62"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Fifth: The text of this Third Amended and Restated Certificate of Incorporation is hereby amended and restated to read in its entirety as follows: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NAME</w:t>
      </w:r>
    </w:p>
    <w:p>
      <w:pPr>
        <w:spacing w:after="0" w:line="333" w:lineRule="exact"/>
        <w:rPr>
          <w:sz w:val="20"/>
          <w:szCs w:val="20"/>
          <w:color w:val="auto"/>
        </w:rPr>
      </w:pPr>
    </w:p>
    <w:p>
      <w:pPr>
        <w:jc w:val="center"/>
        <w:ind w:right="3940"/>
        <w:spacing w:after="0"/>
        <w:rPr>
          <w:sz w:val="20"/>
          <w:szCs w:val="20"/>
          <w:color w:val="auto"/>
        </w:rPr>
      </w:pPr>
      <w:r>
        <w:rPr>
          <w:rFonts w:ascii="Arial" w:cs="Arial" w:eastAsia="Arial" w:hAnsi="Arial"/>
          <w:sz w:val="18"/>
          <w:szCs w:val="18"/>
          <w:color w:val="auto"/>
        </w:rPr>
        <w:t>The name of the corporation (the “Corporation”) is “Fidelity National Financial,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REGISTERED AGENT</w:t>
      </w:r>
    </w:p>
    <w:p>
      <w:pPr>
        <w:spacing w:after="0" w:line="33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address of the registered office of the Corporation in the State of Delaware is The Corporation Trust Company, 1209 Orange Street, City of Wilmington, County of New Castle, Delaware 19801. The name of the Corporation's registered agent at that address is “The Corporation Trust Company.”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PURPOSE</w:t>
      </w:r>
    </w:p>
    <w:p>
      <w:pPr>
        <w:spacing w:after="0" w:line="3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a corporation may now or hereafter be organized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CAPITAL STOCK</w:t>
      </w:r>
    </w:p>
    <w:p>
      <w:pPr>
        <w:spacing w:after="0" w:line="3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Section 4.1. The total number of shares of all classes of stock which the Corporation shall have authority to issue is 650,000,000, consisting of 600,000,000 shares of Class A Common Stock, par value $0.0001 per share (“Class A Common Stock”), and 50,000,000 shares of preferred stock, par value $0.0001 per share (“Preferred Stock”).</w:t>
      </w:r>
    </w:p>
    <w:p>
      <w:pPr>
        <w:spacing w:after="0" w:line="2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Section 4.2. Shares of Preferred Stock of the Corporation may be issued from time to time in one or more classes or series, each of which class or series shall have such distinctive designation and title as shall be fixed by the Board of Directors of the Corporation (the “Board of Directors”) prior to the issuance of any shares thereof. The Board of Directors is hereby authorized to fix the designation and title for each such class or series of Preferred Stock, to fix the voting powers, whether full or limited, or no voting powers, and such powers, preferences and relative, participating, optional or other special rights and such qualifications, limitations or restrictions thereof, and to fix the number of shares constituting such class or series (but not below the number of shares thereof then outstanding), in each case as shall be stated in such resolution or resolutions providing for the issue of such class or series of Preferred Stock as may be adopted from time to time by the Board of Directors prior to the issuance of any shares thereof pursuant to the authority hereby expressly vested in it.</w:t>
      </w:r>
    </w:p>
    <w:p>
      <w:pPr>
        <w:spacing w:after="0" w:line="2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Section 4.3. Except as otherwise expressly required by law or provided in this Certificate of Incorporation, and subject to any voting rights provided to holders of Preferred Stock at any time outstanding, the holders of any outstanding shares of Class A</w:t>
      </w:r>
    </w:p>
    <w:p>
      <w:pPr>
        <w:sectPr>
          <w:pgSz w:w="11900" w:h="16838" w:orient="portrait"/>
          <w:cols w:equalWidth="0" w:num="1">
            <w:col w:w="11420"/>
          </w:cols>
          <w:pgMar w:left="240" w:top="580" w:right="239" w:bottom="1440" w:gutter="0" w:footer="0" w:header="0"/>
        </w:sectPr>
      </w:pPr>
    </w:p>
    <w:bookmarkStart w:id="50" w:name="page51"/>
    <w:bookmarkEnd w:id="50"/>
    <w:p>
      <w:pPr>
        <w:jc w:val="both"/>
        <w:spacing w:after="0" w:line="302" w:lineRule="auto"/>
        <w:rPr>
          <w:sz w:val="20"/>
          <w:szCs w:val="20"/>
          <w:color w:val="auto"/>
        </w:rPr>
      </w:pPr>
      <w:r>
        <w:rPr>
          <w:rFonts w:ascii="Arial" w:cs="Arial" w:eastAsia="Arial" w:hAnsi="Arial"/>
          <w:sz w:val="16"/>
          <w:szCs w:val="16"/>
          <w:color w:val="auto"/>
        </w:rPr>
        <w:t>Common Stock shall vote together as a single class on all matters with respect to which stockholders are entitled to vote under applicable law, this Certificate of Incorporation or the Bylaws of the Corporation, or upon which a vote of stockholders is otherwise duly called for by the Corporation. At each annual or special meeting of stockholders, each holder of record of shares of Class A Common Stock on the relevant record date shall be entitled to cast one vote in person or by proxy for each share of the Class A Common Stock standing in such holder's name on the stock transfer records of the Corporation.</w:t>
      </w:r>
    </w:p>
    <w:p>
      <w:pPr>
        <w:spacing w:after="0" w:line="42"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V</w:t>
      </w:r>
    </w:p>
    <w:p>
      <w:pPr>
        <w:spacing w:after="0" w:line="121"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DIRECTORS</w:t>
      </w:r>
    </w:p>
    <w:p>
      <w:pPr>
        <w:spacing w:after="0" w:line="3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Section 5.1. The business and affairs of the Corporation shall be managed by or under the direction of the Board of Directors, consisting of not less than one nor more that fourteen members with the exact number of directors to be determined from time to time exclusively by resolution adopted by the Board of Directors. The directors, other than those who may be elected by the holders of any class or series of Preferred Stock as set forth in this Certificate of Incorporation, shall be divided into three classes, designated Class I, Class II and Class III. Each class shall consist, as nearly as may be possible, of one-third of the total number of directors constituting the entire Board of Directors. At each annual meeting of stockholders, successors to the class of directors whose term expires at that annual meeting shall be elected for a three-year term.</w:t>
      </w:r>
    </w:p>
    <w:p>
      <w:pPr>
        <w:spacing w:after="0" w:line="2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Section 5.2. If the number of directors is changed, any increase or decrease shall be apportioned among the classes so as to maintain the number of directors in each class as nearly equal as possible, and any additional director of any class elected to fill a vacancy resulting from an increase in such class shall hold office for a term that shall coincide with the remaining term of that class, but in no case will a decrease in the number of directors shorten the term of any incumbent director. A director shall hold office until the annual meeting for the year in which his term expires and until his successor shall be elected and shall qualify for office, subject, however, to prior death, resignation, retirement, disqualification or removal from office. Any vacancy on the Board of Directors, however resulting, may be filled only by an affirmative vote of the majority of the directors then in office, even if less than a quorum, or by an affirmative vote of the sole remaining director. Any director elected to fill a vacancy shall hold office for a term that shall coincide with the term of the class to which such director shall have been elected.</w:t>
      </w:r>
    </w:p>
    <w:p>
      <w:pPr>
        <w:spacing w:after="0" w:line="30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Section 5.3. Notwithstanding any of the foregoing provisions, whenever the holders of any one or more classes or series of Preferred Stock issued by the Corporation shall have the right, voting separately by class or series, to elect directors at an annual or special meeting of stockholders, the election, term of office, filling of vacancies and other features of such directorships shall be governed by the terms of this Certificate of Incorporation, or the resolution or resolutions adopted by the Board of Directors pursuant to Section 4.2 of this Certificate of Incorporation applicable thereto, and such directors so elected shall not be divided into classes pursuant to this Article V unless expressly provided by such terms.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CORPORATE OPPORTUNITIES</w:t>
      </w:r>
    </w:p>
    <w:p>
      <w:pPr>
        <w:spacing w:after="0" w:line="3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6.1. In anticipation of the possibility (a) that the officers and/or directors of the Corporation may also serve as officers and/or directors of Fidelity (as defined below) and (b) that the Corporation and Fidelity may engage in the same or similar activities or lines of business and have an interest in the same corporate opportunities, and in recognition of the benefits to be derived by the Corporation through its continued contractual, corporate and business relations with Fidelity, the provisions of this Article VI are set forth to regulate, to the fullest extent permitted by law, the conduct of certain affairs of the Corporation as they relate to Fidelity and its officers and directors, and the powers, rights, duties and liabilities of the Corporation and its officers, directors and stockholders in connection therewith.</w:t>
      </w:r>
    </w:p>
    <w:p>
      <w:pPr>
        <w:spacing w:after="0" w:line="30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Section 6.2. (a) Except as may be otherwise provided in a written agreement between the Corporation and Fidelity, Fidelity shall have no duty to refrain from engaging in the same or similar activities or lines of business as the Corporation, and, to the fullest extent permitted by law, neither Fidelity nor any officer or director thereof (except in the event of any violation of Section 6.3 hereof, to the extent such violation would create liability under applicable law) shall be liable to the Corporation or its stockholders for breach of any fiduciary duty by reason of any such activities of Fidelity.</w:t>
      </w:r>
    </w:p>
    <w:p>
      <w:pPr>
        <w:spacing w:after="0" w:line="280" w:lineRule="exact"/>
        <w:rPr>
          <w:sz w:val="20"/>
          <w:szCs w:val="20"/>
          <w:color w:val="auto"/>
        </w:rPr>
      </w:pPr>
    </w:p>
    <w:p>
      <w:pPr>
        <w:jc w:val="both"/>
        <w:ind w:firstLine="656"/>
        <w:spacing w:after="0" w:line="293" w:lineRule="auto"/>
        <w:tabs>
          <w:tab w:leader="none" w:pos="90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Corporation may from time to time be or become a party to and perform, and may cause or permit any subsidiary of the Corporation to be or become a party to and perform, one or more agreements (or modifications or supplements to pre-existing agreements) with Fidelity. Subject to Section 6.3 hereof, to the fullest extent permitted by law, no such agreement, nor the performance thereof in accordance with its terms by the Corporation or any of its subsidiaries or Fidelity, shall be considered contrary to any fiduciary duty to the Corporation or to its stockholders of any director or officer of the Corporation who is also a director, officer or employee of Fidelity. Subject to Section 6.3 hereof, to the fullest extent permitted by law, no director or officer of the Corporation who is also a director, officer or employee of Fidelity shall have or be under any fiduciary duty to the Corporation</w:t>
      </w:r>
    </w:p>
    <w:p>
      <w:pPr>
        <w:sectPr>
          <w:pgSz w:w="11900" w:h="16838" w:orient="portrait"/>
          <w:cols w:equalWidth="0" w:num="1">
            <w:col w:w="11420"/>
          </w:cols>
          <w:pgMar w:left="240" w:top="800" w:right="2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color w:val="auto"/>
        </w:rPr>
        <w:t>or its stockholders to refrain from acting on behalf of the Corporation or any of its subsidiaries or on behalf of Fidelity in respect of any such agreement or performing any such agreement in accordance with its terms.</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Section 6.3. In the event that a director or officer of the Corporation who is also a director or officer of Fidelity acquires knowledge of a potential transaction or matter which may be a corporate opportunity of both the Corporation and Fidelity, such director or officer of the Corporation shall, to the fullest extent permitted by law, have fully satisfied and fulfilled the fiduciary duty of such director or officer to the Corporation and its stockholders with respect to such corporate opportunity, if such director or officer acts in a manner consistent with the following policy:</w:t>
      </w:r>
    </w:p>
    <w:p>
      <w:pPr>
        <w:spacing w:after="0" w:line="280" w:lineRule="exact"/>
        <w:rPr>
          <w:sz w:val="20"/>
          <w:szCs w:val="20"/>
          <w:color w:val="auto"/>
        </w:rPr>
      </w:pPr>
    </w:p>
    <w:p>
      <w:pPr>
        <w:jc w:val="both"/>
        <w:ind w:firstLine="656"/>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corporate opportunity offered to any person who is an officer of the Corporation, and who is also a director but not an officer of Fidelity, shall belong to the Corporation, unless such opportunity is expressly offered to such person in a capacity other than such person's capacity as an officer of the Corporation, in which case it shall not belong to the Corporation;</w:t>
      </w:r>
    </w:p>
    <w:p>
      <w:pPr>
        <w:spacing w:after="0" w:line="289" w:lineRule="exact"/>
        <w:rPr>
          <w:rFonts w:ascii="Arial" w:cs="Arial" w:eastAsia="Arial" w:hAnsi="Arial"/>
          <w:sz w:val="18"/>
          <w:szCs w:val="18"/>
          <w:color w:val="auto"/>
        </w:rPr>
      </w:pPr>
    </w:p>
    <w:p>
      <w:pPr>
        <w:jc w:val="both"/>
        <w:ind w:firstLine="656"/>
        <w:spacing w:after="0" w:line="264" w:lineRule="auto"/>
        <w:tabs>
          <w:tab w:leader="none" w:pos="921"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corporate opportunity offered to any person who is a director but not an officer of the Corporation, and who is also a director or officer of Fidelity, shall belong to the Corporation only if such opportunity is expressly offered to such person in such person's capacity as a director of the Corporation; and</w:t>
      </w:r>
    </w:p>
    <w:p>
      <w:pPr>
        <w:spacing w:after="0" w:line="289" w:lineRule="exact"/>
        <w:rPr>
          <w:rFonts w:ascii="Arial" w:cs="Arial" w:eastAsia="Arial" w:hAnsi="Arial"/>
          <w:sz w:val="18"/>
          <w:szCs w:val="18"/>
          <w:color w:val="auto"/>
        </w:rPr>
      </w:pPr>
    </w:p>
    <w:p>
      <w:pPr>
        <w:ind w:firstLine="65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corporate opportunity offered to any person who is an officer of both the Corporation and Fidelity shall belong to the Corporation only if such opportunity is expressly offered to such person in such person's capacity as an officer of the Corporation.</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the foregoing, the Corporation shall not be prohibited from pursuing any corporate opportunity of which the Corporation becomes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aware.</w:t>
      </w:r>
    </w:p>
    <w:p>
      <w:pPr>
        <w:spacing w:after="0" w:line="31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Section 6.4. Any person purchasing or otherwise acquiring any interest in shares of the capital stock of the Corporation shall be deemed to have notice of and to have consented to the provisions of this Article VI.</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Section 6.5. (a) For purposes of this Article VI, a director of any company who is the chairman of the board of directors of that company shall not be deemed to be an officer of the company solely by reason of holding such position.</w:t>
      </w:r>
    </w:p>
    <w:p>
      <w:pPr>
        <w:spacing w:after="0" w:line="279" w:lineRule="exact"/>
        <w:rPr>
          <w:sz w:val="20"/>
          <w:szCs w:val="20"/>
          <w:color w:val="auto"/>
        </w:rPr>
      </w:pPr>
    </w:p>
    <w:p>
      <w:pPr>
        <w:jc w:val="both"/>
        <w:ind w:firstLine="656"/>
        <w:spacing w:after="0" w:line="255" w:lineRule="auto"/>
        <w:tabs>
          <w:tab w:leader="none" w:pos="9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 “Corporation” shall mean, for purposes of this Article VI, the Corporation and all corporations, partnerships, joint ventures, associations and other entities in which the Corporation beneficially owns (directly or indirectly) fifty percent or more of the outstanding voting stock, voting power, partnership interests or similar voting interests. The term “Fidelity” shall mean, for purposes of this Article VI and of Article IX hereof, Fidelity National Information Services, Inc., a Georgia corporation, and any successor thereof, and all corporations, partnerships, joint ventures, associations and other entities in which it beneficially owns (directly or indirectly) fifty percent or more of the outstanding voting stock, voting power, partnership interests or similar voting interests.</w:t>
      </w:r>
    </w:p>
    <w:p>
      <w:pPr>
        <w:spacing w:after="0" w:line="30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Section 6.6. Anything in this Certificate of Incorporation to the contrary notwithstanding, the foregoing provisions of this Article VI shall terminate, expire and have no further force and effect on the date that no person who is a director or officer of the Corporation is also a director or officer of Fidelity. Neither the alteration, amendment, termination, expiration or repeal of this Article VI nor the adoption of any provision of this Certificate of Incorporation inconsistent with this Article VI shall eliminate or reduce the effect of this Article VI in respect of any matter occurring, or any cause of action, suit or claim that, but for this Article VI, would accrue or arise, prior to such alteration, amendment, termination, expiration, repeal or adoption.</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REMOVAL OF DIRECTORS</w:t>
      </w:r>
    </w:p>
    <w:p>
      <w:pPr>
        <w:spacing w:after="0" w:line="3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Subject to the rights, if any, of the holders of shares of Preferred Stock then outstanding, any or all of the directors of the Corporation may be removed from office at any time, but only for cause and only by the affirmative vote of the holders of a majority of the outstanding capital stock of the Corporation then entitled to vote generally in the election of directors, considered for purposes of this Article VII as one class.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ELECTION OF DIRECTORS</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Elections of directors at an annual or special meeting of stockholders shall be by written ballot unless the Bylaws of the Corporation shall otherwise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provide.</w:t>
      </w:r>
    </w:p>
    <w:p>
      <w:pPr>
        <w:sectPr>
          <w:pgSz w:w="11900" w:h="16838" w:orient="portrait"/>
          <w:cols w:equalWidth="0" w:num="1">
            <w:col w:w="11420"/>
          </w:cols>
          <w:pgMar w:left="240" w:top="800"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ARTICLE IX</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WRITTEN CONSENT OF STOCKHOLDERS</w:t>
      </w:r>
    </w:p>
    <w:p>
      <w:pPr>
        <w:spacing w:after="0" w:line="3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9.01. Actions required or permitted to be taken by the stockholders of the Corporation at an annual or special meeting of the stockholders may be effected without a meeting by the written consent of the holders of common stock of the Corporation (a “Consent”), but only if such action is taken in accordance with the provisions of this Article IX or by the holders of any class or series of Preferred Stock issued pursuant to Article IV hereof, if the terms of such class or series of Preferred Stock expressly provide for such action by Consent.</w:t>
      </w:r>
    </w:p>
    <w:p>
      <w:pPr>
        <w:spacing w:after="0" w:line="29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Section 9.02. The record date for determining stockholders entitled to authorize or take corporate action by Consent shall be as fixed by the Board of Directors or as otherwise established under this Article IX. Any stockholder seeking to have the stockholders authorize or take corporate action by Consent shall, by written notice addressed to the Secretary of the Corporation and delivered to the principal executive offices of the Corporation and signed by holders of record owning not less than 15% of all issued and outstanding shares of common stock of the Corporation, as determined in accordance with any applicable requirements of the Bylaws of the Corporation, who shall continue to own not less than 15% of all issued and outstanding shares of common stock of the Corporation through the date of delivery of Consents signed by a sufficient number of stockholders to authorize or take such action and who shall not revoke such request, request that a record date be fixed for such purpose (each such notice, a “Request”). The Request must contain the information set forth in Section 9.03 hereof. By the later of (i) twenty days after delivery of a valid Request and (ii) five days after delivery of any information requested by the Corporation pursuant to Section 9.03 hereof, the Board of Directors shall determine the validity of the Request and whether the Request relates to an action that may be authorized or taken by Consent pursuant to this Article IX and, if appropriate, adopt a resolution fixing the record date for such purpose. The record date for such purpose shall be no more than ten days after the date upon which the resolution fixing the record date is adopted by the Board of Directors and shall not precede the date such resolution is adopted. If the Request has been determined to be valid and to relate to an action that may be authorized or taken by Consent pursuant to this Article IX or if such no determination shall have been made by the date required by this Article IX, and in either event no record date has been fixed by the Board of Directors, the record date shall be the day on which the first signed Consent is delivered to the Corporation in the manner described in Section 9.07 hereof; except that, if prior action by the Board of Directors is required under the provisions of the DGCL, the record date shall be at the close of business on the day on which the Board of Directors adopts the resolution taking such prior action.</w:t>
      </w:r>
    </w:p>
    <w:p>
      <w:pPr>
        <w:spacing w:after="0" w:line="2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Section 9.03. Any Request (a) must be delivered by the holders of record owning not less than 15% of all issued and outstanding shares of common stock of the Corporation, as determined in accordance with any applicable requirements of the Bylaws of the Corporation (with evidence of such ownership attached), who shall continue to own not less than 15% of all issued and outstanding shares of common stock of the Corporation through the date of delivery of Consents and who shall not revoke such request, signed by a sufficient number of stockholders to authorize or take such action; (b) must describe the action proposed to be authorized or taken by Consent; and (c) must contain (i) such other information and representations, to the extent applicable, then required by the Corporation's Bylaws as though each stockholder submitting such Request was submitting a notice of a nomination for election to the Board of Directors at an annual meeting of stockholders or of other business to be brought before an annual meeting of stockholders, (ii) the text of the proposal (including the text of any resolutions to be adopted by Consent and the language of any proposed amendment to the Bylaws of the Corporation), and (iii) any agreement of the requesting stockholders required by the Bylaws of the Corporation. The Board of Directors may require the stockholders submitting a Request to furnish such other information as it may require to determine the validity of the Request. Stockholders seeking to authorize or take action by Consent shall update the information provided in the Request as required by the Corporation's Bylaws with respect to information provided concerning nominations for elections to the Board or other business at annual stockholders meetings.</w:t>
      </w:r>
    </w:p>
    <w:p>
      <w:pPr>
        <w:spacing w:after="0" w:line="2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Section 9.04. Stockholders are not entitled to authorize or take action by Consent if (a) the action relates to an item of business that is not a proper subject for stockholder action under applicable law, (b) an identical or substantially similar item of business, as determined by the Board of Directors in its reasonable determination, which determination shall be conclusive and binding on the Corporation and its stockholders (a “Similar Item”), is included in the Corporation's notice of meeting as an item of business to be brought before an annual or special stockholders meeting that has been called but not yet held or that is called to be held on a date within 90 days after the receipt by the Corporation of the Request for such action, provided that the removal of directors without electing replacements shall not be a Similar Item to the election of directors, or (c) such Request was made in a manner that involved a violation of Regulation 14A promulgated under the Securities Exchange Act of 1934, or other applicable law.</w:t>
      </w:r>
    </w:p>
    <w:p>
      <w:pPr>
        <w:spacing w:after="0" w:line="28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9.05. Stockholders may authorize or take action by Consent only if such Consents are solicited from all holders of common stock of the Corporation.</w:t>
      </w:r>
    </w:p>
    <w:p>
      <w:pPr>
        <w:sectPr>
          <w:pgSz w:w="11900" w:h="16838" w:orient="portrait"/>
          <w:cols w:equalWidth="0" w:num="1">
            <w:col w:w="11420"/>
          </w:cols>
          <w:pgMar w:left="240" w:top="580" w:right="239" w:bottom="1440" w:gutter="0" w:footer="0" w:header="0"/>
        </w:sectPr>
      </w:pPr>
    </w:p>
    <w:bookmarkStart w:id="53" w:name="page54"/>
    <w:bookmarkEnd w:id="53"/>
    <w:p>
      <w:pPr>
        <w:jc w:val="both"/>
        <w:ind w:firstLine="648"/>
        <w:spacing w:after="0" w:line="259" w:lineRule="auto"/>
        <w:rPr>
          <w:sz w:val="20"/>
          <w:szCs w:val="20"/>
          <w:color w:val="auto"/>
        </w:rPr>
      </w:pPr>
      <w:r>
        <w:rPr>
          <w:rFonts w:ascii="Arial" w:cs="Arial" w:eastAsia="Arial" w:hAnsi="Arial"/>
          <w:sz w:val="18"/>
          <w:szCs w:val="18"/>
          <w:color w:val="auto"/>
        </w:rPr>
        <w:t>Section 9.06. Every Consent purporting to take or authorize the taking of corporate action must bear the date of signature of each stockholder who signs the Consent, and no Consent shall be effective to take or authorize the taking of the action referred to therein unless, within 60 days of the earliest dated Consent delivered in the manner required by Section 9.07 hereof, Consents signed by a sufficient number of stockholders to authorize or take such action are so delivered to the Corporation.</w:t>
      </w:r>
    </w:p>
    <w:p>
      <w:pPr>
        <w:spacing w:after="0" w:line="29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Section 9.07. Every Consent purporting to take or authorize the taking of corporate action must be dated and delivered to the Corporation or its registered office in the State of Delaware no earlier than 60 days after the delivery of a valid Request. Consents must be delivered to the Corporation's registered office in the State of Delaware or its principal place of business. Delivery must be made by hand or by certified or registered mail, return receipt requested. The Secretary of the Corporation, or such other officer of the Corporation as the Board of Directors may designate (“Other Officer”), shall provide for the safe-keeping of such Consents and any related revocations and shall promptly conduct such ministerial review of the sufficiency of all Consents and any related revocations and of the validity of the action to be authorized or taken by Consent as the Secretary of the Corporation or Other Officer, as the case may be, deems necessary or appropriate, including, without limitation, whether the holders of a number of shares having the requisite voting power to authorize or take the action specified in the Consents have given consent; provided, however, that if the action to which the Consents relate is the removal or replacement of one or more members of the Board of Directors, the Secretary of the Corporation or Other Officer, as the case may be, shall promptly designate two persons, who shall not be members of the Board of Directors, to serve as inspectors (“Inspectors”) with respect to such Consents and such Inspectors shall discharge the functions of the Secretary of the Corporation or Other Officer, as the case may be, under this Article IX. If after such investigation the Secretary of the Corporation, Other Officer, or the Inspectors, as the case may be, shall determine that the action has been duly authorized or taken by the Consents, that fact shall be certified on the records of the Corporation and the Consents shall be filed in such records. In conducting the investigation required by this Section, the Secretary of the Corporation, Other Officer, or the Inspectors, as the case may be, may retain special legal counsel and any other necessary or appropriate professional advisors as such person or persons may deem necessary or appropriate, at the expense of the Corporation, and shall be fully protected in relying in good faith upon the opinion of such counsel or advisors.</w:t>
      </w:r>
    </w:p>
    <w:p>
      <w:pPr>
        <w:spacing w:after="0" w:line="2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Section 9.08. No action may be authorized or taken by the stockholders by Consent except in accordance with this Article IX. If the Board of Directors shall determine that any Request was not properly made in accordance with, or relates to an action that may not be effected by Consent pursuant to, this Article IX, or any stockholder seeking to authorize or take such action does not otherwise comply with this Article IX, then the Board of Directors shall not be required to fix a record date and any such purported action by Consent shall be null and void to the fullest extent permitted by applicable law. No Consent shall be effective until such date as the Secretary of the Corporation, Other Officer, or the Inspectors, as the case may be, certify to the Corporation that the Consents delivered to the Corporation in accordance with Section 9.07 hereof represent at least the minimum number of votes that would be necessary to authorize or take the corporate action at a meeting at which all shares entitled to vote thereon were present and voted, in accordance with Delaware law and this Certificate of Incorporation.</w:t>
      </w:r>
    </w:p>
    <w:p>
      <w:pPr>
        <w:spacing w:after="0" w:line="3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9.09. Nothing contained in this Article IX shall in any way be construed to suggest or imply that the Board of Directors or any stockholder shall not be entitled to contest the validity of any Consent or related revocations, whether before or after such certification by the Secretary of the Corporation, Other Officer, or the Inspectors, as the case may be, or to take any other action (including, without limitation, the commencement, prosecution, or defense of any litigation with respect thereto, and the seeking of injunctive relief in such litigation).</w:t>
      </w:r>
    </w:p>
    <w:p>
      <w:pPr>
        <w:spacing w:after="0" w:line="29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Section 9.10. Notwithstanding anything to the contrary set forth above, (a) none of the foregoing provisions of this Article IX shall apply to any solicitation of stockholder action by written consent by or at the direction of the Board of Directors and (b) the Board of Directors shall be entitled to solicit stockholder action by Consent in accordance with applicable law.</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SPECIAL MEETINGS</w:t>
      </w:r>
    </w:p>
    <w:p>
      <w:pPr>
        <w:spacing w:after="0" w:line="3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Special meetings of the stockholders of the Corporation for any purposes may be called at any time by a majority vote of the Board of Directors or the Chairman of the Board or Chief Executive Officer of the Corporation. Except as required by law or provided by resolutions adopted by the Board of Directors designating the rights, powers and preferences of any Preferred Stock, special meetings of the stockholders of the Corporation may not be called by any other person or persons.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OFFICERS</w:t>
      </w:r>
    </w:p>
    <w:p>
      <w:pPr>
        <w:spacing w:after="0" w:line="33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officers of the Corporation shall be chosen in such manner, shall hold their offices for such terms and shall carry out such duties as are determined solely by the Board of Directors, subject to the right of the Board of Directors to remove any officer or officers at any time with or without cause.</w:t>
      </w:r>
    </w:p>
    <w:p>
      <w:pPr>
        <w:sectPr>
          <w:pgSz w:w="11900" w:h="16838" w:orient="portrait"/>
          <w:cols w:equalWidth="0" w:num="1">
            <w:col w:w="11420"/>
          </w:cols>
          <w:pgMar w:left="240" w:top="800" w:right="239" w:bottom="1440" w:gutter="0" w:footer="0" w:header="0"/>
        </w:sectPr>
      </w:pPr>
    </w:p>
    <w:bookmarkStart w:id="54" w:name="page55"/>
    <w:bookmarkEnd w:id="54"/>
    <w:p>
      <w:pPr>
        <w:ind w:left="5140"/>
        <w:spacing w:after="0"/>
        <w:rPr>
          <w:sz w:val="20"/>
          <w:szCs w:val="20"/>
          <w:color w:val="auto"/>
        </w:rPr>
      </w:pPr>
      <w:r>
        <w:rPr>
          <w:rFonts w:ascii="Arial" w:cs="Arial" w:eastAsia="Arial" w:hAnsi="Arial"/>
          <w:sz w:val="18"/>
          <w:szCs w:val="18"/>
          <w:b w:val="1"/>
          <w:bCs w:val="1"/>
          <w:color w:val="auto"/>
        </w:rPr>
        <w:t>ARTICLE XII</w:t>
      </w:r>
    </w:p>
    <w:p>
      <w:pPr>
        <w:spacing w:after="0" w:line="121"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INDEMNITY</w:t>
      </w:r>
    </w:p>
    <w:p>
      <w:pPr>
        <w:spacing w:after="0" w:line="33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Corporation shall indemnify to the full extent authorized or permitted by law any person made, or threatened to be made, a party to any action or proceeding (whether civil or criminal or otherwise) by reason of the fact that such person is or was a director or officer of the Corporation or by reason of the fact that such director or officer, at the request of the Corporation, is or was serving any other corporation, partnership, joint venture, trust, employee benefit plan or other enterprise, in any capacity. Nothing contained herein shall affect any rights to indemnification to which employees other than directors and officers may be entitled by law. No director of the Corporation shall be personally liable to the Corporation or its stockholders for monetary damages for any breach of fiduciary duty by such a director as a director. Notwithstanding the foregoing sentence, a director shall be liable to the extent provided by applicable law (a) for any breach of the director's duty of loyalty to the Corporation or its stockholders, (b) for acts or omissions not in good faith or which involve intentional misconduct or a knowing violation of law, (c) pursuant to Section 174 of the DGCL or (d) for any transaction from which such director derived an improper personal benefit. No amendment to or repeal of this Article XII shall apply to or have any effect on the liability or alleged liability of any director of the Corporation for or with respect to any acts or omissions of such director occurring prior to such amendment.</w:t>
      </w:r>
    </w:p>
    <w:p>
      <w:pPr>
        <w:spacing w:after="0" w:line="5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XIII</w:t>
      </w:r>
    </w:p>
    <w:p>
      <w:pPr>
        <w:spacing w:after="0" w:line="121" w:lineRule="exact"/>
        <w:rPr>
          <w:sz w:val="20"/>
          <w:szCs w:val="20"/>
          <w:color w:val="auto"/>
        </w:rPr>
      </w:pPr>
    </w:p>
    <w:p>
      <w:pPr>
        <w:ind w:left="5120"/>
        <w:spacing w:after="0"/>
        <w:rPr>
          <w:sz w:val="20"/>
          <w:szCs w:val="20"/>
          <w:color w:val="auto"/>
        </w:rPr>
      </w:pPr>
      <w:r>
        <w:rPr>
          <w:rFonts w:ascii="Arial" w:cs="Arial" w:eastAsia="Arial" w:hAnsi="Arial"/>
          <w:sz w:val="18"/>
          <w:szCs w:val="18"/>
          <w:u w:val="single" w:color="auto"/>
          <w:color w:val="auto"/>
        </w:rPr>
        <w:t>AMENDMENT</w:t>
      </w:r>
    </w:p>
    <w:p>
      <w:pPr>
        <w:spacing w:after="0" w:line="3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Corporation reserves the right at any time from time to time to amend, alter, change or repeal any provision contained in this Certificate of Incorporation, and any other provisions authorized by the laws of the State of Delaware at any time may be added or inserted, in the manner now or hereafter prescribed by law. All rights, preferences and privileges of whatsoever nature conferred upon stockholders, directors or any other persons whomsoever by and pursuant to this Certificate of Incorporation in its present form or as hereafter amended are granted subject to the right reserved in this Article XIII. In addition to any affirmative vote of the holders of any series of Preferred Stock required by law, by this Certificate of Incorporation or by the resolution or resolutions adopted by the Board of Directors designating the rights, powers and preferences of such Preferred Stock, the provisions (a) of the Bylaws of the Corporation may be adopted, amended or repealed if approved by a majority of the Board of Directors then in office or approved by holders of the Class A Common Stock in accordance with applicable law and this Certificate of Incorporation and (b) of this Certificate of Incorporation may be adopted, amended or repealed as provided by applicable law.</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COMBINATIONS</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Corporation expressly elects to be governed by Section 203 of the DGCL.</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WITNESS WHEREOF, the undersigned officer of the Corporation has executed this Third Amended and Restated Certificate of Incorporation on behalf of the Corporation this 7th day of June, 2013.</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279"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L. Gravelle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Michael L. Gravelle General Counsel and</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George P. Scanlon, certify that:</w:t>
      </w:r>
    </w:p>
    <w:p>
      <w:pPr>
        <w:spacing w:after="0" w:line="157"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2013</w:t>
      </w:r>
    </w:p>
    <w:p>
      <w:pPr>
        <w:spacing w:after="0" w:line="171"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George P. Scanlon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George P. Scanlon</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57"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2013</w:t>
      </w:r>
    </w:p>
    <w:p>
      <w:pPr>
        <w:spacing w:after="0" w:line="333"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Anthony J. Park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ind w:firstLine="36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August 7, 2013</w:t>
      </w:r>
    </w:p>
    <w:p>
      <w:pPr>
        <w:spacing w:after="0" w:line="116"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George P. Scanlon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31750</wp:posOffset>
            </wp:positionV>
            <wp:extent cx="274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George P. Scanlon</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97"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5" w:lineRule="exact"/>
        <w:rPr>
          <w:sz w:val="20"/>
          <w:szCs w:val="20"/>
          <w:color w:val="auto"/>
        </w:rPr>
      </w:pPr>
    </w:p>
    <w:p>
      <w:pPr>
        <w:ind w:firstLine="37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August 7, 2013</w:t>
      </w:r>
    </w:p>
    <w:p>
      <w:pPr>
        <w:spacing w:after="0" w:line="116"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274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emdash "/>
      <w:numFmt w:val="bullet"/>
      <w:start w:val="1"/>
    </w:lvl>
  </w:abstractNum>
  <w:abstractNum w:abstractNumId="4">
    <w:nsid w:val="12200854"/>
    <w:multiLevelType w:val="hybridMultilevel"/>
    <w:lvl w:ilvl="0">
      <w:lvlJc w:val="left"/>
      <w:lvlText w:val="\emdash "/>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lowerLetter"/>
      <w:start w:val="2"/>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2"/>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2019-12-07T10:56:21Z</dcterms:created>
  <dcterms:modified xsi:type="dcterms:W3CDTF">2019-12-07T10:56:21Z</dcterms:modified>
</cp:coreProperties>
</file>